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137795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REGISTRATION STATEMENT PURSUANT TO SECTION 12(b) OR 12(g) OF THE SECURITIES EXCHANGE ACT OF 1934</w:t>
      </w:r>
    </w:p>
    <w:p>
      <w:pPr>
        <w:spacing w:after="0" w:line="79"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OR</w:t>
      </w:r>
    </w:p>
    <w:p>
      <w:pPr>
        <w:spacing w:after="0" w:line="5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9"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For the fiscal year ended December 31, 2020</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OR</w:t>
      </w:r>
    </w:p>
    <w:p>
      <w:pPr>
        <w:spacing w:after="0" w:line="53"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70" w:lineRule="exact"/>
        <w:rPr>
          <w:sz w:val="24"/>
          <w:szCs w:val="24"/>
          <w:color w:val="auto"/>
        </w:rPr>
      </w:pPr>
    </w:p>
    <w:tbl>
      <w:tblPr>
        <w:tblLayout w:type="fixed"/>
        <w:tblInd w:w="414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440" w:type="dxa"/>
            <w:vAlign w:val="bottom"/>
            <w:tcBorders>
              <w:bottom w:val="single" w:sz="8" w:color="auto"/>
            </w:tcBorders>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5"/>
              </w:rPr>
              <w:t>to</w:t>
            </w:r>
          </w:p>
        </w:tc>
      </w:tr>
      <w:tr>
        <w:trPr>
          <w:trHeight w:val="166"/>
        </w:trPr>
        <w:tc>
          <w:tcPr>
            <w:tcW w:w="1900" w:type="dxa"/>
            <w:vAlign w:val="bottom"/>
          </w:tcPr>
          <w:p>
            <w:pPr>
              <w:ind w:left="1380"/>
              <w:spacing w:after="0"/>
              <w:rPr>
                <w:sz w:val="20"/>
                <w:szCs w:val="20"/>
                <w:color w:val="auto"/>
              </w:rPr>
            </w:pPr>
            <w:r>
              <w:rPr>
                <w:rFonts w:ascii="Arial" w:cs="Arial" w:eastAsia="Arial" w:hAnsi="Arial"/>
                <w:sz w:val="14"/>
                <w:szCs w:val="14"/>
                <w:b w:val="1"/>
                <w:bCs w:val="1"/>
                <w:color w:val="auto"/>
              </w:rPr>
              <w:t>OR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4233545</wp:posOffset>
            </wp:positionH>
            <wp:positionV relativeFrom="paragraph">
              <wp:posOffset>-117475</wp:posOffset>
            </wp:positionV>
            <wp:extent cx="274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7"/>
          <w:szCs w:val="17"/>
          <w:color w:val="auto"/>
        </w:rPr>
      </w:pPr>
      <w:r>
        <w:rPr>
          <w:rFonts w:ascii="Arial" w:cs="Arial" w:eastAsia="Arial" w:hAnsi="Arial"/>
          <w:sz w:val="17"/>
          <w:szCs w:val="17"/>
          <w:b w:val="1"/>
          <w:bCs w:val="1"/>
          <w:color w:val="auto"/>
        </w:rPr>
        <w:t>SHELL COMPANY REPORT PURSUANT TO SECTION 13 OR 15(d) OF THE SECURITIES EXCHANGE ACT OF 1934</w:t>
      </w:r>
    </w:p>
    <w:p>
      <w:pPr>
        <w:spacing w:after="0" w:line="7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STUDIO CITY INTERNATIONAL HOLDINGS LIMITED</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109855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8"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42"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Cayman Islands</w:t>
      </w:r>
    </w:p>
    <w:p>
      <w:pPr>
        <w:spacing w:after="0" w:line="4"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36th Floor, The Centrium, 60 Wyndham Street, Central, Hong Kong</w:t>
      </w:r>
    </w:p>
    <w:p>
      <w:pPr>
        <w:spacing w:after="0" w:line="4"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6"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Company Secretary, Tel +852 2598 3600, Fax +852 2537 3618</w:t>
      </w:r>
    </w:p>
    <w:p>
      <w:pPr>
        <w:jc w:val="center"/>
        <w:ind w:right="-119"/>
        <w:spacing w:after="0" w:line="226" w:lineRule="auto"/>
        <w:rPr>
          <w:sz w:val="20"/>
          <w:szCs w:val="20"/>
          <w:color w:val="auto"/>
        </w:rPr>
      </w:pPr>
      <w:r>
        <w:rPr>
          <w:rFonts w:ascii="Arial" w:cs="Arial" w:eastAsia="Arial" w:hAnsi="Arial"/>
          <w:sz w:val="14"/>
          <w:szCs w:val="14"/>
          <w:b w:val="1"/>
          <w:bCs w:val="1"/>
          <w:color w:val="auto"/>
        </w:rPr>
        <w:t>36th Floor, The Centrium, 60 Wyndham Street, Central, Hong Kong</w:t>
      </w:r>
    </w:p>
    <w:p>
      <w:pPr>
        <w:jc w:val="center"/>
        <w:ind w:right="-1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60" w:lineRule="exact"/>
        <w:rPr>
          <w:sz w:val="24"/>
          <w:szCs w:val="24"/>
          <w:color w:val="auto"/>
        </w:rPr>
      </w:pPr>
    </w:p>
    <w:tbl>
      <w:tblPr>
        <w:tblLayout w:type="fixed"/>
        <w:tblInd w:w="540" w:type="dxa"/>
        <w:tblCellMar>
          <w:top w:w="0" w:type="dxa"/>
          <w:left w:w="0" w:type="dxa"/>
          <w:bottom w:w="0" w:type="dxa"/>
          <w:right w:w="0" w:type="dxa"/>
        </w:tblCellMar>
      </w:tblPr>
      <w:tr>
        <w:trPr>
          <w:trHeight w:val="153"/>
        </w:trPr>
        <w:tc>
          <w:tcPr>
            <w:tcW w:w="9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Title of Each Class</w:t>
            </w:r>
          </w:p>
        </w:tc>
        <w:tc>
          <w:tcPr>
            <w:tcW w:w="280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Trading Symbol</w:t>
            </w:r>
          </w:p>
        </w:tc>
        <w:tc>
          <w:tcPr>
            <w:tcW w:w="1960" w:type="dxa"/>
            <w:vAlign w:val="bottom"/>
          </w:tcPr>
          <w:p>
            <w:pPr>
              <w:spacing w:after="0"/>
              <w:rPr>
                <w:sz w:val="13"/>
                <w:szCs w:val="13"/>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19"/>
        </w:trPr>
        <w:tc>
          <w:tcPr>
            <w:tcW w:w="1960" w:type="dxa"/>
            <w:vAlign w:val="bottom"/>
            <w:gridSpan w:val="2"/>
          </w:tcPr>
          <w:p>
            <w:pPr>
              <w:ind w:left="580"/>
              <w:spacing w:after="0" w:line="119" w:lineRule="exact"/>
              <w:rPr>
                <w:sz w:val="20"/>
                <w:szCs w:val="20"/>
                <w:color w:val="auto"/>
              </w:rPr>
            </w:pPr>
            <w:r>
              <w:rPr>
                <w:rFonts w:ascii="Arial" w:cs="Arial" w:eastAsia="Arial" w:hAnsi="Arial"/>
                <w:sz w:val="13"/>
                <w:szCs w:val="13"/>
                <w:b w:val="1"/>
                <w:bCs w:val="1"/>
                <w:color w:val="auto"/>
              </w:rPr>
              <w:t>American depositary</w:t>
            </w:r>
          </w:p>
        </w:tc>
        <w:tc>
          <w:tcPr>
            <w:tcW w:w="2800" w:type="dxa"/>
            <w:vAlign w:val="bottom"/>
          </w:tcPr>
          <w:p>
            <w:pPr>
              <w:spacing w:after="0" w:line="119" w:lineRule="exact"/>
              <w:rPr>
                <w:sz w:val="20"/>
                <w:szCs w:val="20"/>
                <w:color w:val="auto"/>
              </w:rPr>
            </w:pPr>
            <w:r>
              <w:rPr>
                <w:rFonts w:ascii="Arial" w:cs="Arial" w:eastAsia="Arial" w:hAnsi="Arial"/>
                <w:sz w:val="13"/>
                <w:szCs w:val="13"/>
                <w:b w:val="1"/>
                <w:bCs w:val="1"/>
                <w:color w:val="auto"/>
              </w:rPr>
              <w:t>shares</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MSC</w:t>
            </w:r>
          </w:p>
        </w:tc>
        <w:tc>
          <w:tcPr>
            <w:tcW w:w="1960" w:type="dxa"/>
            <w:vAlign w:val="bottom"/>
          </w:tcPr>
          <w:p>
            <w:pPr>
              <w:spacing w:after="0"/>
              <w:rPr>
                <w:sz w:val="10"/>
                <w:szCs w:val="10"/>
                <w:color w:val="auto"/>
              </w:rPr>
            </w:pPr>
          </w:p>
        </w:tc>
        <w:tc>
          <w:tcPr>
            <w:tcW w:w="2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The New York Stock Exchange</w:t>
            </w:r>
          </w:p>
        </w:tc>
      </w:tr>
      <w:tr>
        <w:trPr>
          <w:trHeight w:val="186"/>
        </w:trPr>
        <w:tc>
          <w:tcPr>
            <w:tcW w:w="4760" w:type="dxa"/>
            <w:vAlign w:val="bottom"/>
            <w:gridSpan w:val="3"/>
          </w:tcPr>
          <w:p>
            <w:pPr>
              <w:jc w:val="center"/>
              <w:ind w:right="1813"/>
              <w:spacing w:after="0"/>
              <w:rPr>
                <w:sz w:val="20"/>
                <w:szCs w:val="20"/>
                <w:color w:val="auto"/>
              </w:rPr>
            </w:pPr>
            <w:r>
              <w:rPr>
                <w:rFonts w:ascii="Arial" w:cs="Arial" w:eastAsia="Arial" w:hAnsi="Arial"/>
                <w:sz w:val="14"/>
                <w:szCs w:val="14"/>
                <w:b w:val="1"/>
                <w:bCs w:val="1"/>
                <w:color w:val="auto"/>
                <w:w w:val="91"/>
              </w:rPr>
              <w:t>each representing four Class A ordinary shares</w:t>
            </w:r>
          </w:p>
        </w:tc>
        <w:tc>
          <w:tcPr>
            <w:tcW w:w="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60" w:type="dxa"/>
            <w:vAlign w:val="bottom"/>
          </w:tcPr>
          <w:p>
            <w:pPr>
              <w:spacing w:after="0"/>
              <w:rPr>
                <w:sz w:val="16"/>
                <w:szCs w:val="16"/>
                <w:color w:val="auto"/>
              </w:rPr>
            </w:pPr>
          </w:p>
        </w:tc>
      </w:tr>
    </w:tbl>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None.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None.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p>
      <w:pPr>
        <w:jc w:val="right"/>
        <w:ind w:left="120" w:right="2560"/>
        <w:spacing w:after="0" w:line="322" w:lineRule="auto"/>
        <w:rPr>
          <w:sz w:val="20"/>
          <w:szCs w:val="20"/>
          <w:color w:val="auto"/>
        </w:rPr>
      </w:pPr>
      <w:r>
        <w:rPr>
          <w:rFonts w:ascii="Arial" w:cs="Arial" w:eastAsia="Arial" w:hAnsi="Arial"/>
          <w:sz w:val="12"/>
          <w:szCs w:val="12"/>
          <w:b w:val="1"/>
          <w:bCs w:val="1"/>
          <w:color w:val="auto"/>
        </w:rPr>
        <w:t xml:space="preserve">Indicate the number of outstanding shares of each of the issuer’s classes of capital or common stock as of the close of the period covered by the annual report. </w:t>
      </w:r>
      <w:r>
        <w:rPr>
          <w:rFonts w:ascii="Arial" w:cs="Arial" w:eastAsia="Arial" w:hAnsi="Arial"/>
          <w:sz w:val="12"/>
          <w:szCs w:val="12"/>
          <w:color w:val="auto"/>
        </w:rPr>
        <w:t>370,352,700 Class A ordinary shares and 72,511,760 Class B ordinary shares outstanding as of December 31, 2020</w:t>
      </w:r>
    </w:p>
    <w:p>
      <w:pPr>
        <w:spacing w:after="0" w:line="1" w:lineRule="exact"/>
        <w:rPr>
          <w:sz w:val="24"/>
          <w:szCs w:val="24"/>
          <w:color w:val="auto"/>
        </w:rPr>
      </w:pPr>
    </w:p>
    <w:p>
      <w:pPr>
        <w:ind w:left="120"/>
        <w:spacing w:after="0" w:line="150" w:lineRule="exact"/>
        <w:tabs>
          <w:tab w:leader="none" w:pos="6460" w:val="left"/>
          <w:tab w:leader="none" w:pos="6940" w:val="left"/>
        </w:tabs>
        <w:rPr>
          <w:sz w:val="20"/>
          <w:szCs w:val="20"/>
          <w:color w:val="auto"/>
        </w:rPr>
      </w:pPr>
      <w:r>
        <w:rPr>
          <w:rFonts w:ascii="Arial" w:cs="Arial" w:eastAsia="Arial" w:hAnsi="Arial"/>
          <w:sz w:val="12"/>
          <w:szCs w:val="12"/>
          <w:b w:val="1"/>
          <w:bCs w:val="1"/>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b w:val="1"/>
          <w:bCs w:val="1"/>
          <w:color w:val="auto"/>
        </w:rPr>
        <w:t xml:space="preserve">No </w:t>
      </w:r>
      <w:r>
        <w:rPr>
          <w:rFonts w:ascii="MS PGothic" w:cs="MS PGothic" w:eastAsia="MS PGothic" w:hAnsi="MS PGothic"/>
          <w:sz w:val="12"/>
          <w:szCs w:val="12"/>
          <w:color w:val="auto"/>
        </w:rPr>
        <w:t>☒</w:t>
      </w:r>
    </w:p>
    <w:p>
      <w:pPr>
        <w:spacing w:after="0" w:line="53" w:lineRule="exact"/>
        <w:rPr>
          <w:sz w:val="24"/>
          <w:szCs w:val="24"/>
          <w:color w:val="auto"/>
        </w:rPr>
      </w:pPr>
    </w:p>
    <w:p>
      <w:pPr>
        <w:ind w:left="120"/>
        <w:spacing w:after="0" w:line="150" w:lineRule="exact"/>
        <w:tabs>
          <w:tab w:leader="none" w:pos="10260" w:val="left"/>
          <w:tab w:leader="none" w:pos="10740" w:val="left"/>
        </w:tabs>
        <w:rPr>
          <w:sz w:val="20"/>
          <w:szCs w:val="20"/>
          <w:color w:val="auto"/>
        </w:rPr>
      </w:pPr>
      <w:r>
        <w:rPr>
          <w:rFonts w:ascii="Arial" w:cs="Arial" w:eastAsia="Arial" w:hAnsi="Arial"/>
          <w:sz w:val="10"/>
          <w:szCs w:val="10"/>
          <w:b w:val="1"/>
          <w:bCs w:val="1"/>
          <w:color w:val="auto"/>
        </w:rPr>
        <w:t>If this report is an annual or transition report, indicate by check mark if the registrant is not required to file reports pursuant to Section 13 or 15(d) of the Securities Exchange Act of 1934.</w:t>
      </w:r>
      <w:r>
        <w:rPr>
          <w:sz w:val="20"/>
          <w:szCs w:val="20"/>
          <w:color w:val="auto"/>
        </w:rPr>
        <w:tab/>
      </w:r>
      <w:r>
        <w:rPr>
          <w:rFonts w:ascii="Arial" w:cs="Arial" w:eastAsia="Arial" w:hAnsi="Arial"/>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b w:val="1"/>
          <w:bCs w:val="1"/>
          <w:color w:val="auto"/>
        </w:rPr>
        <w:t xml:space="preserve">No </w:t>
      </w:r>
      <w:r>
        <w:rPr>
          <w:rFonts w:ascii="MS PGothic" w:cs="MS PGothic" w:eastAsia="MS PGothic" w:hAnsi="MS PGothic"/>
          <w:sz w:val="12"/>
          <w:szCs w:val="12"/>
          <w:color w:val="auto"/>
        </w:rPr>
        <w:t>☒</w:t>
      </w:r>
    </w:p>
    <w:p>
      <w:pPr>
        <w:spacing w:after="0" w:line="60" w:lineRule="exact"/>
        <w:rPr>
          <w:sz w:val="24"/>
          <w:szCs w:val="24"/>
          <w:color w:val="auto"/>
        </w:rPr>
      </w:pPr>
    </w:p>
    <w:p>
      <w:pPr>
        <w:ind w:left="120" w:right="40"/>
        <w:spacing w:after="0" w:line="164" w:lineRule="exact"/>
        <w:rPr>
          <w:sz w:val="20"/>
          <w:szCs w:val="20"/>
          <w:color w:val="auto"/>
        </w:rPr>
      </w:pPr>
      <w:r>
        <w:rPr>
          <w:rFonts w:ascii="Arial" w:cs="Arial" w:eastAsia="Arial" w:hAnsi="Arial"/>
          <w:sz w:val="13"/>
          <w:szCs w:val="13"/>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left="120"/>
        <w:spacing w:after="0" w:line="164" w:lineRule="exact"/>
        <w:rPr>
          <w:sz w:val="20"/>
          <w:szCs w:val="20"/>
          <w:color w:val="auto"/>
        </w:rPr>
      </w:pPr>
      <w:r>
        <w:rPr>
          <w:rFonts w:ascii="Arial" w:cs="Arial" w:eastAsia="Arial" w:hAnsi="Arial"/>
          <w:sz w:val="13"/>
          <w:szCs w:val="13"/>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w:t>
      </w:r>
      <w:r>
        <w:rPr>
          <w:rFonts w:ascii="Arial" w:cs="Arial" w:eastAsia="Arial" w:hAnsi="Arial"/>
          <w:sz w:val="13"/>
          <w:szCs w:val="13"/>
          <w:b w:val="1"/>
          <w:bCs w:val="1"/>
          <w:color w:val="auto"/>
        </w:rPr>
        <w:t>ndicate by check mark whether the registrant is a large accelerated filer, an accelerated filer, a non-accelerated filer, or an emerging growth company. See definition of “large accelerated filer,” “accelerated</w:t>
      </w:r>
      <w:r>
        <w:rPr>
          <w:rFonts w:ascii="Arial" w:cs="Arial" w:eastAsia="Arial" w:hAnsi="Arial"/>
          <w:sz w:val="13"/>
          <w:szCs w:val="13"/>
          <w:color w:val="auto"/>
        </w:rPr>
        <w:t xml:space="preserve"> </w:t>
      </w:r>
      <w:r>
        <w:rPr>
          <w:rFonts w:ascii="Arial" w:cs="Arial" w:eastAsia="Arial" w:hAnsi="Arial"/>
          <w:sz w:val="13"/>
          <w:szCs w:val="13"/>
          <w:b w:val="1"/>
          <w:bCs w:val="1"/>
          <w:color w:val="auto"/>
        </w:rPr>
        <w:t>filer,” and “emerging growth company” in Rule 12b-2 of the Exchange Act. (Check one):</w:t>
      </w:r>
    </w:p>
    <w:p>
      <w:pPr>
        <w:spacing w:after="0" w:line="21" w:lineRule="exact"/>
        <w:rPr>
          <w:sz w:val="24"/>
          <w:szCs w:val="24"/>
          <w:color w:val="auto"/>
        </w:rPr>
      </w:pPr>
    </w:p>
    <w:p>
      <w:pPr>
        <w:ind w:left="760"/>
        <w:spacing w:after="0" w:line="150" w:lineRule="exact"/>
        <w:tabs>
          <w:tab w:leader="none" w:pos="3800" w:val="left"/>
          <w:tab w:leader="none" w:pos="6420" w:val="left"/>
          <w:tab w:leader="none" w:pos="8940" w:val="left"/>
        </w:tabs>
        <w:rPr>
          <w:sz w:val="20"/>
          <w:szCs w:val="20"/>
          <w:color w:val="auto"/>
        </w:rPr>
      </w:pPr>
      <w:r>
        <w:rPr>
          <w:rFonts w:ascii="Arial" w:cs="Arial" w:eastAsia="Arial" w:hAnsi="Arial"/>
          <w:sz w:val="13"/>
          <w:szCs w:val="13"/>
          <w:b w:val="1"/>
          <w:bCs w:val="1"/>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b w:val="1"/>
          <w:bCs w:val="1"/>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b w:val="1"/>
          <w:bCs w:val="1"/>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b w:val="1"/>
          <w:bCs w:val="1"/>
          <w:color w:val="auto"/>
        </w:rPr>
        <w:t xml:space="preserve">Emerging growth company </w:t>
      </w:r>
      <w:r>
        <w:rPr>
          <w:rFonts w:ascii="MS PGothic" w:cs="MS PGothic" w:eastAsia="MS PGothic" w:hAnsi="MS PGothic"/>
          <w:sz w:val="12"/>
          <w:szCs w:val="12"/>
          <w:color w:val="auto"/>
        </w:rPr>
        <w:t>☐</w:t>
      </w:r>
    </w:p>
    <w:p>
      <w:pPr>
        <w:spacing w:after="0" w:line="71" w:lineRule="exact"/>
        <w:rPr>
          <w:sz w:val="24"/>
          <w:szCs w:val="24"/>
          <w:color w:val="auto"/>
        </w:rPr>
      </w:pPr>
    </w:p>
    <w:p>
      <w:pPr>
        <w:ind w:left="120" w:right="400"/>
        <w:spacing w:after="0" w:line="164" w:lineRule="exact"/>
        <w:rPr>
          <w:sz w:val="20"/>
          <w:szCs w:val="20"/>
          <w:color w:val="auto"/>
        </w:rPr>
      </w:pPr>
      <w:r>
        <w:rPr>
          <w:rFonts w:ascii="Arial" w:cs="Arial" w:eastAsia="Arial" w:hAnsi="Arial"/>
          <w:sz w:val="13"/>
          <w:szCs w:val="13"/>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2"/>
          <w:szCs w:val="12"/>
          <w:b w:val="1"/>
          <w:bCs w:val="1"/>
          <w:color w:val="auto"/>
        </w:rPr>
        <w:t>† The term “new or revised financial accounting standard” refers to any update issued by the Financial Accounting Standards Board to its Accounting Standards Codification after April 5, 2012.</w:t>
      </w:r>
    </w:p>
    <w:p>
      <w:pPr>
        <w:spacing w:after="0" w:line="51" w:lineRule="exact"/>
        <w:rPr>
          <w:sz w:val="24"/>
          <w:szCs w:val="24"/>
          <w:color w:val="auto"/>
        </w:rPr>
      </w:pPr>
    </w:p>
    <w:p>
      <w:pPr>
        <w:ind w:left="120" w:right="40"/>
        <w:spacing w:after="0" w:line="164" w:lineRule="exact"/>
        <w:rPr>
          <w:sz w:val="20"/>
          <w:szCs w:val="20"/>
          <w:color w:val="auto"/>
        </w:rPr>
      </w:pPr>
      <w:r>
        <w:rPr>
          <w:rFonts w:ascii="Arial" w:cs="Arial" w:eastAsia="Arial" w:hAnsi="Arial"/>
          <w:sz w:val="13"/>
          <w:szCs w:val="13"/>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Indicate by check mark which basis of accounting the registrant has used to prepare the financial statements included in this filing:</w:t>
      </w:r>
    </w:p>
    <w:p>
      <w:pPr>
        <w:sectPr>
          <w:pgSz w:w="11900" w:h="16838" w:orient="portrait"/>
          <w:cols w:equalWidth="0" w:num="1">
            <w:col w:w="11120"/>
          </w:cols>
          <w:pgMar w:left="320" w:top="419" w:right="459" w:bottom="1440" w:gutter="0" w:footer="0" w:header="0"/>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2"/>
          <w:szCs w:val="12"/>
          <w:b w:val="1"/>
          <w:bCs w:val="1"/>
          <w:color w:val="auto"/>
        </w:rPr>
        <w:t>U.S. GAAP</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International Financial Reporting Standards as issued</w:t>
      </w:r>
    </w:p>
    <w:p>
      <w:pPr>
        <w:spacing w:after="0" w:line="25"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by the International Accounting Standards Board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b w:val="1"/>
          <w:bCs w:val="1"/>
          <w:color w:val="auto"/>
        </w:rPr>
        <w:t xml:space="preserve">Other </w:t>
      </w:r>
      <w:r>
        <w:rPr>
          <w:rFonts w:ascii="MS PGothic" w:cs="MS PGothic" w:eastAsia="MS PGothic" w:hAnsi="MS PGothic"/>
          <w:sz w:val="13"/>
          <w:szCs w:val="13"/>
          <w:color w:val="auto"/>
        </w:rPr>
        <w:t>☐</w:t>
      </w:r>
    </w:p>
    <w:p>
      <w:pPr>
        <w:spacing w:after="0" w:line="224" w:lineRule="exact"/>
        <w:rPr>
          <w:sz w:val="24"/>
          <w:szCs w:val="24"/>
          <w:color w:val="auto"/>
        </w:rPr>
      </w:pPr>
    </w:p>
    <w:p>
      <w:pPr>
        <w:sectPr>
          <w:pgSz w:w="11900" w:h="16838" w:orient="portrait"/>
          <w:cols w:equalWidth="0" w:num="4">
            <w:col w:w="1800" w:space="60"/>
            <w:col w:w="1720" w:space="720"/>
            <w:col w:w="4640" w:space="720"/>
            <w:col w:w="1460"/>
          </w:cols>
          <w:pgMar w:left="320" w:top="419" w:right="459" w:bottom="1440" w:gutter="0" w:footer="0" w:header="0"/>
          <w:type w:val="continuous"/>
        </w:sectPr>
      </w:pPr>
    </w:p>
    <w:p>
      <w:pPr>
        <w:spacing w:after="0" w:line="21" w:lineRule="exact"/>
        <w:rPr>
          <w:sz w:val="24"/>
          <w:szCs w:val="24"/>
          <w:color w:val="auto"/>
        </w:rPr>
      </w:pPr>
    </w:p>
    <w:p>
      <w:pPr>
        <w:ind w:left="120"/>
        <w:spacing w:after="0"/>
        <w:rPr>
          <w:sz w:val="20"/>
          <w:szCs w:val="20"/>
          <w:color w:val="auto"/>
        </w:rPr>
      </w:pPr>
      <w:r>
        <w:rPr>
          <w:rFonts w:ascii="Arial" w:cs="Arial" w:eastAsia="Arial" w:hAnsi="Arial"/>
          <w:sz w:val="10"/>
          <w:szCs w:val="10"/>
          <w:b w:val="1"/>
          <w:bCs w:val="1"/>
          <w:color w:val="auto"/>
        </w:rPr>
        <w:t>If “Other” has been checked in response to the previous question, indicate by check mark which financial statement item the registrant has elected to follow.</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Item 17</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Item 18</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02" w:lineRule="exact"/>
        <w:rPr>
          <w:sz w:val="24"/>
          <w:szCs w:val="24"/>
          <w:color w:val="auto"/>
        </w:rPr>
      </w:pPr>
    </w:p>
    <w:p>
      <w:pPr>
        <w:sectPr>
          <w:pgSz w:w="11900" w:h="16838" w:orient="portrait"/>
          <w:cols w:equalWidth="0" w:num="5">
            <w:col w:w="8500" w:space="120"/>
            <w:col w:w="400" w:space="60"/>
            <w:col w:w="120" w:space="120"/>
            <w:col w:w="420" w:space="60"/>
            <w:col w:w="1320"/>
          </w:cols>
          <w:pgMar w:left="320" w:top="419" w:right="459" w:bottom="1440" w:gutter="0" w:footer="0" w:header="0"/>
          <w:type w:val="continuous"/>
        </w:sectPr>
      </w:pPr>
    </w:p>
    <w:p>
      <w:pPr>
        <w:ind w:left="120" w:right="2580"/>
        <w:spacing w:after="0" w:line="187" w:lineRule="exact"/>
        <w:rPr>
          <w:sz w:val="20"/>
          <w:szCs w:val="20"/>
          <w:color w:val="auto"/>
        </w:rPr>
      </w:pPr>
      <w:r>
        <w:rPr>
          <w:rFonts w:ascii="Arial" w:cs="Arial" w:eastAsia="Arial" w:hAnsi="Arial"/>
          <w:sz w:val="13"/>
          <w:szCs w:val="13"/>
          <w:b w:val="1"/>
          <w:bCs w:val="1"/>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(APPLICABLE ONLY TO ISSUERS INVOLVED IN BANKRUPTCY PROCEEDINGS DURING THE PAST FIVE YEARS)</w:t>
      </w:r>
    </w:p>
    <w:p>
      <w:pPr>
        <w:spacing w:after="0" w:line="25" w:lineRule="exact"/>
        <w:rPr>
          <w:sz w:val="24"/>
          <w:szCs w:val="24"/>
          <w:color w:val="auto"/>
        </w:rPr>
      </w:pPr>
    </w:p>
    <w:p>
      <w:pPr>
        <w:ind w:left="120" w:right="220"/>
        <w:spacing w:after="0" w:line="164" w:lineRule="exact"/>
        <w:rPr>
          <w:sz w:val="20"/>
          <w:szCs w:val="20"/>
          <w:color w:val="auto"/>
        </w:rPr>
      </w:pPr>
      <w:r>
        <w:rPr>
          <w:rFonts w:ascii="Arial" w:cs="Arial" w:eastAsia="Arial" w:hAnsi="Arial"/>
          <w:sz w:val="13"/>
          <w:szCs w:val="13"/>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44450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1360" w:type="dxa"/>
            <w:vAlign w:val="bottom"/>
            <w:tcBorders>
              <w:bottom w:val="single" w:sz="8" w:color="0000EE"/>
            </w:tcBorders>
            <w:gridSpan w:val="4"/>
          </w:tcPr>
          <w:p>
            <w:pPr>
              <w:spacing w:after="0" w:line="190"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INTRODUCTION</w:t>
              </w:r>
            </w:hyperlink>
          </w:p>
        </w:tc>
        <w:tc>
          <w:tcPr>
            <w:tcW w:w="7100" w:type="dxa"/>
            <w:vAlign w:val="bottom"/>
            <w:gridSpan w:val="31"/>
          </w:tcPr>
          <w:p>
            <w:pPr>
              <w:spacing w:after="0"/>
              <w:rPr>
                <w:sz w:val="16"/>
                <w:szCs w:val="16"/>
                <w:color w:val="auto"/>
              </w:rPr>
            </w:pPr>
          </w:p>
        </w:tc>
        <w:tc>
          <w:tcPr>
            <w:tcW w:w="25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9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GLOSSARY</w:t>
              </w:r>
            </w:hyperlink>
          </w:p>
        </w:tc>
        <w:tc>
          <w:tcPr>
            <w:tcW w:w="7520" w:type="dxa"/>
            <w:vAlign w:val="bottom"/>
            <w:gridSpan w:val="3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534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SPECIAL NOTE REGARDING FORWARD-LOOKING STATEMENTS</w:t>
              </w:r>
            </w:hyperlink>
          </w:p>
        </w:tc>
        <w:tc>
          <w:tcPr>
            <w:tcW w:w="3120" w:type="dxa"/>
            <w:vAlign w:val="bottom"/>
            <w:gridSpan w:val="6"/>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PART I</w:t>
              </w:r>
            </w:hyperlink>
          </w:p>
        </w:tc>
        <w:tc>
          <w:tcPr>
            <w:tcW w:w="7920" w:type="dxa"/>
            <w:vAlign w:val="bottom"/>
            <w:gridSpan w:val="33"/>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8460" w:type="dxa"/>
            <w:vAlign w:val="bottom"/>
            <w:gridSpan w:val="3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1. IDENTITY OF DIRECTORS, SENIOR MANAGEMENT AND ADVISERS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6260" w:type="dxa"/>
            <w:vAlign w:val="bottom"/>
            <w:tcBorders>
              <w:top w:val="single" w:sz="8" w:color="0000EE"/>
            </w:tcBorders>
            <w:gridSpan w:val="3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OFFER STATISTICS AND EXPECTED TIMETABLE</w:t>
              </w:r>
            </w:hyperlink>
          </w:p>
        </w:tc>
        <w:tc>
          <w:tcPr>
            <w:tcW w:w="22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ITEM 3. KEY INFORMATION</w:t>
              </w:r>
            </w:hyperlink>
          </w:p>
        </w:tc>
        <w:tc>
          <w:tcPr>
            <w:tcW w:w="2360" w:type="dxa"/>
            <w:vAlign w:val="bottom"/>
            <w:tcBorders>
              <w:top w:val="single" w:sz="8" w:color="0000EE"/>
            </w:tcBorders>
            <w:gridSpan w:val="14"/>
          </w:tcPr>
          <w:p>
            <w:pPr>
              <w:spacing w:after="0"/>
              <w:rPr>
                <w:sz w:val="24"/>
                <w:szCs w:val="24"/>
                <w:color w:val="auto"/>
              </w:rPr>
            </w:pPr>
          </w:p>
        </w:tc>
        <w:tc>
          <w:tcPr>
            <w:tcW w:w="3780" w:type="dxa"/>
            <w:vAlign w:val="bottom"/>
            <w:gridSpan w:val="11"/>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360" w:type="dxa"/>
            <w:vAlign w:val="bottom"/>
          </w:tcPr>
          <w:p>
            <w:pPr>
              <w:spacing w:after="0"/>
              <w:rPr>
                <w:sz w:val="24"/>
                <w:szCs w:val="24"/>
                <w:color w:val="auto"/>
              </w:rPr>
            </w:pPr>
          </w:p>
        </w:tc>
        <w:tc>
          <w:tcPr>
            <w:tcW w:w="8100" w:type="dxa"/>
            <w:vAlign w:val="bottom"/>
            <w:gridSpan w:val="3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A. SELECTED FINANCIAL DATA</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48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B. CAPITALIZATION AND INDEBTEDNESS</w:t>
              </w:r>
            </w:hyperlink>
          </w:p>
        </w:tc>
        <w:tc>
          <w:tcPr>
            <w:tcW w:w="4620" w:type="dxa"/>
            <w:vAlign w:val="bottom"/>
            <w:gridSpan w:val="1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8100" w:type="dxa"/>
            <w:vAlign w:val="bottom"/>
            <w:gridSpan w:val="3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 REASONS FOR THE OFFER AND USE OF PROCEEDS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D. RISK FACTORS</w:t>
              </w:r>
            </w:hyperlink>
          </w:p>
        </w:tc>
        <w:tc>
          <w:tcPr>
            <w:tcW w:w="3000" w:type="dxa"/>
            <w:vAlign w:val="bottom"/>
            <w:tcBorders>
              <w:top w:val="single" w:sz="8" w:color="0000EE"/>
            </w:tcBorders>
            <w:gridSpan w:val="19"/>
          </w:tcPr>
          <w:p>
            <w:pPr>
              <w:spacing w:after="0"/>
              <w:rPr>
                <w:sz w:val="24"/>
                <w:szCs w:val="24"/>
                <w:color w:val="auto"/>
              </w:rPr>
            </w:pPr>
          </w:p>
        </w:tc>
        <w:tc>
          <w:tcPr>
            <w:tcW w:w="3620" w:type="dxa"/>
            <w:vAlign w:val="bottom"/>
            <w:gridSpan w:val="9"/>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8460" w:type="dxa"/>
            <w:vAlign w:val="bottom"/>
            <w:gridSpan w:val="3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4. INFORMATION ON THE COMPANY</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A. HISTORY AND DEVELOPMENT OF THE COMPANY</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360" w:type="dxa"/>
            <w:vAlign w:val="bottom"/>
          </w:tcPr>
          <w:p>
            <w:pPr>
              <w:spacing w:after="0"/>
              <w:rPr>
                <w:sz w:val="24"/>
                <w:szCs w:val="24"/>
                <w:color w:val="auto"/>
              </w:rPr>
            </w:pPr>
          </w:p>
        </w:tc>
        <w:tc>
          <w:tcPr>
            <w:tcW w:w="4380" w:type="dxa"/>
            <w:vAlign w:val="bottom"/>
            <w:tcBorders>
              <w:top w:val="single" w:sz="8" w:color="0000EE"/>
            </w:tcBorders>
            <w:gridSpan w:val="2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B. BUSINESS OVERVIEW</w:t>
              </w:r>
            </w:hyperlink>
          </w:p>
        </w:tc>
        <w:tc>
          <w:tcPr>
            <w:tcW w:w="3720" w:type="dxa"/>
            <w:vAlign w:val="bottom"/>
            <w:gridSpan w:val="10"/>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90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C. ORGANIZATIONAL STRUCTURE</w:t>
              </w:r>
            </w:hyperlink>
          </w:p>
        </w:tc>
        <w:tc>
          <w:tcPr>
            <w:tcW w:w="5200" w:type="dxa"/>
            <w:vAlign w:val="bottom"/>
            <w:gridSpan w:val="20"/>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360" w:type="dxa"/>
            <w:vAlign w:val="bottom"/>
          </w:tcPr>
          <w:p>
            <w:pPr>
              <w:spacing w:after="0"/>
              <w:rPr>
                <w:sz w:val="24"/>
                <w:szCs w:val="24"/>
                <w:color w:val="auto"/>
              </w:rPr>
            </w:pPr>
          </w:p>
        </w:tc>
        <w:tc>
          <w:tcPr>
            <w:tcW w:w="330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89">
              <w:r>
                <w:rPr>
                  <w:rFonts w:ascii="Arial" w:cs="Arial" w:eastAsia="Arial" w:hAnsi="Arial"/>
                  <w:sz w:val="18"/>
                  <w:szCs w:val="18"/>
                  <w:color w:val="0000EE"/>
                  <w:w w:val="95"/>
                </w:rPr>
                <w:t>D. PROPERTY, PLANT AND EQUIPMENT</w:t>
              </w:r>
            </w:hyperlink>
          </w:p>
        </w:tc>
        <w:tc>
          <w:tcPr>
            <w:tcW w:w="4800" w:type="dxa"/>
            <w:vAlign w:val="bottom"/>
            <w:gridSpan w:val="16"/>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04"/>
        </w:trPr>
        <w:tc>
          <w:tcPr>
            <w:tcW w:w="8460" w:type="dxa"/>
            <w:vAlign w:val="bottom"/>
            <w:gridSpan w:val="3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4A. UNRESOLVED STAFF COMMENTS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8460" w:type="dxa"/>
            <w:vAlign w:val="bottom"/>
            <w:gridSpan w:val="3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5. OPERATING AND FINANCIAL REVIEW AND PROSPECTS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04"/>
        </w:trPr>
        <w:tc>
          <w:tcPr>
            <w:tcW w:w="360" w:type="dxa"/>
            <w:vAlign w:val="bottom"/>
            <w:tcBorders>
              <w:top w:val="single" w:sz="8" w:color="0000EE"/>
            </w:tcBorders>
          </w:tcPr>
          <w:p>
            <w:pPr>
              <w:spacing w:after="0"/>
              <w:rPr>
                <w:sz w:val="24"/>
                <w:szCs w:val="24"/>
                <w:color w:val="auto"/>
              </w:rPr>
            </w:pPr>
          </w:p>
        </w:tc>
        <w:tc>
          <w:tcPr>
            <w:tcW w:w="4960" w:type="dxa"/>
            <w:vAlign w:val="bottom"/>
            <w:tcBorders>
              <w:top w:val="single" w:sz="8" w:color="0000EE"/>
            </w:tcBorders>
            <w:gridSpan w:val="2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A. OPERATING RESULTS</w:t>
              </w:r>
            </w:hyperlink>
          </w:p>
        </w:tc>
        <w:tc>
          <w:tcPr>
            <w:tcW w:w="3140" w:type="dxa"/>
            <w:vAlign w:val="bottom"/>
            <w:gridSpan w:val="7"/>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44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00">
              <w:r>
                <w:rPr>
                  <w:rFonts w:ascii="Arial" w:cs="Arial" w:eastAsia="Arial" w:hAnsi="Arial"/>
                  <w:sz w:val="18"/>
                  <w:szCs w:val="18"/>
                  <w:color w:val="0000EE"/>
                  <w:w w:val="97"/>
                </w:rPr>
                <w:t>B. LIQUIDITY AND CAPITAL RESOURCES</w:t>
              </w:r>
            </w:hyperlink>
          </w:p>
        </w:tc>
        <w:tc>
          <w:tcPr>
            <w:tcW w:w="4660" w:type="dxa"/>
            <w:vAlign w:val="bottom"/>
            <w:gridSpan w:val="15"/>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360" w:type="dxa"/>
            <w:vAlign w:val="bottom"/>
          </w:tcPr>
          <w:p>
            <w:pPr>
              <w:spacing w:after="0"/>
              <w:rPr>
                <w:sz w:val="24"/>
                <w:szCs w:val="24"/>
                <w:color w:val="auto"/>
              </w:rPr>
            </w:pPr>
          </w:p>
        </w:tc>
        <w:tc>
          <w:tcPr>
            <w:tcW w:w="5580" w:type="dxa"/>
            <w:vAlign w:val="bottom"/>
            <w:tcBorders>
              <w:bottom w:val="single" w:sz="8" w:color="0000EE"/>
            </w:tcBorders>
            <w:gridSpan w:val="31"/>
          </w:tcPr>
          <w:p>
            <w:pPr>
              <w:spacing w:after="0"/>
              <w:rPr>
                <w:rFonts w:ascii="Arial" w:cs="Arial" w:eastAsia="Arial" w:hAnsi="Arial"/>
                <w:sz w:val="18"/>
                <w:szCs w:val="18"/>
                <w:color w:val="0000EE"/>
                <w:w w:val="94"/>
              </w:rPr>
            </w:pPr>
            <w:hyperlink w:anchor="page104">
              <w:r>
                <w:rPr>
                  <w:rFonts w:ascii="Arial" w:cs="Arial" w:eastAsia="Arial" w:hAnsi="Arial"/>
                  <w:sz w:val="18"/>
                  <w:szCs w:val="18"/>
                  <w:color w:val="0000EE"/>
                  <w:w w:val="94"/>
                </w:rPr>
                <w:t>C. RESEARCH AND DEVELOPMENT, PATENTS AND LICENSES, ETC.</w:t>
              </w:r>
            </w:hyperlink>
          </w:p>
        </w:tc>
        <w:tc>
          <w:tcPr>
            <w:tcW w:w="2520" w:type="dxa"/>
            <w:vAlign w:val="bottom"/>
            <w:gridSpan w:val="3"/>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04"/>
        </w:trPr>
        <w:tc>
          <w:tcPr>
            <w:tcW w:w="360" w:type="dxa"/>
            <w:vAlign w:val="bottom"/>
          </w:tcPr>
          <w:p>
            <w:pPr>
              <w:spacing w:after="0"/>
              <w:rPr>
                <w:sz w:val="24"/>
                <w:szCs w:val="24"/>
                <w:color w:val="auto"/>
              </w:rPr>
            </w:pPr>
          </w:p>
        </w:tc>
        <w:tc>
          <w:tcPr>
            <w:tcW w:w="8100" w:type="dxa"/>
            <w:vAlign w:val="bottom"/>
            <w:gridSpan w:val="34"/>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D. TREND INFORMATION</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4"/>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 OFF-BALANCE SHEET ARRANGEMENTS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5060" w:type="dxa"/>
            <w:vAlign w:val="bottom"/>
            <w:tcBorders>
              <w:bottom w:val="single" w:sz="8" w:color="0000EE"/>
            </w:tcBorders>
            <w:gridSpan w:val="29"/>
          </w:tcPr>
          <w:p>
            <w:pPr>
              <w:spacing w:after="0"/>
              <w:rPr>
                <w:rFonts w:ascii="Arial" w:cs="Arial" w:eastAsia="Arial" w:hAnsi="Arial"/>
                <w:sz w:val="18"/>
                <w:szCs w:val="18"/>
                <w:color w:val="0000EE"/>
                <w:w w:val="96"/>
              </w:rPr>
            </w:pPr>
            <w:hyperlink w:anchor="page106">
              <w:r>
                <w:rPr>
                  <w:rFonts w:ascii="Arial" w:cs="Arial" w:eastAsia="Arial" w:hAnsi="Arial"/>
                  <w:sz w:val="18"/>
                  <w:szCs w:val="18"/>
                  <w:color w:val="0000EE"/>
                  <w:w w:val="96"/>
                </w:rPr>
                <w:t>F. TABULAR DISCLOSURE OF CONTRACTUAL OBLIGATIONS</w:t>
              </w:r>
            </w:hyperlink>
          </w:p>
        </w:tc>
        <w:tc>
          <w:tcPr>
            <w:tcW w:w="3040" w:type="dxa"/>
            <w:vAlign w:val="bottom"/>
            <w:gridSpan w:val="5"/>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04"/>
        </w:trPr>
        <w:tc>
          <w:tcPr>
            <w:tcW w:w="360" w:type="dxa"/>
            <w:vAlign w:val="bottom"/>
          </w:tcPr>
          <w:p>
            <w:pPr>
              <w:spacing w:after="0"/>
              <w:rPr>
                <w:sz w:val="24"/>
                <w:szCs w:val="24"/>
                <w:color w:val="auto"/>
              </w:rPr>
            </w:pPr>
          </w:p>
        </w:tc>
        <w:tc>
          <w:tcPr>
            <w:tcW w:w="146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07">
              <w:r>
                <w:rPr>
                  <w:rFonts w:ascii="Arial" w:cs="Arial" w:eastAsia="Arial" w:hAnsi="Arial"/>
                  <w:sz w:val="18"/>
                  <w:szCs w:val="18"/>
                  <w:color w:val="0000EE"/>
                  <w:w w:val="94"/>
                </w:rPr>
                <w:t>G. SAFE HARBOR</w:t>
              </w:r>
            </w:hyperlink>
          </w:p>
        </w:tc>
        <w:tc>
          <w:tcPr>
            <w:tcW w:w="6640" w:type="dxa"/>
            <w:vAlign w:val="bottom"/>
            <w:gridSpan w:val="29"/>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04"/>
        </w:trPr>
        <w:tc>
          <w:tcPr>
            <w:tcW w:w="8460" w:type="dxa"/>
            <w:vAlign w:val="bottom"/>
            <w:gridSpan w:val="3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6. DIRECTORS, SENIOR MANAGEMENT AND EMPLOYEES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04"/>
        </w:trPr>
        <w:tc>
          <w:tcPr>
            <w:tcW w:w="360" w:type="dxa"/>
            <w:vAlign w:val="bottom"/>
            <w:tcBorders>
              <w:top w:val="single" w:sz="8" w:color="0000EE"/>
            </w:tcBorders>
          </w:tcPr>
          <w:p>
            <w:pPr>
              <w:spacing w:after="0"/>
              <w:rPr>
                <w:sz w:val="24"/>
                <w:szCs w:val="24"/>
                <w:color w:val="auto"/>
              </w:rPr>
            </w:pPr>
          </w:p>
        </w:tc>
        <w:tc>
          <w:tcPr>
            <w:tcW w:w="4920" w:type="dxa"/>
            <w:vAlign w:val="bottom"/>
            <w:tcBorders>
              <w:top w:val="single" w:sz="8" w:color="0000EE"/>
            </w:tcBorders>
            <w:gridSpan w:val="2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A. DIRECTORS AND SENIOR MANAGEMENT</w:t>
              </w:r>
            </w:hyperlink>
          </w:p>
        </w:tc>
        <w:tc>
          <w:tcPr>
            <w:tcW w:w="3180" w:type="dxa"/>
            <w:vAlign w:val="bottom"/>
            <w:gridSpan w:val="8"/>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4"/>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B. COMPENSATION OF DIRECTORS AND EXECUTIVE OFFICERS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04"/>
        </w:trPr>
        <w:tc>
          <w:tcPr>
            <w:tcW w:w="360" w:type="dxa"/>
            <w:vAlign w:val="bottom"/>
          </w:tcPr>
          <w:p>
            <w:pPr>
              <w:spacing w:after="0"/>
              <w:rPr>
                <w:sz w:val="24"/>
                <w:szCs w:val="24"/>
                <w:color w:val="auto"/>
              </w:rPr>
            </w:pPr>
          </w:p>
        </w:tc>
        <w:tc>
          <w:tcPr>
            <w:tcW w:w="1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112">
              <w:r>
                <w:rPr>
                  <w:rFonts w:ascii="Arial" w:cs="Arial" w:eastAsia="Arial" w:hAnsi="Arial"/>
                  <w:sz w:val="18"/>
                  <w:szCs w:val="18"/>
                  <w:color w:val="0000EE"/>
                  <w:w w:val="94"/>
                </w:rPr>
                <w:t>C. BOARD PRACTICES</w:t>
              </w:r>
            </w:hyperlink>
          </w:p>
        </w:tc>
        <w:tc>
          <w:tcPr>
            <w:tcW w:w="3420" w:type="dxa"/>
            <w:vAlign w:val="bottom"/>
            <w:tcBorders>
              <w:top w:val="single" w:sz="8" w:color="0000EE"/>
            </w:tcBorders>
            <w:gridSpan w:val="23"/>
          </w:tcPr>
          <w:p>
            <w:pPr>
              <w:spacing w:after="0"/>
              <w:rPr>
                <w:sz w:val="24"/>
                <w:szCs w:val="24"/>
                <w:color w:val="auto"/>
              </w:rPr>
            </w:pPr>
          </w:p>
        </w:tc>
        <w:tc>
          <w:tcPr>
            <w:tcW w:w="2820" w:type="dxa"/>
            <w:vAlign w:val="bottom"/>
            <w:gridSpan w:val="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360" w:type="dxa"/>
            <w:vAlign w:val="bottom"/>
          </w:tcPr>
          <w:p>
            <w:pPr>
              <w:spacing w:after="0"/>
              <w:rPr>
                <w:sz w:val="24"/>
                <w:szCs w:val="24"/>
                <w:color w:val="auto"/>
              </w:rPr>
            </w:pPr>
          </w:p>
        </w:tc>
        <w:tc>
          <w:tcPr>
            <w:tcW w:w="12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17">
              <w:r>
                <w:rPr>
                  <w:rFonts w:ascii="Arial" w:cs="Arial" w:eastAsia="Arial" w:hAnsi="Arial"/>
                  <w:sz w:val="18"/>
                  <w:szCs w:val="18"/>
                  <w:color w:val="0000EE"/>
                  <w:w w:val="93"/>
                </w:rPr>
                <w:t>D. EMPLOYEES</w:t>
              </w:r>
            </w:hyperlink>
          </w:p>
        </w:tc>
        <w:tc>
          <w:tcPr>
            <w:tcW w:w="6820" w:type="dxa"/>
            <w:vAlign w:val="bottom"/>
            <w:gridSpan w:val="30"/>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04"/>
        </w:trPr>
        <w:tc>
          <w:tcPr>
            <w:tcW w:w="360" w:type="dxa"/>
            <w:vAlign w:val="bottom"/>
          </w:tcPr>
          <w:p>
            <w:pPr>
              <w:spacing w:after="0"/>
              <w:rPr>
                <w:sz w:val="24"/>
                <w:szCs w:val="24"/>
                <w:color w:val="auto"/>
              </w:rPr>
            </w:pPr>
          </w:p>
        </w:tc>
        <w:tc>
          <w:tcPr>
            <w:tcW w:w="8100" w:type="dxa"/>
            <w:vAlign w:val="bottom"/>
            <w:gridSpan w:val="34"/>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E. SHARE OWNERSHIP</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360" w:type="dxa"/>
            <w:vAlign w:val="bottom"/>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60" w:type="dxa"/>
            <w:vAlign w:val="bottom"/>
            <w:gridSpan w:val="17"/>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6040" w:type="dxa"/>
            <w:vAlign w:val="bottom"/>
            <w:tcBorders>
              <w:bottom w:val="single" w:sz="8" w:color="0000EE"/>
            </w:tcBorders>
            <w:gridSpan w:val="33"/>
          </w:tcPr>
          <w:p>
            <w:pPr>
              <w:spacing w:after="0"/>
              <w:rPr>
                <w:rFonts w:ascii="Arial" w:cs="Arial" w:eastAsia="Arial" w:hAnsi="Arial"/>
                <w:sz w:val="18"/>
                <w:szCs w:val="18"/>
                <w:color w:val="0000EE"/>
                <w:w w:val="95"/>
              </w:rPr>
            </w:pPr>
            <w:hyperlink w:anchor="page119">
              <w:r>
                <w:rPr>
                  <w:rFonts w:ascii="Arial" w:cs="Arial" w:eastAsia="Arial" w:hAnsi="Arial"/>
                  <w:sz w:val="18"/>
                  <w:szCs w:val="18"/>
                  <w:color w:val="0000EE"/>
                  <w:w w:val="95"/>
                </w:rPr>
                <w:t>ITEM 7. MAJOR SHAREHOLDERS AND RELATED PARTY TRANSACTIONS</w:t>
              </w:r>
            </w:hyperlink>
          </w:p>
        </w:tc>
        <w:tc>
          <w:tcPr>
            <w:tcW w:w="2420" w:type="dxa"/>
            <w:vAlign w:val="bottom"/>
            <w:gridSpan w:val="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360" w:type="dxa"/>
            <w:vAlign w:val="bottom"/>
          </w:tcPr>
          <w:p>
            <w:pPr>
              <w:spacing w:after="0"/>
              <w:rPr>
                <w:sz w:val="24"/>
                <w:szCs w:val="24"/>
                <w:color w:val="auto"/>
              </w:rPr>
            </w:pPr>
          </w:p>
        </w:tc>
        <w:tc>
          <w:tcPr>
            <w:tcW w:w="230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119">
              <w:r>
                <w:rPr>
                  <w:rFonts w:ascii="Arial" w:cs="Arial" w:eastAsia="Arial" w:hAnsi="Arial"/>
                  <w:sz w:val="18"/>
                  <w:szCs w:val="18"/>
                  <w:color w:val="0000EE"/>
                  <w:w w:val="95"/>
                </w:rPr>
                <w:t>A. MAJOR SHAREHOLDERS</w:t>
              </w:r>
            </w:hyperlink>
          </w:p>
        </w:tc>
        <w:tc>
          <w:tcPr>
            <w:tcW w:w="5800" w:type="dxa"/>
            <w:vAlign w:val="bottom"/>
            <w:gridSpan w:val="2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360" w:type="dxa"/>
            <w:vAlign w:val="bottom"/>
          </w:tcPr>
          <w:p>
            <w:pPr>
              <w:spacing w:after="0"/>
              <w:rPr>
                <w:sz w:val="24"/>
                <w:szCs w:val="24"/>
                <w:color w:val="auto"/>
              </w:rPr>
            </w:pPr>
          </w:p>
        </w:tc>
        <w:tc>
          <w:tcPr>
            <w:tcW w:w="8100" w:type="dxa"/>
            <w:vAlign w:val="bottom"/>
            <w:gridSpan w:val="34"/>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B. RELATED PARTY TRANSACTIONS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85"/>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5"/>
          </w:tcPr>
          <w:p>
            <w:pPr>
              <w:ind w:left="60"/>
              <w:spacing w:after="0"/>
              <w:rPr>
                <w:sz w:val="20"/>
                <w:szCs w:val="20"/>
                <w:color w:val="auto"/>
              </w:rPr>
            </w:pPr>
            <w:r>
              <w:rPr>
                <w:rFonts w:ascii="Arial" w:cs="Arial" w:eastAsia="Arial" w:hAnsi="Arial"/>
                <w:sz w:val="18"/>
                <w:szCs w:val="18"/>
                <w:color w:val="auto"/>
              </w:rPr>
              <w:t>i</w:t>
            </w:r>
          </w:p>
        </w:tc>
        <w:tc>
          <w:tcPr>
            <w:tcW w:w="250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360" w:type="dxa"/>
            <w:vAlign w:val="bottom"/>
          </w:tcPr>
          <w:p>
            <w:pPr>
              <w:jc w:val="center"/>
              <w:ind w:left="1951"/>
              <w:spacing w:after="0"/>
              <w:rPr>
                <w:sz w:val="20"/>
                <w:szCs w:val="20"/>
                <w:color w:val="auto"/>
              </w:rPr>
            </w:pPr>
            <w:r>
              <w:rPr>
                <w:rFonts w:ascii="Arial" w:cs="Arial" w:eastAsia="Arial" w:hAnsi="Arial"/>
                <w:sz w:val="14"/>
                <w:szCs w:val="14"/>
                <w:color w:val="auto"/>
                <w:w w:val="85"/>
              </w:rPr>
              <w:t>Page</w:t>
            </w:r>
          </w:p>
        </w:tc>
      </w:tr>
      <w:tr>
        <w:trPr>
          <w:trHeight w:val="269"/>
        </w:trPr>
        <w:tc>
          <w:tcPr>
            <w:tcW w:w="360" w:type="dxa"/>
            <w:vAlign w:val="bottom"/>
          </w:tcPr>
          <w:p>
            <w:pPr>
              <w:spacing w:after="0"/>
              <w:rPr>
                <w:sz w:val="23"/>
                <w:szCs w:val="23"/>
                <w:color w:val="auto"/>
              </w:rPr>
            </w:pPr>
          </w:p>
        </w:tc>
        <w:tc>
          <w:tcPr>
            <w:tcW w:w="356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126">
              <w:r>
                <w:rPr>
                  <w:rFonts w:ascii="Arial" w:cs="Arial" w:eastAsia="Arial" w:hAnsi="Arial"/>
                  <w:sz w:val="18"/>
                  <w:szCs w:val="18"/>
                  <w:color w:val="0000EE"/>
                  <w:w w:val="93"/>
                </w:rPr>
                <w:t>C. INTERESTS OF EXPERTS AND COUNSEL</w:t>
              </w:r>
            </w:hyperlink>
          </w:p>
        </w:tc>
        <w:tc>
          <w:tcPr>
            <w:tcW w:w="4680" w:type="dxa"/>
            <w:vAlign w:val="bottom"/>
            <w:gridSpan w:val="8"/>
          </w:tcPr>
          <w:p>
            <w:pPr>
              <w:spacing w:after="0"/>
              <w:rPr>
                <w:sz w:val="23"/>
                <w:szCs w:val="23"/>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122</w:t>
            </w:r>
          </w:p>
        </w:tc>
      </w:tr>
      <w:tr>
        <w:trPr>
          <w:trHeight w:val="304"/>
        </w:trPr>
        <w:tc>
          <w:tcPr>
            <w:tcW w:w="292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126">
              <w:r>
                <w:rPr>
                  <w:rFonts w:ascii="Arial" w:cs="Arial" w:eastAsia="Arial" w:hAnsi="Arial"/>
                  <w:sz w:val="18"/>
                  <w:szCs w:val="18"/>
                  <w:color w:val="0000EE"/>
                  <w:w w:val="98"/>
                </w:rPr>
                <w:t>ITEM 8. FINANCIAL INFORMATION</w:t>
              </w:r>
            </w:hyperlink>
          </w:p>
        </w:tc>
        <w:tc>
          <w:tcPr>
            <w:tcW w:w="5680" w:type="dxa"/>
            <w:vAlign w:val="bottom"/>
            <w:gridSpan w:val="13"/>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122</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A. CONSOLIDATED STATEMENTS AND OTHER FINANCIAL INFORMATION</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122</w:t>
            </w:r>
          </w:p>
        </w:tc>
      </w:tr>
      <w:tr>
        <w:trPr>
          <w:trHeight w:val="304"/>
        </w:trPr>
        <w:tc>
          <w:tcPr>
            <w:tcW w:w="36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7"/>
              </w:rPr>
            </w:pPr>
            <w:hyperlink w:anchor="page127">
              <w:r>
                <w:rPr>
                  <w:rFonts w:ascii="Arial" w:cs="Arial" w:eastAsia="Arial" w:hAnsi="Arial"/>
                  <w:sz w:val="18"/>
                  <w:szCs w:val="18"/>
                  <w:color w:val="0000EE"/>
                  <w:w w:val="97"/>
                </w:rPr>
                <w:t>B. SIGNIFICANT CHANGES</w:t>
              </w:r>
            </w:hyperlink>
          </w:p>
        </w:tc>
        <w:tc>
          <w:tcPr>
            <w:tcW w:w="3880" w:type="dxa"/>
            <w:vAlign w:val="bottom"/>
            <w:tcBorders>
              <w:top w:val="single" w:sz="8" w:color="0000EE"/>
            </w:tcBorders>
            <w:gridSpan w:val="17"/>
          </w:tcPr>
          <w:p>
            <w:pPr>
              <w:spacing w:after="0"/>
              <w:rPr>
                <w:sz w:val="24"/>
                <w:szCs w:val="24"/>
                <w:color w:val="auto"/>
              </w:rPr>
            </w:pPr>
          </w:p>
        </w:tc>
        <w:tc>
          <w:tcPr>
            <w:tcW w:w="2100" w:type="dxa"/>
            <w:vAlign w:val="bottom"/>
            <w:gridSpan w:val="2"/>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123</w:t>
            </w:r>
          </w:p>
        </w:tc>
      </w:tr>
      <w:tr>
        <w:trPr>
          <w:trHeight w:val="304"/>
        </w:trPr>
        <w:tc>
          <w:tcPr>
            <w:tcW w:w="280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127">
              <w:r>
                <w:rPr>
                  <w:rFonts w:ascii="Arial" w:cs="Arial" w:eastAsia="Arial" w:hAnsi="Arial"/>
                  <w:sz w:val="18"/>
                  <w:szCs w:val="18"/>
                  <w:color w:val="0000EE"/>
                  <w:w w:val="96"/>
                </w:rPr>
                <w:t>ITEM 9. THE OFFER AND LISTING</w:t>
              </w:r>
            </w:hyperlink>
          </w:p>
        </w:tc>
        <w:tc>
          <w:tcPr>
            <w:tcW w:w="5800" w:type="dxa"/>
            <w:vAlign w:val="bottom"/>
            <w:gridSpan w:val="15"/>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123</w:t>
            </w:r>
          </w:p>
        </w:tc>
      </w:tr>
      <w:tr>
        <w:trPr>
          <w:trHeight w:val="34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A. OFFERING AND LISTING DETAILS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B. PLAN OF DISTRIBUTION</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C. MARKETS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D. SELLING SHAREHOLDERS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E. DILUTION</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F. EXPENSES OF THE ISSUE</w:t>
            </w:r>
          </w:p>
        </w:tc>
        <w:tc>
          <w:tcPr>
            <w:tcW w:w="2360" w:type="dxa"/>
            <w:vAlign w:val="bottom"/>
          </w:tcPr>
          <w:p>
            <w:pPr>
              <w:spacing w:after="0"/>
              <w:rPr>
                <w:sz w:val="24"/>
                <w:szCs w:val="24"/>
                <w:color w:val="auto"/>
              </w:rPr>
            </w:pPr>
          </w:p>
        </w:tc>
      </w:tr>
      <w:tr>
        <w:trPr>
          <w:trHeight w:val="283"/>
        </w:trPr>
        <w:tc>
          <w:tcPr>
            <w:tcW w:w="316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128">
              <w:r>
                <w:rPr>
                  <w:rFonts w:ascii="Arial" w:cs="Arial" w:eastAsia="Arial" w:hAnsi="Arial"/>
                  <w:sz w:val="18"/>
                  <w:szCs w:val="18"/>
                  <w:color w:val="0000EE"/>
                  <w:w w:val="99"/>
                </w:rPr>
                <w:t>ITEM 10. ADDITIONAL INFORMATION</w:t>
              </w:r>
            </w:hyperlink>
          </w:p>
        </w:tc>
        <w:tc>
          <w:tcPr>
            <w:tcW w:w="5440" w:type="dxa"/>
            <w:vAlign w:val="bottom"/>
            <w:gridSpan w:val="12"/>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124</w:t>
            </w: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128">
              <w:r>
                <w:rPr>
                  <w:rFonts w:ascii="Arial" w:cs="Arial" w:eastAsia="Arial" w:hAnsi="Arial"/>
                  <w:sz w:val="18"/>
                  <w:szCs w:val="18"/>
                  <w:color w:val="0000EE"/>
                  <w:w w:val="96"/>
                </w:rPr>
                <w:t>A. SHARE CAPITAL</w:t>
              </w:r>
            </w:hyperlink>
          </w:p>
        </w:tc>
        <w:tc>
          <w:tcPr>
            <w:tcW w:w="6640" w:type="dxa"/>
            <w:vAlign w:val="bottom"/>
            <w:gridSpan w:val="25"/>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124</w:t>
            </w:r>
          </w:p>
        </w:tc>
      </w:tr>
      <w:tr>
        <w:trPr>
          <w:trHeight w:val="304"/>
        </w:trPr>
        <w:tc>
          <w:tcPr>
            <w:tcW w:w="360" w:type="dxa"/>
            <w:vAlign w:val="bottom"/>
          </w:tcPr>
          <w:p>
            <w:pPr>
              <w:spacing w:after="0"/>
              <w:rPr>
                <w:sz w:val="24"/>
                <w:szCs w:val="24"/>
                <w:color w:val="auto"/>
              </w:rPr>
            </w:pPr>
          </w:p>
        </w:tc>
        <w:tc>
          <w:tcPr>
            <w:tcW w:w="4400" w:type="dxa"/>
            <w:vAlign w:val="bottom"/>
            <w:tcBorders>
              <w:bottom w:val="single" w:sz="8" w:color="0000EE"/>
            </w:tcBorders>
            <w:gridSpan w:val="22"/>
          </w:tcPr>
          <w:p>
            <w:pPr>
              <w:spacing w:after="0"/>
              <w:rPr>
                <w:rFonts w:ascii="Arial" w:cs="Arial" w:eastAsia="Arial" w:hAnsi="Arial"/>
                <w:sz w:val="18"/>
                <w:szCs w:val="18"/>
                <w:color w:val="0000EE"/>
                <w:w w:val="97"/>
              </w:rPr>
            </w:pPr>
            <w:hyperlink w:anchor="page128">
              <w:r>
                <w:rPr>
                  <w:rFonts w:ascii="Arial" w:cs="Arial" w:eastAsia="Arial" w:hAnsi="Arial"/>
                  <w:sz w:val="18"/>
                  <w:szCs w:val="18"/>
                  <w:color w:val="0000EE"/>
                  <w:w w:val="97"/>
                </w:rPr>
                <w:t>B. MEMORANDUM AND ARTICLES OF ASSOCIATION</w:t>
              </w:r>
            </w:hyperlink>
          </w:p>
        </w:tc>
        <w:tc>
          <w:tcPr>
            <w:tcW w:w="3840" w:type="dxa"/>
            <w:vAlign w:val="bottom"/>
            <w:gridSpan w:val="6"/>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124</w:t>
            </w:r>
          </w:p>
        </w:tc>
      </w:tr>
      <w:tr>
        <w:trPr>
          <w:trHeight w:val="304"/>
        </w:trPr>
        <w:tc>
          <w:tcPr>
            <w:tcW w:w="360" w:type="dxa"/>
            <w:vAlign w:val="bottom"/>
          </w:tcPr>
          <w:p>
            <w:pPr>
              <w:spacing w:after="0"/>
              <w:rPr>
                <w:sz w:val="24"/>
                <w:szCs w:val="24"/>
                <w:color w:val="auto"/>
              </w:rPr>
            </w:pPr>
          </w:p>
        </w:tc>
        <w:tc>
          <w:tcPr>
            <w:tcW w:w="224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37">
              <w:r>
                <w:rPr>
                  <w:rFonts w:ascii="Arial" w:cs="Arial" w:eastAsia="Arial" w:hAnsi="Arial"/>
                  <w:sz w:val="18"/>
                  <w:szCs w:val="18"/>
                  <w:color w:val="0000EE"/>
                  <w:w w:val="96"/>
                </w:rPr>
                <w:t>C. MATERIAL CONTRACTS</w:t>
              </w:r>
            </w:hyperlink>
          </w:p>
        </w:tc>
        <w:tc>
          <w:tcPr>
            <w:tcW w:w="6000" w:type="dxa"/>
            <w:vAlign w:val="bottom"/>
            <w:gridSpan w:val="20"/>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133</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D. EXCHANGE CONTROLS</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133</w:t>
            </w:r>
          </w:p>
        </w:tc>
      </w:tr>
      <w:tr>
        <w:trPr>
          <w:trHeight w:val="304"/>
        </w:trPr>
        <w:tc>
          <w:tcPr>
            <w:tcW w:w="36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137">
              <w:r>
                <w:rPr>
                  <w:rFonts w:ascii="Arial" w:cs="Arial" w:eastAsia="Arial" w:hAnsi="Arial"/>
                  <w:sz w:val="18"/>
                  <w:szCs w:val="18"/>
                  <w:color w:val="0000EE"/>
                  <w:w w:val="96"/>
                </w:rPr>
                <w:t>E. TAXATION</w:t>
              </w:r>
            </w:hyperlink>
          </w:p>
        </w:tc>
        <w:tc>
          <w:tcPr>
            <w:tcW w:w="1100" w:type="dxa"/>
            <w:vAlign w:val="bottom"/>
            <w:tcBorders>
              <w:top w:val="single" w:sz="8" w:color="0000EE"/>
            </w:tcBorders>
            <w:gridSpan w:val="5"/>
          </w:tcPr>
          <w:p>
            <w:pPr>
              <w:spacing w:after="0"/>
              <w:rPr>
                <w:sz w:val="24"/>
                <w:szCs w:val="24"/>
                <w:color w:val="auto"/>
              </w:rPr>
            </w:pPr>
          </w:p>
        </w:tc>
        <w:tc>
          <w:tcPr>
            <w:tcW w:w="6040" w:type="dxa"/>
            <w:vAlign w:val="bottom"/>
            <w:gridSpan w:val="21"/>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133</w:t>
            </w:r>
          </w:p>
        </w:tc>
      </w:tr>
      <w:tr>
        <w:trPr>
          <w:trHeight w:val="304"/>
        </w:trPr>
        <w:tc>
          <w:tcPr>
            <w:tcW w:w="360" w:type="dxa"/>
            <w:vAlign w:val="bottom"/>
          </w:tcPr>
          <w:p>
            <w:pPr>
              <w:spacing w:after="0"/>
              <w:rPr>
                <w:sz w:val="24"/>
                <w:szCs w:val="24"/>
                <w:color w:val="auto"/>
              </w:rPr>
            </w:pPr>
          </w:p>
        </w:tc>
        <w:tc>
          <w:tcPr>
            <w:tcW w:w="304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143">
              <w:r>
                <w:rPr>
                  <w:rFonts w:ascii="Arial" w:cs="Arial" w:eastAsia="Arial" w:hAnsi="Arial"/>
                  <w:sz w:val="18"/>
                  <w:szCs w:val="18"/>
                  <w:color w:val="0000EE"/>
                  <w:w w:val="96"/>
                </w:rPr>
                <w:t>F. DIVIDENDS AND PAYING AGENTS</w:t>
              </w:r>
            </w:hyperlink>
          </w:p>
        </w:tc>
        <w:tc>
          <w:tcPr>
            <w:tcW w:w="5200" w:type="dxa"/>
            <w:vAlign w:val="bottom"/>
            <w:gridSpan w:val="10"/>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139</w:t>
            </w:r>
          </w:p>
        </w:tc>
      </w:tr>
      <w:tr>
        <w:trPr>
          <w:trHeight w:val="304"/>
        </w:trPr>
        <w:tc>
          <w:tcPr>
            <w:tcW w:w="360" w:type="dxa"/>
            <w:vAlign w:val="bottom"/>
          </w:tcPr>
          <w:p>
            <w:pPr>
              <w:spacing w:after="0"/>
              <w:rPr>
                <w:sz w:val="24"/>
                <w:szCs w:val="24"/>
                <w:color w:val="auto"/>
              </w:rPr>
            </w:pPr>
          </w:p>
        </w:tc>
        <w:tc>
          <w:tcPr>
            <w:tcW w:w="236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43">
              <w:r>
                <w:rPr>
                  <w:rFonts w:ascii="Arial" w:cs="Arial" w:eastAsia="Arial" w:hAnsi="Arial"/>
                  <w:sz w:val="18"/>
                  <w:szCs w:val="18"/>
                  <w:color w:val="0000EE"/>
                  <w:w w:val="93"/>
                </w:rPr>
                <w:t>G. STATEMENT BY EXPERTS</w:t>
              </w:r>
            </w:hyperlink>
          </w:p>
        </w:tc>
        <w:tc>
          <w:tcPr>
            <w:tcW w:w="5880" w:type="dxa"/>
            <w:vAlign w:val="bottom"/>
            <w:gridSpan w:val="17"/>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139</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H. DOCUMENTS ON DISPLAY</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139</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I. SUBSIDIARY INFORMATION</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139</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8600" w:type="dxa"/>
            <w:vAlign w:val="bottom"/>
            <w:gridSpan w:val="29"/>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11. QUANTITATIVE AND QUALITATIVE DISCLOSURES ABOUT MARKET RISK</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140</w:t>
            </w:r>
          </w:p>
        </w:tc>
      </w:tr>
      <w:tr>
        <w:trPr>
          <w:trHeight w:val="304"/>
        </w:trPr>
        <w:tc>
          <w:tcPr>
            <w:tcW w:w="6880" w:type="dxa"/>
            <w:vAlign w:val="bottom"/>
            <w:tcBorders>
              <w:top w:val="single" w:sz="8" w:color="0000EE"/>
            </w:tcBorders>
            <w:gridSpan w:val="28"/>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12. DESCRIPTION OF SECURITIES OTHER THAN EQUITY SECURITIES</w:t>
              </w:r>
            </w:hyperlink>
          </w:p>
        </w:tc>
        <w:tc>
          <w:tcPr>
            <w:tcW w:w="1720" w:type="dxa"/>
            <w:vAlign w:val="bottom"/>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140</w:t>
            </w:r>
          </w:p>
        </w:tc>
      </w:tr>
      <w:tr>
        <w:trPr>
          <w:trHeight w:val="304"/>
        </w:trPr>
        <w:tc>
          <w:tcPr>
            <w:tcW w:w="360" w:type="dxa"/>
            <w:vAlign w:val="bottom"/>
            <w:tcBorders>
              <w:top w:val="single" w:sz="8" w:color="0000EE"/>
            </w:tcBorders>
          </w:tcPr>
          <w:p>
            <w:pPr>
              <w:spacing w:after="0"/>
              <w:rPr>
                <w:sz w:val="24"/>
                <w:szCs w:val="24"/>
                <w:color w:val="auto"/>
              </w:rPr>
            </w:pPr>
          </w:p>
        </w:tc>
        <w:tc>
          <w:tcPr>
            <w:tcW w:w="17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5"/>
              </w:rPr>
            </w:pPr>
            <w:hyperlink w:anchor="page144">
              <w:r>
                <w:rPr>
                  <w:rFonts w:ascii="Arial" w:cs="Arial" w:eastAsia="Arial" w:hAnsi="Arial"/>
                  <w:sz w:val="18"/>
                  <w:szCs w:val="18"/>
                  <w:color w:val="0000EE"/>
                  <w:w w:val="95"/>
                </w:rPr>
                <w:t>A. DEBT SECURITIES</w:t>
              </w:r>
            </w:hyperlink>
          </w:p>
        </w:tc>
        <w:tc>
          <w:tcPr>
            <w:tcW w:w="4100" w:type="dxa"/>
            <w:vAlign w:val="bottom"/>
            <w:tcBorders>
              <w:top w:val="single" w:sz="8" w:color="0000EE"/>
            </w:tcBorders>
            <w:gridSpan w:val="21"/>
          </w:tcPr>
          <w:p>
            <w:pPr>
              <w:spacing w:after="0"/>
              <w:rPr>
                <w:sz w:val="24"/>
                <w:szCs w:val="24"/>
                <w:color w:val="auto"/>
              </w:rPr>
            </w:pPr>
          </w:p>
        </w:tc>
        <w:tc>
          <w:tcPr>
            <w:tcW w:w="2380" w:type="dxa"/>
            <w:vAlign w:val="bottom"/>
            <w:gridSpan w:val="3"/>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140</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B. WARRANTS AND RIGHTS</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140</w:t>
            </w:r>
          </w:p>
        </w:tc>
      </w:tr>
      <w:tr>
        <w:trPr>
          <w:trHeight w:val="304"/>
        </w:trPr>
        <w:tc>
          <w:tcPr>
            <w:tcW w:w="36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145">
              <w:r>
                <w:rPr>
                  <w:rFonts w:ascii="Arial" w:cs="Arial" w:eastAsia="Arial" w:hAnsi="Arial"/>
                  <w:sz w:val="18"/>
                  <w:szCs w:val="18"/>
                  <w:color w:val="0000EE"/>
                  <w:w w:val="93"/>
                </w:rPr>
                <w:t>C. OTHER SECURITIES</w:t>
              </w:r>
            </w:hyperlink>
          </w:p>
        </w:tc>
        <w:tc>
          <w:tcPr>
            <w:tcW w:w="440" w:type="dxa"/>
            <w:vAlign w:val="bottom"/>
            <w:tcBorders>
              <w:top w:val="single" w:sz="8" w:color="0000EE"/>
            </w:tcBorders>
            <w:gridSpan w:val="5"/>
          </w:tcPr>
          <w:p>
            <w:pPr>
              <w:spacing w:after="0"/>
              <w:rPr>
                <w:sz w:val="24"/>
                <w:szCs w:val="24"/>
                <w:color w:val="auto"/>
              </w:rPr>
            </w:pPr>
          </w:p>
        </w:tc>
        <w:tc>
          <w:tcPr>
            <w:tcW w:w="5920" w:type="dxa"/>
            <w:vAlign w:val="bottom"/>
            <w:gridSpan w:val="18"/>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141</w:t>
            </w:r>
          </w:p>
        </w:tc>
      </w:tr>
      <w:tr>
        <w:trPr>
          <w:trHeight w:val="304"/>
        </w:trPr>
        <w:tc>
          <w:tcPr>
            <w:tcW w:w="360" w:type="dxa"/>
            <w:vAlign w:val="bottom"/>
          </w:tcPr>
          <w:p>
            <w:pPr>
              <w:spacing w:after="0"/>
              <w:rPr>
                <w:sz w:val="24"/>
                <w:szCs w:val="24"/>
                <w:color w:val="auto"/>
              </w:rPr>
            </w:pPr>
          </w:p>
        </w:tc>
        <w:tc>
          <w:tcPr>
            <w:tcW w:w="306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145">
              <w:r>
                <w:rPr>
                  <w:rFonts w:ascii="Arial" w:cs="Arial" w:eastAsia="Arial" w:hAnsi="Arial"/>
                  <w:sz w:val="18"/>
                  <w:szCs w:val="18"/>
                  <w:color w:val="0000EE"/>
                  <w:w w:val="95"/>
                </w:rPr>
                <w:t>D. AMERICAN DEPOSITARY SHARES</w:t>
              </w:r>
            </w:hyperlink>
          </w:p>
        </w:tc>
        <w:tc>
          <w:tcPr>
            <w:tcW w:w="5180" w:type="dxa"/>
            <w:vAlign w:val="bottom"/>
            <w:gridSpan w:val="9"/>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141</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46">
              <w:r>
                <w:rPr>
                  <w:rFonts w:ascii="Arial" w:cs="Arial" w:eastAsia="Arial" w:hAnsi="Arial"/>
                  <w:sz w:val="18"/>
                  <w:szCs w:val="18"/>
                  <w:color w:val="0000EE"/>
                  <w:w w:val="91"/>
                </w:rPr>
                <w:t>PART II</w:t>
              </w:r>
            </w:hyperlink>
          </w:p>
        </w:tc>
        <w:tc>
          <w:tcPr>
            <w:tcW w:w="8000" w:type="dxa"/>
            <w:vAlign w:val="bottom"/>
            <w:gridSpan w:val="27"/>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142</w:t>
            </w:r>
          </w:p>
        </w:tc>
      </w:tr>
      <w:tr>
        <w:trPr>
          <w:trHeight w:val="304"/>
        </w:trPr>
        <w:tc>
          <w:tcPr>
            <w:tcW w:w="8600" w:type="dxa"/>
            <w:vAlign w:val="bottom"/>
            <w:gridSpan w:val="29"/>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ITEM 13. DEFAULTS, DIVIDEND ARREARAGES AND DELINQUENCIES</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142</w:t>
            </w:r>
          </w:p>
        </w:tc>
      </w:tr>
      <w:tr>
        <w:trPr>
          <w:trHeight w:val="20"/>
        </w:trPr>
        <w:tc>
          <w:tcPr>
            <w:tcW w:w="2320" w:type="dxa"/>
            <w:vAlign w:val="bottom"/>
            <w:gridSpan w:val="7"/>
            <w:shd w:val="clear" w:color="auto" w:fill="0000EE"/>
          </w:tcPr>
          <w:p>
            <w:pPr>
              <w:spacing w:after="0" w:line="20" w:lineRule="exact"/>
              <w:rPr>
                <w:sz w:val="1"/>
                <w:szCs w:val="1"/>
                <w:color w:val="auto"/>
              </w:rPr>
            </w:pPr>
          </w:p>
        </w:tc>
        <w:tc>
          <w:tcPr>
            <w:tcW w:w="1040" w:type="dxa"/>
            <w:vAlign w:val="bottom"/>
            <w:gridSpan w:val="11"/>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860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146">
              <w:r>
                <w:rPr>
                  <w:rFonts w:ascii="Arial" w:cs="Arial" w:eastAsia="Arial" w:hAnsi="Arial"/>
                  <w:sz w:val="18"/>
                  <w:szCs w:val="18"/>
                  <w:color w:val="0000EE"/>
                  <w:w w:val="95"/>
                </w:rPr>
                <w:t>ITEM 14. MATERIAL MODIFICATIONS TO THE RIGHTS OF SECURITY HOLDERS AND USE OF PROCEEDS</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142</w:t>
            </w:r>
          </w:p>
        </w:tc>
      </w:tr>
      <w:tr>
        <w:trPr>
          <w:trHeight w:val="304"/>
        </w:trPr>
        <w:tc>
          <w:tcPr>
            <w:tcW w:w="336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146">
              <w:r>
                <w:rPr>
                  <w:rFonts w:ascii="Arial" w:cs="Arial" w:eastAsia="Arial" w:hAnsi="Arial"/>
                  <w:sz w:val="18"/>
                  <w:szCs w:val="18"/>
                  <w:color w:val="0000EE"/>
                  <w:w w:val="94"/>
                </w:rPr>
                <w:t>ITEM 15. CONTROLS AND PROCEDURES</w:t>
              </w:r>
            </w:hyperlink>
          </w:p>
        </w:tc>
        <w:tc>
          <w:tcPr>
            <w:tcW w:w="5240" w:type="dxa"/>
            <w:vAlign w:val="bottom"/>
            <w:gridSpan w:val="11"/>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142</w:t>
            </w:r>
          </w:p>
        </w:tc>
      </w:tr>
      <w:tr>
        <w:trPr>
          <w:trHeight w:val="304"/>
        </w:trPr>
        <w:tc>
          <w:tcPr>
            <w:tcW w:w="8600" w:type="dxa"/>
            <w:vAlign w:val="bottom"/>
            <w:gridSpan w:val="29"/>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ITEM 16A. AUDIT COMMITTEE FINANCIAL EXPERT</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144</w:t>
            </w:r>
          </w:p>
        </w:tc>
      </w:tr>
      <w:tr>
        <w:trPr>
          <w:trHeight w:val="304"/>
        </w:trPr>
        <w:tc>
          <w:tcPr>
            <w:tcW w:w="23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148">
              <w:r>
                <w:rPr>
                  <w:rFonts w:ascii="Arial" w:cs="Arial" w:eastAsia="Arial" w:hAnsi="Arial"/>
                  <w:sz w:val="18"/>
                  <w:szCs w:val="18"/>
                  <w:color w:val="0000EE"/>
                  <w:w w:val="94"/>
                </w:rPr>
                <w:t>ITEM 16B. CODE OF ETHICS</w:t>
              </w:r>
            </w:hyperlink>
          </w:p>
        </w:tc>
        <w:tc>
          <w:tcPr>
            <w:tcW w:w="1960" w:type="dxa"/>
            <w:vAlign w:val="bottom"/>
            <w:tcBorders>
              <w:top w:val="single" w:sz="8" w:color="0000EE"/>
            </w:tcBorders>
            <w:gridSpan w:val="15"/>
          </w:tcPr>
          <w:p>
            <w:pPr>
              <w:spacing w:after="0"/>
              <w:rPr>
                <w:sz w:val="24"/>
                <w:szCs w:val="24"/>
                <w:color w:val="auto"/>
              </w:rPr>
            </w:pPr>
          </w:p>
        </w:tc>
        <w:tc>
          <w:tcPr>
            <w:tcW w:w="4320" w:type="dxa"/>
            <w:vAlign w:val="bottom"/>
            <w:gridSpan w:val="7"/>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144</w:t>
            </w:r>
          </w:p>
        </w:tc>
      </w:tr>
      <w:tr>
        <w:trPr>
          <w:trHeight w:val="304"/>
        </w:trPr>
        <w:tc>
          <w:tcPr>
            <w:tcW w:w="8600" w:type="dxa"/>
            <w:vAlign w:val="bottom"/>
            <w:gridSpan w:val="29"/>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ITEM 16C. PRINCIPAL ACCOUNTANT FEES AND SERVICES</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144</w:t>
            </w:r>
          </w:p>
        </w:tc>
      </w:tr>
      <w:tr>
        <w:trPr>
          <w:trHeight w:val="385"/>
        </w:trPr>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760" w:type="dxa"/>
            <w:vAlign w:val="bottom"/>
            <w:gridSpan w:val="5"/>
          </w:tcPr>
          <w:p>
            <w:pPr>
              <w:ind w:left="620"/>
              <w:spacing w:after="0"/>
              <w:rPr>
                <w:sz w:val="20"/>
                <w:szCs w:val="20"/>
                <w:color w:val="auto"/>
              </w:rPr>
            </w:pPr>
            <w:r>
              <w:rPr>
                <w:rFonts w:ascii="Arial" w:cs="Arial" w:eastAsia="Arial" w:hAnsi="Arial"/>
                <w:sz w:val="18"/>
                <w:szCs w:val="18"/>
                <w:color w:val="auto"/>
              </w:rPr>
              <w:t>ii</w:t>
            </w:r>
          </w:p>
        </w:tc>
        <w:tc>
          <w:tcPr>
            <w:tcW w:w="236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69"/>
        </w:trPr>
        <w:tc>
          <w:tcPr>
            <w:tcW w:w="704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148">
              <w:r>
                <w:rPr>
                  <w:rFonts w:ascii="Arial" w:cs="Arial" w:eastAsia="Arial" w:hAnsi="Arial"/>
                  <w:sz w:val="18"/>
                  <w:szCs w:val="18"/>
                  <w:color w:val="0000EE"/>
                  <w:w w:val="96"/>
                </w:rPr>
                <w:t>ITEM 16D. EXEMPTIONS FROM THE LISTING STANDARDS FOR AUDIT COMMITTEES</w:t>
              </w:r>
            </w:hyperlink>
          </w:p>
        </w:tc>
        <w:tc>
          <w:tcPr>
            <w:tcW w:w="2300" w:type="dxa"/>
            <w:vAlign w:val="bottom"/>
            <w:gridSpan w:val="2"/>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04"/>
        </w:trPr>
        <w:tc>
          <w:tcPr>
            <w:tcW w:w="802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48">
              <w:r>
                <w:rPr>
                  <w:rFonts w:ascii="Arial" w:cs="Arial" w:eastAsia="Arial" w:hAnsi="Arial"/>
                  <w:sz w:val="18"/>
                  <w:szCs w:val="18"/>
                  <w:color w:val="0000EE"/>
                  <w:w w:val="95"/>
                </w:rPr>
                <w:t>ITEM 16E. PURCHASES OF EQUITY SECURITIES BY THE ISSUER AND AFFILIATED PURCHASERS</w:t>
              </w:r>
            </w:hyperlink>
          </w:p>
        </w:tc>
        <w:tc>
          <w:tcPr>
            <w:tcW w:w="1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04"/>
        </w:trPr>
        <w:tc>
          <w:tcPr>
            <w:tcW w:w="552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49">
              <w:r>
                <w:rPr>
                  <w:rFonts w:ascii="Arial" w:cs="Arial" w:eastAsia="Arial" w:hAnsi="Arial"/>
                  <w:sz w:val="18"/>
                  <w:szCs w:val="18"/>
                  <w:color w:val="0000EE"/>
                  <w:w w:val="96"/>
                </w:rPr>
                <w:t>ITEM 16F. CHANGE IN REGISTRANT’S CERTIFYING ACCOUNTANT</w:t>
              </w:r>
            </w:hyperlink>
          </w:p>
        </w:tc>
        <w:tc>
          <w:tcPr>
            <w:tcW w:w="382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04"/>
        </w:trPr>
        <w:tc>
          <w:tcPr>
            <w:tcW w:w="32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49">
              <w:r>
                <w:rPr>
                  <w:rFonts w:ascii="Arial" w:cs="Arial" w:eastAsia="Arial" w:hAnsi="Arial"/>
                  <w:sz w:val="18"/>
                  <w:szCs w:val="18"/>
                  <w:color w:val="0000EE"/>
                  <w:w w:val="94"/>
                </w:rPr>
                <w:t>ITEM 16G. CORPORATE GOVERNANCE</w:t>
              </w:r>
            </w:hyperlink>
          </w:p>
        </w:tc>
        <w:tc>
          <w:tcPr>
            <w:tcW w:w="6120" w:type="dxa"/>
            <w:vAlign w:val="bottom"/>
            <w:gridSpan w:val="5"/>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04"/>
        </w:trPr>
        <w:tc>
          <w:tcPr>
            <w:tcW w:w="32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149">
              <w:r>
                <w:rPr>
                  <w:rFonts w:ascii="Arial" w:cs="Arial" w:eastAsia="Arial" w:hAnsi="Arial"/>
                  <w:sz w:val="18"/>
                  <w:szCs w:val="18"/>
                  <w:color w:val="0000EE"/>
                  <w:w w:val="96"/>
                </w:rPr>
                <w:t>ITEM 16H. MINE SAFETY DISCLOSURE</w:t>
              </w:r>
            </w:hyperlink>
          </w:p>
        </w:tc>
        <w:tc>
          <w:tcPr>
            <w:tcW w:w="6120" w:type="dxa"/>
            <w:vAlign w:val="bottom"/>
            <w:gridSpan w:val="5"/>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04"/>
        </w:trPr>
        <w:tc>
          <w:tcPr>
            <w:tcW w:w="660" w:type="dxa"/>
            <w:vAlign w:val="bottom"/>
            <w:tcBorders>
              <w:bottom w:val="single" w:sz="8" w:color="0000EE"/>
            </w:tcBorders>
          </w:tcPr>
          <w:p>
            <w:pPr>
              <w:spacing w:after="0"/>
              <w:rPr>
                <w:rFonts w:ascii="Arial" w:cs="Arial" w:eastAsia="Arial" w:hAnsi="Arial"/>
                <w:sz w:val="18"/>
                <w:szCs w:val="18"/>
                <w:color w:val="0000EE"/>
                <w:w w:val="94"/>
              </w:rPr>
            </w:pPr>
            <w:hyperlink w:anchor="page149">
              <w:r>
                <w:rPr>
                  <w:rFonts w:ascii="Arial" w:cs="Arial" w:eastAsia="Arial" w:hAnsi="Arial"/>
                  <w:sz w:val="18"/>
                  <w:szCs w:val="18"/>
                  <w:color w:val="0000EE"/>
                  <w:w w:val="94"/>
                </w:rPr>
                <w:t>PART III</w:t>
              </w:r>
            </w:hyperlink>
          </w:p>
        </w:tc>
        <w:tc>
          <w:tcPr>
            <w:tcW w:w="8680" w:type="dxa"/>
            <w:vAlign w:val="bottom"/>
            <w:gridSpan w:val="10"/>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04"/>
        </w:trPr>
        <w:tc>
          <w:tcPr>
            <w:tcW w:w="292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49">
              <w:r>
                <w:rPr>
                  <w:rFonts w:ascii="Arial" w:cs="Arial" w:eastAsia="Arial" w:hAnsi="Arial"/>
                  <w:sz w:val="18"/>
                  <w:szCs w:val="18"/>
                  <w:color w:val="0000EE"/>
                  <w:w w:val="97"/>
                </w:rPr>
                <w:t>ITEM 17. FINANCIAL STATEMENTS</w:t>
              </w:r>
            </w:hyperlink>
          </w:p>
        </w:tc>
        <w:tc>
          <w:tcPr>
            <w:tcW w:w="6420" w:type="dxa"/>
            <w:vAlign w:val="bottom"/>
            <w:gridSpan w:val="6"/>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04"/>
        </w:trPr>
        <w:tc>
          <w:tcPr>
            <w:tcW w:w="9340" w:type="dxa"/>
            <w:vAlign w:val="bottom"/>
            <w:gridSpan w:val="11"/>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ITEM 18. FINANCIAL STATEMENTS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04"/>
        </w:trPr>
        <w:tc>
          <w:tcPr>
            <w:tcW w:w="15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150">
              <w:r>
                <w:rPr>
                  <w:rFonts w:ascii="Arial" w:cs="Arial" w:eastAsia="Arial" w:hAnsi="Arial"/>
                  <w:sz w:val="18"/>
                  <w:szCs w:val="18"/>
                  <w:color w:val="0000EE"/>
                  <w:w w:val="97"/>
                </w:rPr>
                <w:t>ITEM 19. EXHIBITS</w:t>
              </w:r>
            </w:hyperlink>
          </w:p>
        </w:tc>
        <w:tc>
          <w:tcPr>
            <w:tcW w:w="1320" w:type="dxa"/>
            <w:vAlign w:val="bottom"/>
            <w:tcBorders>
              <w:top w:val="single" w:sz="8" w:color="0000EE"/>
            </w:tcBorders>
          </w:tcPr>
          <w:p>
            <w:pPr>
              <w:spacing w:after="0"/>
              <w:rPr>
                <w:sz w:val="24"/>
                <w:szCs w:val="24"/>
                <w:color w:val="auto"/>
              </w:rPr>
            </w:pPr>
          </w:p>
        </w:tc>
        <w:tc>
          <w:tcPr>
            <w:tcW w:w="6440" w:type="dxa"/>
            <w:vAlign w:val="bottom"/>
            <w:gridSpan w:val="7"/>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04"/>
        </w:trPr>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55">
              <w:r>
                <w:rPr>
                  <w:rFonts w:ascii="Arial" w:cs="Arial" w:eastAsia="Arial" w:hAnsi="Arial"/>
                  <w:sz w:val="18"/>
                  <w:szCs w:val="18"/>
                  <w:color w:val="0000EE"/>
                  <w:w w:val="92"/>
                </w:rPr>
                <w:t>SIGNATURES</w:t>
              </w:r>
            </w:hyperlink>
          </w:p>
        </w:tc>
        <w:tc>
          <w:tcPr>
            <w:tcW w:w="8240" w:type="dxa"/>
            <w:vAlign w:val="bottom"/>
            <w:gridSpan w:val="9"/>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04"/>
        </w:trPr>
        <w:tc>
          <w:tcPr>
            <w:tcW w:w="9340" w:type="dxa"/>
            <w:vAlign w:val="bottom"/>
            <w:gridSpan w:val="11"/>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INDEX TO CONSOLIDATED FINANCIAL STATEMENTS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5"/>
        </w:trPr>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4900" w:type="dxa"/>
            <w:vAlign w:val="bottom"/>
            <w:gridSpan w:val="4"/>
          </w:tcPr>
          <w:p>
            <w:pPr>
              <w:ind w:left="980"/>
              <w:spacing w:after="0"/>
              <w:rPr>
                <w:sz w:val="20"/>
                <w:szCs w:val="20"/>
                <w:color w:val="auto"/>
              </w:rPr>
            </w:pPr>
            <w:r>
              <w:rPr>
                <w:rFonts w:ascii="Arial" w:cs="Arial" w:eastAsia="Arial" w:hAnsi="Arial"/>
                <w:sz w:val="18"/>
                <w:szCs w:val="18"/>
                <w:color w:val="auto"/>
              </w:rPr>
              <w:t>iii</w:t>
            </w:r>
          </w:p>
        </w:tc>
        <w:tc>
          <w:tcPr>
            <w:tcW w:w="162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this annual report on Form 20-F, unless otherwise indicated:</w:t>
      </w:r>
    </w:p>
    <w:p>
      <w:pPr>
        <w:spacing w:after="0" w:line="131" w:lineRule="exact"/>
        <w:rPr>
          <w:sz w:val="20"/>
          <w:szCs w:val="20"/>
          <w:color w:val="auto"/>
        </w:rPr>
      </w:pPr>
    </w:p>
    <w:p>
      <w:pPr>
        <w:ind w:left="1080" w:right="20" w:hanging="424"/>
        <w:spacing w:after="0" w:line="279"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“2018 Project Facility” refers to the senior secured project facility, dated January 28, 2013 and as amended from time to time, entered into between, among others, Studio City Company, as borrower, and certain subsidiaries as guarantors, comprising a term loan facility of HK$10,080,460,000 (approximately US$1.3 billion) and revolving credit facility of HK$775,420,000 (approximately US$100 million), and which was amended, restated and extended by the 2021 Studio City Senior Secured Credit Facility;</w:t>
      </w:r>
    </w:p>
    <w:p>
      <w:pPr>
        <w:spacing w:after="0" w:line="76" w:lineRule="exact"/>
        <w:rPr>
          <w:rFonts w:ascii="Arial" w:cs="Arial" w:eastAsia="Arial" w:hAnsi="Arial"/>
          <w:sz w:val="17"/>
          <w:szCs w:val="17"/>
          <w:color w:val="auto"/>
        </w:rPr>
      </w:pPr>
    </w:p>
    <w:p>
      <w:pPr>
        <w:ind w:left="1080" w:right="2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“2020 Notes” refers to the 8.50% senior notes due 2020 in an aggregate principal amount of US$825,000,000 issued by Studio City Finance on November 26, 2012 and as to which no amount remains outstanding following the redemption of all remaining outstanding amounts in March 2019;</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“2020 Notes Tender Offer” refers to the conditional tender offer by Studio City Finance to purchase for cash any and all of the outstanding 2020 Notes, which commenced in January 2019 and settled in February 2019;</w:t>
      </w:r>
    </w:p>
    <w:p>
      <w:pPr>
        <w:spacing w:after="0" w:line="75"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“2021 Studio City Senior Secured Credit Facility” refers to the facility agreement dated November 23, 2016 with, among others, Bank of China Limited, Macau Branch, to amend, restate and extend the 2018 Project Facility to provide for senior secured credit facilities in an aggregate amount of HK$234.0 million, which consist of a HK$233.0 million (approximately US$30.1 million) revolving credit facility and a HK$1.0 million (approximately US$129,000) term loan facility, and which has been amended, restated and extended by the 2028 Studio City Senior Secured Credit Facility;</w:t>
      </w:r>
    </w:p>
    <w:p>
      <w:pPr>
        <w:spacing w:after="0" w:line="93"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“2024 Notes” refers to the 7.25% senior notes due 2024 in an aggregate principal amount of US$600,000,000 issued by Studio City Finance on February 11, 2019 and as to which no amount remains outstanding following the redemption of all remaining outstanding amounts in February 2021;</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“2024 Notes Tender Offer” refers to the conditional tender offer by Studio City Finance to purchase for cash any and all of the outstanding 2024 Notes, which commenced and settled in January 2021;</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“2025 Notes” refers to the 6.00% senior notes due 2025 in an aggregate principal amount of US$500,000,000 issued by Studio City Finance on July 15, 2020;</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“2028 Notes” refers to the 6.50% senior notes due 2028 in an aggregate principal amount of US$500,000,000 issued by Studio City Finance on July 15, 2020;</w:t>
      </w:r>
    </w:p>
    <w:p>
      <w:pPr>
        <w:spacing w:after="0" w:line="75" w:lineRule="exact"/>
        <w:rPr>
          <w:rFonts w:ascii="Arial" w:cs="Arial" w:eastAsia="Arial" w:hAnsi="Arial"/>
          <w:sz w:val="18"/>
          <w:szCs w:val="18"/>
          <w:color w:val="auto"/>
        </w:rPr>
      </w:pPr>
    </w:p>
    <w:p>
      <w:pPr>
        <w:ind w:left="1080" w:right="360" w:hanging="424"/>
        <w:spacing w:after="0" w:line="279"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“2028 Studio City Senior Secured Credit Facility” refers to the facility agreement dated March 15, 2021 with, among others, Bank of China Limited, Macau Branch, to amend, restate and extend the 2021 Studio City Senior Secured Credit Facility to provide for senior secured credit facilities in an aggregate amount of HK$234.0 million, which consist of a HK$233.0 million (approximately US$30.1 million) revolving credit facility and a HK$1.0 million (approximately US$129,000) term loan facility;</w:t>
      </w:r>
    </w:p>
    <w:p>
      <w:pPr>
        <w:spacing w:after="0" w:line="76" w:lineRule="exact"/>
        <w:rPr>
          <w:rFonts w:ascii="Arial" w:cs="Arial" w:eastAsia="Arial" w:hAnsi="Arial"/>
          <w:sz w:val="17"/>
          <w:szCs w:val="17"/>
          <w:color w:val="auto"/>
        </w:rPr>
      </w:pPr>
    </w:p>
    <w:p>
      <w:pPr>
        <w:ind w:left="1080" w:right="5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“2029 Notes” refers to the 5.00% senior notes due 2029 in an aggregate principal amount of US$750,000,000 issued by Studio City Finance on January 14,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four Class A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“Altira Macau” refers to an integrated resort located in Taipa, Macau, that caters to Asian VIP rolling chip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and “board of directors” refer to the board of directors of our Company or a duly constituted committee thereof;</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86"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“China” and “PRC” refer to the People’s Republic of China, excluding the Hong Kong Special Administrative Region of the PRC (Hong Kong), the Macau Special Administrative Region of the PRC (Macau) and Taiwan from a geographical point of view;</w:t>
      </w:r>
    </w:p>
    <w:p>
      <w:pPr>
        <w:spacing w:after="0" w:line="51" w:lineRule="exact"/>
        <w:rPr>
          <w:rFonts w:ascii="Arial" w:cs="Arial" w:eastAsia="Arial" w:hAnsi="Arial"/>
          <w:sz w:val="17"/>
          <w:szCs w:val="17"/>
          <w:color w:val="auto"/>
        </w:rPr>
      </w:pPr>
    </w:p>
    <w:p>
      <w:pPr>
        <w:jc w:val="both"/>
        <w:ind w:left="1080" w:right="4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“City of Dreams” refers to an integrated resort located in Cotai, Macau, which currently features casino areas and four luxury hotels, including a collection of retail brands, a wet stage performance theater (temporarily closed since June 2020) and other entertainment venues;</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“DICJ” refers to the Direcção de Inspecção e Coordenação de Jogos (the Gaming Inspection and Coordination Bureau), a department of the Public Administration of Macau;</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China” refers to mainland China, Hong Kong and Macau, collectively;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 and “H.K. dollar(s)” refer to the legal currency of Hong Kong;</w:t>
      </w:r>
    </w:p>
    <w:p>
      <w:pPr>
        <w:spacing w:after="0" w:line="130" w:lineRule="exact"/>
        <w:rPr>
          <w:rFonts w:ascii="Arial" w:cs="Arial" w:eastAsia="Arial" w:hAnsi="Arial"/>
          <w:sz w:val="18"/>
          <w:szCs w:val="18"/>
          <w:color w:val="auto"/>
        </w:rPr>
      </w:pPr>
    </w:p>
    <w:p>
      <w:pPr>
        <w:ind w:left="1080" w:hanging="424"/>
        <w:spacing w:after="0" w:line="272"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“Master Service Providers” refer to certain of our affiliates with whom we entered into a master service agreement and a series of work agreements with respect to the non-gaming services at the properties in Macau, and that are also subsidiaries of Melco Resorts, including Melco Crown (COD) Developments Limited (now known as COD Resorts Limited), Altira Developments Limited (now known as Altira Resorts Limited), the Gaming Operator, MPEL Services Limited (now known as Melco Resorts Services Limited), Golden Future (Management Services) Limited, MPEL Properties (Macau) Limited, Melco Crown Security Services Limited (now known as Melco Resorts Security Services Limited), MCE Travel Limited (now known as Melco Resorts Travel Limited), MCE Transportation Limited and MCE Transportation Two Limited (now known as MCO Transportation Two Limited);</w:t>
      </w:r>
    </w:p>
    <w:p>
      <w:pPr>
        <w:spacing w:after="0" w:line="82"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“MCO Cotai” refers to MCO Cotai Investments Limited (formerly known as MCE Cotai Investments Limited), a subsidiary of Melco Resorts and a shareholder of our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“Melco International” refers to Melco International Development Limited, a Hong Kong-listed company;</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“Melco Resorts” refers to Melco Resorts &amp; Entertainment Limited, a Cayman Islands company and with its American depositary shares listed on the Nasdaq Global Select Market;</w:t>
      </w:r>
    </w:p>
    <w:p>
      <w:pPr>
        <w:spacing w:after="0" w:line="75" w:lineRule="exact"/>
        <w:rPr>
          <w:rFonts w:ascii="Arial" w:cs="Arial" w:eastAsia="Arial" w:hAnsi="Arial"/>
          <w:sz w:val="18"/>
          <w:szCs w:val="18"/>
          <w:color w:val="auto"/>
        </w:rPr>
      </w:pPr>
    </w:p>
    <w:p>
      <w:pPr>
        <w:ind w:left="1080" w:right="22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“Melco Resorts Macau” or the “Gaming Operator” refers to Melco Resorts (Macau) Limited, a company incorporated under the laws of Macau that is a subsidiary of Melco Resorts, the holder of a subconcession under the Subconcession Contract and the operator of Studio City Casino. The equity interest of the Gaming Operator is 90% owned by Melco Resorts and 10% owned by Mr. Lawrence Ho, the managing director of the Gaming Operator;</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“MOP” or “Pataca(s)” refers to the legal currency of Macau;</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“MSC Cotai” refers to our subsidiary, MSC Cotai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Cotai” refers to New Cotai, LLC, a Delaware limited liability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“Renminbi” and “RMB” refer to the legal currency of China;</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“Studio City” refers to a cinematically-themed integrated resort in Cotai, an area of reclaimed land located between the islands of Taipa and Coloane in Macau;</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“Studio City Casino” refers to the gaming areas being operated within Studio City;</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“Studio City Company” refers to our subsidiary, Studio City Company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“Studio City Company Notes” refers to, collectively, the US$350.0 million aggregate principal amount of 5.875% senior secured notes due 2019 (the “2019 Studio City Company Notes”) and the US$850.0 million aggregate principal amount of 7.250% senior secured notes due 2021 (the “2021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6" w:lineRule="auto"/>
        <w:rPr>
          <w:sz w:val="20"/>
          <w:szCs w:val="20"/>
          <w:color w:val="auto"/>
        </w:rPr>
      </w:pPr>
      <w:r>
        <w:rPr>
          <w:rFonts w:ascii="Arial" w:cs="Arial" w:eastAsia="Arial" w:hAnsi="Arial"/>
          <w:sz w:val="17"/>
          <w:szCs w:val="17"/>
          <w:color w:val="auto"/>
        </w:rPr>
        <w:t>Studio City Company Notes”), each issued by Studio City Company on November 30, 2016 and as to which no amount remains outstanding following the repayment in full upon maturity in November 2019 (in the case of the 2019 Studio City Company Notes) and the redemption of all remaining outstanding amounts in August 2020 (in the case of the 2021 Studio City Company Notes);</w:t>
      </w:r>
    </w:p>
    <w:p>
      <w:pPr>
        <w:spacing w:after="0" w:line="7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Developments” refers to our subsidiary, Studio City Developments Limited, a Macau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Entertainment” refers to our subsidiary, Studio City Entertainment Limited, a Macau company;</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Finance” refers to our subsidiary, Studio City Finance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Hotels” refers to our subsidiary, Studio City Hotels Limited, a Macau company;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Investments” refers to our subsidiary, Studio City Investments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80" w:right="360" w:hanging="424"/>
        <w:spacing w:after="0" w:line="30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“Studio City Project Facility” refers to the senior secured project facility, dated January 28, 2013 and as amended from time to time, entered into between, among others, Studio City Company, as borrower, and certain subsidiaries as guarantors, comprising a term loan facility of HK$10,080,460,000 (approximately US$1,300 million) and revolving credit facility of HK$775,420,000 (approximately US$100 million), and which was amended, restated and extended by the 2021 Studio City Senior Secured Credit Facility;</w:t>
      </w:r>
    </w:p>
    <w:p>
      <w:pPr>
        <w:spacing w:after="0" w:line="62"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“Subconcession Contract” refers to the subconcession contract executed between the Gaming Operator and Wynn Resorts (Macau) S.A., or Wynn Resorts Macau, on September 8, 2006, that provides for the terms and conditions of the subconcession granted to the Gaming Operator by Wynn Resorts Macau;</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and “U.S. dollar(s)” refer to the legal currency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GAAP” refers to the U.S. generally accepted accounting principles; and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“us,” “our,” “our Company” and “the Company” refer to Studio City International Holdings Limited and, as the context requires, its predecessor entities and its consolidated subsidiaries.</w:t>
      </w:r>
    </w:p>
    <w:p>
      <w:pPr>
        <w:spacing w:after="0" w:line="170"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for the years ended December 31, 2020, 2019 and 2018 and as of December 31, 2020 and 2019.</w:t>
      </w:r>
    </w:p>
    <w:p>
      <w:pPr>
        <w:spacing w:after="0" w:line="170"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“average daily rate” or “ADR”</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“dealer”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“drop”</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“drop box”</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“electronic gaming table”</w:t>
      </w:r>
    </w:p>
    <w:p>
      <w:pPr>
        <w:spacing w:after="0" w:line="333" w:lineRule="exact"/>
        <w:rPr>
          <w:sz w:val="20"/>
          <w:szCs w:val="20"/>
          <w:color w:val="auto"/>
        </w:rPr>
      </w:pPr>
    </w:p>
    <w:p>
      <w:pPr>
        <w:ind w:left="120" w:right="500"/>
        <w:spacing w:after="0" w:line="452" w:lineRule="auto"/>
        <w:rPr>
          <w:sz w:val="20"/>
          <w:szCs w:val="20"/>
          <w:color w:val="auto"/>
        </w:rPr>
      </w:pPr>
      <w:r>
        <w:rPr>
          <w:rFonts w:ascii="Arial" w:cs="Arial" w:eastAsia="Arial" w:hAnsi="Arial"/>
          <w:sz w:val="16"/>
          <w:szCs w:val="16"/>
          <w:color w:val="auto"/>
        </w:rPr>
        <w:t>“gaming machine” “gaming machine handle” “gaming machine win rate”</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“gaming promoter”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“integrated resort”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“junket player”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“marker”</w:t>
      </w:r>
    </w:p>
    <w:p>
      <w:pPr>
        <w:spacing w:after="0" w:line="117" w:lineRule="exact"/>
        <w:rPr>
          <w:sz w:val="20"/>
          <w:szCs w:val="20"/>
          <w:color w:val="auto"/>
        </w:rPr>
      </w:pPr>
    </w:p>
    <w:p>
      <w:pPr>
        <w:ind w:left="120" w:right="780"/>
        <w:spacing w:after="0" w:line="483" w:lineRule="auto"/>
        <w:rPr>
          <w:sz w:val="20"/>
          <w:szCs w:val="20"/>
          <w:color w:val="auto"/>
        </w:rPr>
      </w:pPr>
      <w:r>
        <w:rPr>
          <w:rFonts w:ascii="Arial" w:cs="Arial" w:eastAsia="Arial" w:hAnsi="Arial"/>
          <w:sz w:val="16"/>
          <w:szCs w:val="16"/>
          <w:color w:val="auto"/>
        </w:rPr>
        <w:t>“mass market patron” “mass market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-676275</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3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calculated by dividing total room revenues including complimentary rooms (less service charges, if any) by total rooms occupied, including complimentary rooms, i.e., average price of occupied rooms per day</w:t>
      </w:r>
    </w:p>
    <w:p>
      <w:pPr>
        <w:spacing w:after="0" w:line="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round token that is used on casino gaming tables in lieu of cash</w:t>
      </w:r>
    </w:p>
    <w:p>
      <w:pPr>
        <w:spacing w:after="0" w:line="11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casino employee who takes and pays out wagers or otherwise oversees a gaming table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 of cash to purchase gaming chips and promotional vouchers that is deposited in a gaming table’s drop box, plus gaming chips purchased at the casino cage</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box or container that serves as a repository for cash, chip purchase vouchers, credit markers and forms used to record movements in the chip inventory on each table game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with an electronic or computerized wagering and payment system that allow players to place bets from multiple-player gaming seats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wagered in gaming machines</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gaming machine win (calculated before non-discretionary incentives (including the point-loyalty programs) as administered by the Gaming Operator and allocating casino revenues related to goods and services provided to gaming patrons on a complimentary basis) expressed as a percentage of gaming machine handle</w:t>
      </w:r>
    </w:p>
    <w:p>
      <w:pPr>
        <w:spacing w:after="0" w:line="4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concessionaire or subconcessionaire</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resort which provides customers with a combination of hotel accommodations, casinos or gaming areas, retail and dining facilities, MICE space, entertainment venues and spas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player sourced by gaming promoters to play in the VIP gaming rooms or areas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evidence of indebtedness by a player to the casino or gaming 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customer who plays in the mass market segment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consists of both table games and gaming machines played by mass market players primarily for cash stakes</w:t>
      </w:r>
    </w:p>
    <w:p>
      <w:pPr>
        <w:spacing w:after="0" w:line="18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2600" w:space="720"/>
            <w:col w:w="7780"/>
          </w:cols>
          <w:pgMar w:left="320" w:top="486"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“mass market table games drop”</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“mass market table games hold percentage”</w:t>
      </w:r>
    </w:p>
    <w:p>
      <w:pPr>
        <w:spacing w:after="0" w:line="200" w:lineRule="exact"/>
        <w:rPr>
          <w:sz w:val="20"/>
          <w:szCs w:val="20"/>
          <w:color w:val="auto"/>
        </w:rPr>
      </w:pPr>
    </w:p>
    <w:p>
      <w:pPr>
        <w:spacing w:after="0" w:line="294" w:lineRule="exact"/>
        <w:rPr>
          <w:sz w:val="20"/>
          <w:szCs w:val="20"/>
          <w:color w:val="auto"/>
        </w:rPr>
      </w:pPr>
    </w:p>
    <w:p>
      <w:pPr>
        <w:ind w:left="120"/>
        <w:spacing w:after="0" w:line="402" w:lineRule="auto"/>
        <w:rPr>
          <w:sz w:val="20"/>
          <w:szCs w:val="20"/>
          <w:color w:val="auto"/>
        </w:rPr>
      </w:pPr>
      <w:r>
        <w:rPr>
          <w:rFonts w:ascii="Arial" w:cs="Arial" w:eastAsia="Arial" w:hAnsi="Arial"/>
          <w:sz w:val="18"/>
          <w:szCs w:val="18"/>
          <w:color w:val="auto"/>
        </w:rPr>
        <w:t>“mass market table games segment” “MICE”</w:t>
      </w:r>
    </w:p>
    <w:p>
      <w:pPr>
        <w:spacing w:after="0" w:line="171" w:lineRule="exact"/>
        <w:rPr>
          <w:sz w:val="20"/>
          <w:szCs w:val="20"/>
          <w:color w:val="auto"/>
        </w:rPr>
      </w:pPr>
    </w:p>
    <w:p>
      <w:pPr>
        <w:ind w:left="120" w:right="840"/>
        <w:spacing w:after="0" w:line="408" w:lineRule="auto"/>
        <w:rPr>
          <w:sz w:val="20"/>
          <w:szCs w:val="20"/>
          <w:color w:val="auto"/>
        </w:rPr>
      </w:pPr>
      <w:r>
        <w:rPr>
          <w:rFonts w:ascii="Arial" w:cs="Arial" w:eastAsia="Arial" w:hAnsi="Arial"/>
          <w:sz w:val="17"/>
          <w:szCs w:val="17"/>
          <w:color w:val="auto"/>
        </w:rPr>
        <w:t>“net rolling” “non-negotiable chip” “non-rolling chip” “occupancy rate” “premium direct player”</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“progressive jackpot”</w:t>
      </w:r>
    </w:p>
    <w:p>
      <w:pPr>
        <w:spacing w:after="0" w:line="33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“revenue per available room” or “REVPAR”</w:t>
      </w:r>
    </w:p>
    <w:p>
      <w:pPr>
        <w:spacing w:after="0" w:line="62" w:lineRule="exact"/>
        <w:rPr>
          <w:sz w:val="20"/>
          <w:szCs w:val="20"/>
          <w:color w:val="auto"/>
        </w:rPr>
      </w:pPr>
    </w:p>
    <w:p>
      <w:pPr>
        <w:ind w:left="120" w:right="40"/>
        <w:spacing w:after="0" w:line="402" w:lineRule="auto"/>
        <w:rPr>
          <w:sz w:val="20"/>
          <w:szCs w:val="20"/>
          <w:color w:val="auto"/>
        </w:rPr>
      </w:pPr>
      <w:r>
        <w:rPr>
          <w:rFonts w:ascii="Arial" w:cs="Arial" w:eastAsia="Arial" w:hAnsi="Arial"/>
          <w:sz w:val="18"/>
          <w:szCs w:val="18"/>
          <w:color w:val="auto"/>
        </w:rPr>
        <w:t>“rolling chip” or “VIP rolling chip” “rolling chip patron”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“rolling chip segment”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“rolling chip volume”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“rolling chip win 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“slot machine”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“subconcession”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table games drop in the mass market table games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-678815</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9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mass market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mass market segment consisting of mass market patrons who play table games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Meetings, Incentives, Conventions and Exhibitions, an acronym commonly used to refer to tourism involving large groups brought together for an event or specific purpose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turnover in a non-negotiable chip game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promotional casino chip that is not to be exchanged for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chip that can be exchanged for cash, used by mass market patrons to make wagers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average percentage of available hotel rooms occupied, including complimentary rooms, during a period</w:t>
      </w:r>
    </w:p>
    <w:p>
      <w:pPr>
        <w:spacing w:after="0" w:line="14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rolling chip player who is a direct customer of the concessionaires or subconcessionaires and is attracted to the casino through marketing efforts of the gaming operator</w:t>
      </w:r>
    </w:p>
    <w:p>
      <w:pPr>
        <w:spacing w:after="0" w:line="6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jackpot for a gaming machine or table game where the value of the jackpot increases as wagers are made; multiple gaming machines or table games may be linked together to establish one progressive jackpot</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calculated by dividing total room revenues including complimentary rooms (less service charges, if any) by total rooms available, thereby representing a combination of hotel average daily room rates and occupancy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non-negotiable chip primarily used by rolling chip patrons to make wagers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player who primarily plays on a rolling chip or VIP rolling chip tables and typically plays for higher stakes than mass market gaming patrons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consists of table games played in private VIP gaming rooms or areas by rolling chip patrons who are either premium direct players or junket players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non-negotiable chips wagered and lost by the rolling chip market segment</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rolling chip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rolling chip volume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traditional slot or electronic gaming machine operated by a single player</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an agreement for the operation of games of fortune and chance in casinos between the entity holding the concession, or the concessionaire, and a subconcessionaire, pursuant to which the subconcessionaire is authorized to operate games of fortune and chance in casinos in Macau</w:t>
      </w:r>
    </w:p>
    <w:p>
      <w:pPr>
        <w:spacing w:after="0" w:line="9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720" w:space="600"/>
            <w:col w:w="7740"/>
          </w:cols>
          <w:pgMar w:left="320" w:top="486" w:right="5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108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519"/>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“table games win”</w:t>
            </w:r>
          </w:p>
        </w:tc>
        <w:tc>
          <w:tcPr>
            <w:tcW w:w="8180" w:type="dxa"/>
            <w:vAlign w:val="bottom"/>
          </w:tcPr>
          <w:p>
            <w:pPr>
              <w:ind w:left="880"/>
              <w:spacing w:after="0"/>
              <w:rPr>
                <w:sz w:val="20"/>
                <w:szCs w:val="20"/>
                <w:color w:val="auto"/>
              </w:rPr>
            </w:pPr>
            <w:r>
              <w:rPr>
                <w:rFonts w:ascii="Arial" w:cs="Arial" w:eastAsia="Arial" w:hAnsi="Arial"/>
                <w:sz w:val="18"/>
                <w:szCs w:val="18"/>
                <w:color w:val="auto"/>
                <w:w w:val="89"/>
              </w:rPr>
              <w:t>the amount of wagers won net of wagers lost on gaming tables that is retained and recorded as casino</w:t>
            </w: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w w:val="90"/>
              </w:rPr>
              <w:t>revenues. Table games win is calculated before discounts, commissions, non-discretionary incentives</w:t>
            </w: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w w:val="91"/>
              </w:rPr>
              <w:t>(including the point-loyalty programs) as administered by the Gaming Operator and allocating casino</w:t>
            </w: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w w:val="97"/>
              </w:rPr>
              <w:t>revenues related to goods and services provided to gaming patrons on a complimentary basis</w:t>
            </w:r>
          </w:p>
        </w:tc>
      </w:tr>
      <w:tr>
        <w:trPr>
          <w:trHeight w:val="310"/>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“VIP gaming room”</w:t>
            </w:r>
          </w:p>
        </w:tc>
        <w:tc>
          <w:tcPr>
            <w:tcW w:w="8180" w:type="dxa"/>
            <w:vAlign w:val="bottom"/>
          </w:tcPr>
          <w:p>
            <w:pPr>
              <w:ind w:left="880"/>
              <w:spacing w:after="0"/>
              <w:rPr>
                <w:sz w:val="20"/>
                <w:szCs w:val="20"/>
                <w:color w:val="auto"/>
              </w:rPr>
            </w:pPr>
            <w:r>
              <w:rPr>
                <w:rFonts w:ascii="Arial" w:cs="Arial" w:eastAsia="Arial" w:hAnsi="Arial"/>
                <w:sz w:val="18"/>
                <w:szCs w:val="18"/>
                <w:color w:val="auto"/>
                <w:w w:val="94"/>
              </w:rPr>
              <w:t>gaming rooms or areas that have restricted access to rolling chip patrons and typically offer more</w:t>
            </w: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rPr>
              <w:t>personalized service than the general mass market gaming areas</w:t>
            </w:r>
          </w:p>
        </w:tc>
      </w:tr>
      <w:tr>
        <w:trPr>
          <w:trHeight w:val="365"/>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80" w:type="dxa"/>
            <w:vAlign w:val="bottom"/>
          </w:tcPr>
          <w:p>
            <w:pPr>
              <w:ind w:left="3140"/>
              <w:spacing w:after="0"/>
              <w:rPr>
                <w:sz w:val="20"/>
                <w:szCs w:val="20"/>
                <w:color w:val="auto"/>
              </w:rPr>
            </w:pPr>
            <w:r>
              <w:rPr>
                <w:rFonts w:ascii="Arial" w:cs="Arial" w:eastAsia="Arial" w:hAnsi="Arial"/>
                <w:sz w:val="18"/>
                <w:szCs w:val="18"/>
                <w:color w:val="auto"/>
              </w:rPr>
              <w:t>6</w:t>
            </w:r>
          </w:p>
        </w:tc>
      </w:tr>
    </w:tbl>
    <w:p>
      <w:pPr>
        <w:ind w:left="3140"/>
        <w:spacing w:after="0"/>
        <w:rPr>
          <w:sz w:val="20"/>
          <w:szCs w:val="20"/>
          <w:color w:val="auto"/>
        </w:rPr>
        <w:sectPr>
          <w:pgSz w:w="11900" w:h="16838" w:orient="portrait"/>
          <w:cols w:equalWidth="0" w:num="1">
            <w:col w:w="10620"/>
          </w:cols>
          <w:pgMar w:left="320" w:top="473" w:right="9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0" w:firstLine="991"/>
        <w:spacing w:after="0" w:line="288" w:lineRule="auto"/>
        <w:rPr>
          <w:sz w:val="20"/>
          <w:szCs w:val="20"/>
          <w:color w:val="auto"/>
        </w:rPr>
      </w:pPr>
      <w:r>
        <w:rPr>
          <w:rFonts w:ascii="Arial" w:cs="Arial" w:eastAsia="Arial" w:hAnsi="Arial"/>
          <w:sz w:val="16"/>
          <w:szCs w:val="16"/>
          <w:color w:val="auto"/>
        </w:rPr>
        <w:t>This annual report on Form 20-F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 Key Information — D. Risk Factors,” “Item 4. Information on the Company” and “Item 5. Operating and Financial Review and Prospects.”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in Macau, a growth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68"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63"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material impact of the global COVID-19 pandemic on our business, financial results and liquidity, which could worsen and persist for an unknown duration;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reduced access to our target markets due to travel restrictions, and the potential long-term impact on customer retention;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growth of the gaming and leisure market in Macau and visitation in Macau;</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 including in connection with the COVID-19 pandemic, with respect to which we are unable to predict when all, or any of, such travel restrictions will be eased, or the period of time required for tourism to return to pre-pandemic levels (if at all);</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such as the COVID-19 pandemic, extreme weather patterns or natural disasters, military conflicts and any future security alerts and/or terrorist attacks or other acts of violence;</w:t>
      </w:r>
    </w:p>
    <w:p>
      <w:pPr>
        <w:spacing w:after="0" w:line="89"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domestic or global political and economic conditions, including in China and Hong Kong, which may impact levels of travel, leisure and consumer spending;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operate Studio 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all required governmental approval, authorizations and licenses for the remaining project;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adequate financing for the remaining project;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the remaining project in accordance with our business plan, completion time and within budget;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conditions and covenants under the existing and future indebtedness;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cost estimates for the remaining project, including projected variances from budgeted costs;</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definitive contracts with contractors with sufficient skill, financial strength and relevant experience for the construction of the remaining project;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and credit market volatility;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if and when required;</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other casino hotel and resort projects in Macau and elsewhere in Asia, including the concessionaires (SJM, Wynn Resorts Macau and Galaxy) and subconcessionaires (including MGM Grand Paradise, S.A., or MGM Grand, and Venetian Macau Limited, or Venetian Macau) in Macau;</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policies and regulation relating to the gaming industry, including gaming license approvals and the legalization of gaming in other jurisdictions, and leisure market in Macau;</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of tourist behavior related to spending and vacationing at casino resorts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liberalization of travel restrictions on PRC citizens and convertibility of the Renminbi;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tightened control of certain cross-border fund transfers from the PRC;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completion of infrastructure projects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increase our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offer new services and attractions;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growth in, market size of and trends in the market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changes in our revenues, costs or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brand and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develop new technologies and/or upgrade our existing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risks including misappropriation of customer information or other breaches of information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of and trends of competition in the gaming and leisure market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business conditions globally and in Macau;</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the NYSE Business Plan (as defined herein), the New York Stock Exchange’s continued listing standards and maintain the listing of our ADSs on the New York Stock Exchange;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described under “Item 3. Key Information — D. Risk Factors.”</w:t>
      </w:r>
    </w:p>
    <w:p>
      <w:pPr>
        <w:spacing w:after="0" w:line="225"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8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486"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SELECTED FINANCIAL DATA</w:t>
      </w:r>
    </w:p>
    <w:p>
      <w:pPr>
        <w:spacing w:after="0" w:line="229"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 xml:space="preserve">The following selected consolidated statement of operations data for the years ended December 31, 2020, 2019 and 2018 and balance sheet data as of December 31, 2020 and 2019 have been derived from our audited consolidated financial statements included elsewhere in this annual report beginning on page F-1. The Company adopted Accounting Standards Codification 326,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(“ASU</w:t>
      </w:r>
    </w:p>
    <w:p>
      <w:pPr>
        <w:spacing w:after="0" w:line="2"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 xml:space="preserve">2016-13”) on January 1, 2020 under the modified retrospective method. Results for the periods beginning on or after January 1, 2020 are presented under the ASU 2016-13, while prior year amounts are not adjusted and continue to be reported in accordance with the previous basis. The Company adopted Accounting Standards Codification 842,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(“New Leases Standard”) on January 1, 2019 under the modified retrospective method. Results for the periods beginning on or after January 1, 2019 are presented under the New Leases Standard, while prior year amounts are not adjusted and continue to be reported in accordance with the previous basis. The Company adopted a new revenue recognition standard issued by the Financial Accounting Standards Board (the “New Revenue Standard”) on January 1, 2018 under the modified retrospective method. Results for the periods beginning on or after January 1, 2018 are presented under the New Revenue Standard, while prior year amounts are not adjusted and continue to be reported in accordance with the previous basis.</w:t>
      </w:r>
    </w:p>
    <w:p>
      <w:pPr>
        <w:spacing w:after="0" w:line="183" w:lineRule="exact"/>
        <w:rPr>
          <w:sz w:val="20"/>
          <w:szCs w:val="20"/>
          <w:color w:val="auto"/>
        </w:rPr>
      </w:pPr>
    </w:p>
    <w:p>
      <w:pPr>
        <w:ind w:left="120" w:right="120" w:firstLine="991"/>
        <w:spacing w:after="0" w:line="296" w:lineRule="auto"/>
        <w:rPr>
          <w:sz w:val="20"/>
          <w:szCs w:val="20"/>
          <w:color w:val="auto"/>
        </w:rPr>
      </w:pPr>
      <w:r>
        <w:rPr>
          <w:rFonts w:ascii="Arial" w:cs="Arial" w:eastAsia="Arial" w:hAnsi="Arial"/>
          <w:sz w:val="16"/>
          <w:szCs w:val="16"/>
          <w:color w:val="auto"/>
        </w:rPr>
        <w:t>The selected consolidated statement of operations data for the years ended December 31, 2017 and 2016 and the balance sheet data as of December 31, 2018, 2017 and 2016 have been derived from our consolidated financial statements not included in this annual report. Our consolidated financial statements are prepared and presented in accordance with U.S. GAAP. You should read the selected consolidated financial data in conjunction with our consolidated financial statements and related notes and “Item 5. Operating and Financial Review and Prospects” included elsewhere in this annual report. The historical results are not necessarily indicative of the results of operations to be expected in the future.</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5"/>
          </w:tcPr>
          <w:p>
            <w:pPr>
              <w:jc w:val="center"/>
              <w:ind w:right="268"/>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(2)</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93"/>
              </w:rPr>
              <w:t xml:space="preserve">2018 </w:t>
            </w:r>
            <w:r>
              <w:rPr>
                <w:rFonts w:ascii="Arial" w:cs="Arial" w:eastAsia="Arial" w:hAnsi="Arial"/>
                <w:sz w:val="10"/>
                <w:szCs w:val="10"/>
                <w:b w:val="1"/>
                <w:bCs w:val="1"/>
                <w:color w:val="auto"/>
                <w:w w:val="93"/>
              </w:rPr>
              <w:t>(3)</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42"/>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4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 of US$, except for share and per share data)</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60" w:type="dxa"/>
            <w:vAlign w:val="bottom"/>
          </w:tcPr>
          <w:p>
            <w:pPr>
              <w:spacing w:after="0" w:line="149" w:lineRule="exact"/>
              <w:rPr>
                <w:sz w:val="20"/>
                <w:szCs w:val="20"/>
                <w:color w:val="auto"/>
              </w:rPr>
            </w:pPr>
            <w:r>
              <w:rPr>
                <w:rFonts w:ascii="Arial" w:cs="Arial" w:eastAsia="Arial" w:hAnsi="Arial"/>
                <w:sz w:val="14"/>
                <w:szCs w:val="14"/>
                <w:color w:val="auto"/>
              </w:rPr>
              <w:t>Total operating revenues</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49,208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626,733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571,213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539,814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424,531</w:t>
            </w:r>
          </w:p>
        </w:tc>
      </w:tr>
      <w:tr>
        <w:trPr>
          <w:trHeight w:val="149"/>
        </w:trPr>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costs and expenses</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(329,136)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(448,737)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(433,351)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(459,364)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(479,297)</w:t>
            </w:r>
          </w:p>
        </w:tc>
      </w:tr>
      <w:tr>
        <w:trPr>
          <w:trHeight w:val="149"/>
        </w:trPr>
        <w:tc>
          <w:tcPr>
            <w:tcW w:w="5560" w:type="dxa"/>
            <w:vAlign w:val="bottom"/>
          </w:tcPr>
          <w:p>
            <w:pPr>
              <w:spacing w:after="0" w:line="149" w:lineRule="exact"/>
              <w:rPr>
                <w:sz w:val="20"/>
                <w:szCs w:val="20"/>
                <w:color w:val="auto"/>
              </w:rPr>
            </w:pPr>
            <w:r>
              <w:rPr>
                <w:rFonts w:ascii="Arial" w:cs="Arial" w:eastAsia="Arial" w:hAnsi="Arial"/>
                <w:sz w:val="14"/>
                <w:szCs w:val="14"/>
                <w:color w:val="auto"/>
              </w:rPr>
              <w:t>Operating (loss) income</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(279,928)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177,996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137,862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80,450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(54,766)</w:t>
            </w:r>
          </w:p>
        </w:tc>
      </w:tr>
      <w:tr>
        <w:trPr>
          <w:trHeight w:val="148"/>
        </w:trPr>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(405,092)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43,629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(20,745)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(76,437)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(242,789)</w:t>
            </w:r>
          </w:p>
        </w:tc>
      </w:tr>
      <w:tr>
        <w:trPr>
          <w:trHeight w:val="148"/>
        </w:trPr>
        <w:tc>
          <w:tcPr>
            <w:tcW w:w="5560" w:type="dxa"/>
            <w:vAlign w:val="bottom"/>
          </w:tcPr>
          <w:p>
            <w:pPr>
              <w:spacing w:after="0" w:line="149" w:lineRule="exact"/>
              <w:rPr>
                <w:sz w:val="20"/>
                <w:szCs w:val="20"/>
                <w:color w:val="auto"/>
              </w:rPr>
            </w:pPr>
            <w:r>
              <w:rPr>
                <w:rFonts w:ascii="Arial" w:cs="Arial" w:eastAsia="Arial" w:hAnsi="Arial"/>
                <w:sz w:val="14"/>
                <w:szCs w:val="14"/>
                <w:color w:val="auto"/>
              </w:rPr>
              <w:t>Net loss (income) attributable to participation interest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83,466</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(10,065)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(853)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 attributable to Studio City International Holdings Limited</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(321,626)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33,564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(21,598)</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(76,437)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(242,789)</w:t>
            </w:r>
          </w:p>
        </w:tc>
      </w:tr>
      <w:tr>
        <w:trPr>
          <w:trHeight w:val="130"/>
        </w:trPr>
        <w:tc>
          <w:tcPr>
            <w:tcW w:w="5560" w:type="dxa"/>
            <w:vAlign w:val="bottom"/>
          </w:tcPr>
          <w:p>
            <w:pPr>
              <w:spacing w:after="0" w:line="130" w:lineRule="exact"/>
              <w:rPr>
                <w:sz w:val="20"/>
                <w:szCs w:val="20"/>
                <w:color w:val="auto"/>
              </w:rPr>
            </w:pPr>
            <w:r>
              <w:rPr>
                <w:rFonts w:ascii="Arial" w:cs="Arial" w:eastAsia="Arial" w:hAnsi="Arial"/>
                <w:sz w:val="14"/>
                <w:szCs w:val="14"/>
                <w:color w:val="auto"/>
              </w:rPr>
              <w:t>Net (loss) income attributable to Studio City International Holdings Limited per Class 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5560" w:type="dxa"/>
            <w:vAlign w:val="bottom"/>
          </w:tcPr>
          <w:p>
            <w:pPr>
              <w:ind w:left="140"/>
              <w:spacing w:after="0"/>
              <w:rPr>
                <w:sz w:val="20"/>
                <w:szCs w:val="20"/>
                <w:color w:val="auto"/>
              </w:rPr>
            </w:pPr>
            <w:r>
              <w:rPr>
                <w:rFonts w:ascii="Arial" w:cs="Arial" w:eastAsia="Arial" w:hAnsi="Arial"/>
                <w:sz w:val="14"/>
                <w:szCs w:val="14"/>
                <w:color w:val="auto"/>
              </w:rPr>
              <w:t xml:space="preserve">ordinary share </w:t>
            </w:r>
            <w:r>
              <w:rPr>
                <w:rFonts w:ascii="Arial" w:cs="Arial" w:eastAsia="Arial" w:hAnsi="Arial"/>
                <w:sz w:val="10"/>
                <w:szCs w:val="10"/>
                <w:color w:val="auto"/>
              </w:rPr>
              <w:t>(5)</w:t>
            </w: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5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0.139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(0.113)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(0.422)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(1.339)</w:t>
            </w:r>
          </w:p>
        </w:tc>
      </w:tr>
      <w:tr>
        <w:trPr>
          <w:trHeight w:val="148"/>
        </w:trPr>
        <w:tc>
          <w:tcPr>
            <w:tcW w:w="5560" w:type="dxa"/>
            <w:vAlign w:val="bottom"/>
          </w:tcPr>
          <w:p>
            <w:pPr>
              <w:ind w:left="280"/>
              <w:spacing w:after="0" w:line="149" w:lineRule="exact"/>
              <w:rPr>
                <w:sz w:val="20"/>
                <w:szCs w:val="20"/>
                <w:color w:val="auto"/>
              </w:rPr>
            </w:pPr>
            <w:r>
              <w:rPr>
                <w:rFonts w:ascii="Arial" w:cs="Arial" w:eastAsia="Arial" w:hAnsi="Arial"/>
                <w:sz w:val="14"/>
                <w:szCs w:val="14"/>
                <w:color w:val="auto"/>
              </w:rPr>
              <w:t>Diluted</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(1.103)</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0.139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(0.113)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(0.422)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(1.339)</w:t>
            </w:r>
          </w:p>
        </w:tc>
      </w:tr>
      <w:tr>
        <w:trPr>
          <w:trHeight w:val="149"/>
        </w:trPr>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(loss) income attributable to Studio City International Holdings Limited per ADS </w:t>
            </w:r>
            <w:r>
              <w:rPr>
                <w:rFonts w:ascii="Arial" w:cs="Arial" w:eastAsia="Arial" w:hAnsi="Arial"/>
                <w:sz w:val="10"/>
                <w:szCs w:val="10"/>
                <w:color w:val="auto"/>
              </w:rPr>
              <w:t>(4)(5)</w:t>
            </w: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60" w:type="dxa"/>
            <w:vAlign w:val="bottom"/>
          </w:tcPr>
          <w:p>
            <w:pPr>
              <w:ind w:left="280"/>
              <w:spacing w:after="0" w:line="149" w:lineRule="exact"/>
              <w:rPr>
                <w:sz w:val="20"/>
                <w:szCs w:val="20"/>
                <w:color w:val="auto"/>
              </w:rPr>
            </w:pPr>
            <w:r>
              <w:rPr>
                <w:rFonts w:ascii="Arial" w:cs="Arial" w:eastAsia="Arial" w:hAnsi="Arial"/>
                <w:sz w:val="14"/>
                <w:szCs w:val="14"/>
                <w:color w:val="auto"/>
              </w:rPr>
              <w:t>Basic</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(4.363)</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0.555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(0.451)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(1.687)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(5.357)</w:t>
            </w:r>
          </w:p>
        </w:tc>
      </w:tr>
      <w:tr>
        <w:trPr>
          <w:trHeight w:val="148"/>
        </w:trPr>
        <w:tc>
          <w:tcPr>
            <w:tcW w:w="5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0.555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(0.451)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(1.687)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(5.357)</w:t>
            </w:r>
          </w:p>
        </w:tc>
      </w:tr>
      <w:tr>
        <w:trPr>
          <w:trHeight w:val="130"/>
        </w:trPr>
        <w:tc>
          <w:tcPr>
            <w:tcW w:w="5560" w:type="dxa"/>
            <w:vAlign w:val="bottom"/>
          </w:tcPr>
          <w:p>
            <w:pPr>
              <w:spacing w:after="0" w:line="130" w:lineRule="exact"/>
              <w:rPr>
                <w:sz w:val="20"/>
                <w:szCs w:val="20"/>
                <w:color w:val="auto"/>
              </w:rPr>
            </w:pPr>
            <w:r>
              <w:rPr>
                <w:rFonts w:ascii="Arial" w:cs="Arial" w:eastAsia="Arial" w:hAnsi="Arial"/>
                <w:sz w:val="14"/>
                <w:szCs w:val="14"/>
                <w:color w:val="auto"/>
                <w:w w:val="93"/>
              </w:rPr>
              <w:t>Weighted average Class A ordinary shares outstanding used in net (loss) income attributable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5560" w:type="dxa"/>
            <w:vAlign w:val="bottom"/>
          </w:tcPr>
          <w:p>
            <w:pPr>
              <w:ind w:left="140"/>
              <w:spacing w:after="0"/>
              <w:rPr>
                <w:sz w:val="20"/>
                <w:szCs w:val="20"/>
                <w:color w:val="auto"/>
              </w:rPr>
            </w:pPr>
            <w:r>
              <w:rPr>
                <w:rFonts w:ascii="Arial" w:cs="Arial" w:eastAsia="Arial" w:hAnsi="Arial"/>
                <w:sz w:val="14"/>
                <w:szCs w:val="14"/>
                <w:color w:val="auto"/>
              </w:rPr>
              <w:t xml:space="preserve">Studio City International Holdings Limited per Class A ordinary share calculation </w:t>
            </w:r>
            <w:r>
              <w:rPr>
                <w:rFonts w:ascii="Arial" w:cs="Arial" w:eastAsia="Arial" w:hAnsi="Arial"/>
                <w:sz w:val="10"/>
                <w:szCs w:val="10"/>
                <w:color w:val="auto"/>
              </w:rPr>
              <w:t>(5)</w:t>
            </w: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294,837,092</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92"/>
              </w:rPr>
              <w:t>241,818,016</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89"/>
              </w:rPr>
              <w:t>191,533,455</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92"/>
              </w:rPr>
              <w:t>181,279,400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181,279,400</w:t>
            </w:r>
          </w:p>
        </w:tc>
      </w:tr>
      <w:tr>
        <w:trPr>
          <w:trHeight w:val="182"/>
        </w:trPr>
        <w:tc>
          <w:tcPr>
            <w:tcW w:w="5560" w:type="dxa"/>
            <w:vAlign w:val="bottom"/>
          </w:tcPr>
          <w:p>
            <w:pPr>
              <w:ind w:left="28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89"/>
              </w:rPr>
              <w:t>367,348,852</w:t>
            </w:r>
          </w:p>
        </w:tc>
        <w:tc>
          <w:tcPr>
            <w:tcW w:w="32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w w:val="92"/>
              </w:rPr>
              <w:t>241,818,016</w:t>
            </w:r>
          </w:p>
        </w:tc>
        <w:tc>
          <w:tcPr>
            <w:tcW w:w="22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w w:val="89"/>
              </w:rPr>
              <w:t>191,533,455</w:t>
            </w:r>
          </w:p>
        </w:tc>
        <w:tc>
          <w:tcPr>
            <w:tcW w:w="200" w:type="dxa"/>
            <w:vAlign w:val="bottom"/>
          </w:tcPr>
          <w:p>
            <w:pPr>
              <w:spacing w:after="0"/>
              <w:rPr>
                <w:sz w:val="15"/>
                <w:szCs w:val="15"/>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w w:val="92"/>
              </w:rPr>
              <w:t>181,279,400</w:t>
            </w:r>
          </w:p>
        </w:tc>
        <w:tc>
          <w:tcPr>
            <w:tcW w:w="1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181,279,400</w:t>
            </w:r>
          </w:p>
        </w:tc>
      </w:tr>
    </w:tbl>
    <w:p>
      <w:pPr>
        <w:spacing w:after="0" w:line="73" w:lineRule="exact"/>
        <w:rPr>
          <w:sz w:val="20"/>
          <w:szCs w:val="20"/>
          <w:color w:val="auto"/>
        </w:rPr>
      </w:pPr>
    </w:p>
    <w:p>
      <w:pPr>
        <w:ind w:left="540" w:right="600" w:hanging="424"/>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adopted the ASU 2016-13 on January 1, 2020 under the modified retrospective method. There was no material impact on our results of operations for the year ended December 31, 2020 as a result of the adoption of the ASU 2016-13.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86"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adopted the New Leases Standard on January 1, 2019 under the modified retrospective method. There was no material impact on our results of operations for the year ended December 31, 2019 as a result of the adoption of the New Leases Standard.</w:t>
      </w:r>
    </w:p>
    <w:p>
      <w:pPr>
        <w:spacing w:after="0" w:line="75" w:lineRule="exact"/>
        <w:rPr>
          <w:rFonts w:ascii="Arial" w:cs="Arial" w:eastAsia="Arial" w:hAnsi="Arial"/>
          <w:sz w:val="18"/>
          <w:szCs w:val="18"/>
          <w:color w:val="auto"/>
        </w:rPr>
      </w:pPr>
    </w:p>
    <w:p>
      <w:pPr>
        <w:ind w:left="540" w:right="100" w:hanging="424"/>
        <w:spacing w:after="0" w:line="308"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adopted the New Revenue Standard on January 1, 2018 under the modified retrospective method. There was no material impact on our results of operations for the year ended December 31, 2018 as a result of the adoption of the New Revenue Standard.</w:t>
      </w:r>
    </w:p>
    <w:p>
      <w:pPr>
        <w:spacing w:after="0" w:line="51" w:lineRule="exact"/>
        <w:rPr>
          <w:rFonts w:ascii="Arial" w:cs="Arial" w:eastAsia="Arial" w:hAnsi="Arial"/>
          <w:sz w:val="17"/>
          <w:szCs w:val="17"/>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ADS represents four Class A ordinary shares.</w:t>
      </w:r>
    </w:p>
    <w:p>
      <w:pPr>
        <w:spacing w:after="0" w:line="130" w:lineRule="exact"/>
        <w:rPr>
          <w:rFonts w:ascii="Arial" w:cs="Arial" w:eastAsia="Arial" w:hAnsi="Arial"/>
          <w:sz w:val="18"/>
          <w:szCs w:val="18"/>
          <w:color w:val="auto"/>
        </w:rPr>
      </w:pPr>
    </w:p>
    <w:p>
      <w:pPr>
        <w:ind w:left="540" w:right="20" w:hanging="424"/>
        <w:spacing w:after="0" w:line="270"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connection with the Company’s initial public offering on October 22, 2018, the Company underwent a series of organizational transactions. For the calculation of net loss attributable to Studio City International Holdings Limited per Class A ordinary share for periods prior to the initial public offering, including the year ended December 31, 2018 for which a portion of the period preceded initial public offering, the Company has retrospectively presented net loss attributable to Studio City International Holdings Limited per Class A ordinary share and the share capital as if the organizational transactions had occurred at the beginning of the earliest period presented. Such retrospective presentation reflects the re-designation of the then issued 18,127.94 ordinary shares of US$1 par value each into 181,279,400 Class A ordinary shares of US$0.0001 par value each for the years ended December 31, 2017, 2016 and 2015. For periods prior to the initial public offering date, the retrospective presentation does not include the exchange of 72,511,760 Class A ordinary shares into 72,511,760 Class B ordinary shares of US$0.0001 par value each and the issuance of 115,000,000 Class A ordinary shares in the initial public offering.</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As of December 31,</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620" w:type="dxa"/>
            <w:vAlign w:val="bottom"/>
          </w:tcPr>
          <w:p>
            <w:pPr>
              <w:spacing w:after="0"/>
              <w:rPr>
                <w:sz w:val="13"/>
                <w:szCs w:val="13"/>
                <w:color w:val="auto"/>
              </w:rPr>
            </w:pPr>
          </w:p>
        </w:tc>
        <w:tc>
          <w:tcPr>
            <w:tcW w:w="9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(2)</w:t>
            </w: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0"/>
                <w:szCs w:val="10"/>
                <w:b w:val="1"/>
                <w:bCs w:val="1"/>
                <w:color w:val="auto"/>
              </w:rPr>
              <w:t>(3)</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42"/>
        </w:trPr>
        <w:tc>
          <w:tcPr>
            <w:tcW w:w="5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Sheets Data:</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current assets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607,821</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414,440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459,041</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460,927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397,218</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575,215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299,367</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345,854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348,399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336,783</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Bank deposits with original maturities over three months</w:t>
            </w:r>
          </w:p>
        </w:tc>
        <w:tc>
          <w:tcPr>
            <w:tcW w:w="10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9,884</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27,735</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31,582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34,333</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Amounts due from affiliated companies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10,672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61,990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42,339</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37,826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1,578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2,436,076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2,297,800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2,343,297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2,466,640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2,624,781</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2,180,897</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2,107,457</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2,175,858</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2,280,116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2,419,410</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 use right, net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116,109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118,888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121,544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125,672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128,995</w:t>
            </w:r>
          </w:p>
        </w:tc>
      </w:tr>
      <w:tr>
        <w:trPr>
          <w:trHeight w:val="216"/>
        </w:trPr>
        <w:tc>
          <w:tcPr>
            <w:tcW w:w="562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Operating lease right-of-use assets </w:t>
            </w:r>
            <w:r>
              <w:rPr>
                <w:rFonts w:ascii="Arial" w:cs="Arial" w:eastAsia="Arial" w:hAnsi="Arial"/>
                <w:sz w:val="25"/>
                <w:szCs w:val="25"/>
                <w:color w:val="auto"/>
                <w:vertAlign w:val="superscript"/>
              </w:rPr>
              <w:t>(2)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17,379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14,238</w:t>
            </w:r>
          </w:p>
        </w:tc>
        <w:tc>
          <w:tcPr>
            <w:tcW w:w="160" w:type="dxa"/>
            <w:vAlign w:val="bottom"/>
          </w:tcPr>
          <w:p>
            <w:pPr>
              <w:spacing w:after="0"/>
              <w:rPr>
                <w:sz w:val="18"/>
                <w:szCs w:val="18"/>
                <w:color w:val="auto"/>
              </w:rPr>
            </w:pPr>
          </w:p>
        </w:tc>
        <w:tc>
          <w:tcPr>
            <w:tcW w:w="12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3,043,897</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2,712,240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2,802,338</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2,927,567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3,021,999</w:t>
            </w:r>
          </w:p>
        </w:tc>
      </w:tr>
      <w:tr>
        <w:trPr>
          <w:trHeight w:val="20"/>
        </w:trPr>
        <w:tc>
          <w:tcPr>
            <w:tcW w:w="5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162,151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100,171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438,972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178,070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193,439</w:t>
            </w:r>
          </w:p>
        </w:tc>
      </w:tr>
      <w:tr>
        <w:trPr>
          <w:trHeight w:val="216"/>
        </w:trPr>
        <w:tc>
          <w:tcPr>
            <w:tcW w:w="562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Accrued expenses and other current liabilities </w:t>
            </w:r>
            <w:r>
              <w:rPr>
                <w:rFonts w:ascii="Arial" w:cs="Arial" w:eastAsia="Arial" w:hAnsi="Arial"/>
                <w:sz w:val="25"/>
                <w:szCs w:val="25"/>
                <w:color w:val="auto"/>
                <w:vertAlign w:val="superscript"/>
              </w:rPr>
              <w:t>(2)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118,946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82,553</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62,825</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155,840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156,495</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debts, net</w:t>
            </w:r>
          </w:p>
        </w:tc>
        <w:tc>
          <w:tcPr>
            <w:tcW w:w="10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347,740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Amounts due to affiliated companies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42,966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14,248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21,953</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19,508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33,462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1,584,660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1,435,088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1,261,904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1,999,354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1,992,123</w:t>
            </w:r>
          </w:p>
        </w:tc>
      </w:tr>
      <w:tr>
        <w:trPr>
          <w:trHeight w:val="216"/>
        </w:trPr>
        <w:tc>
          <w:tcPr>
            <w:tcW w:w="5620" w:type="dxa"/>
            <w:vAlign w:val="bottom"/>
          </w:tcPr>
          <w:p>
            <w:pPr>
              <w:spacing w:after="0" w:line="216" w:lineRule="exact"/>
              <w:rPr>
                <w:sz w:val="20"/>
                <w:szCs w:val="20"/>
                <w:color w:val="auto"/>
              </w:rPr>
            </w:pPr>
            <w:r>
              <w:rPr>
                <w:rFonts w:ascii="Arial" w:cs="Arial" w:eastAsia="Arial" w:hAnsi="Arial"/>
                <w:sz w:val="18"/>
                <w:szCs w:val="18"/>
                <w:color w:val="auto"/>
              </w:rPr>
              <w:t xml:space="preserve">Operating lease liabilities, non-current </w:t>
            </w:r>
            <w:r>
              <w:rPr>
                <w:rFonts w:ascii="Arial" w:cs="Arial" w:eastAsia="Arial" w:hAnsi="Arial"/>
                <w:sz w:val="25"/>
                <w:szCs w:val="25"/>
                <w:color w:val="auto"/>
                <w:vertAlign w:val="superscript"/>
              </w:rPr>
              <w:t>(2)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17,137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13,720</w:t>
            </w:r>
          </w:p>
        </w:tc>
        <w:tc>
          <w:tcPr>
            <w:tcW w:w="160" w:type="dxa"/>
            <w:vAlign w:val="bottom"/>
          </w:tcPr>
          <w:p>
            <w:pPr>
              <w:spacing w:after="0"/>
              <w:rPr>
                <w:sz w:val="18"/>
                <w:szCs w:val="18"/>
                <w:color w:val="auto"/>
              </w:rPr>
            </w:pPr>
          </w:p>
        </w:tc>
        <w:tc>
          <w:tcPr>
            <w:tcW w:w="12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4,017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19,130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liabilities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1,776,174</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1,553,581</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1,705,937</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2,187,524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2,205,519</w:t>
            </w:r>
          </w:p>
        </w:tc>
      </w:tr>
      <w:tr>
        <w:trPr>
          <w:trHeight w:val="27"/>
        </w:trPr>
        <w:tc>
          <w:tcPr>
            <w:tcW w:w="5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Total shareholders’ equity </w:t>
            </w:r>
            <w:r>
              <w:rPr>
                <w:rFonts w:ascii="Arial" w:cs="Arial" w:eastAsia="Arial" w:hAnsi="Arial"/>
                <w:sz w:val="25"/>
                <w:szCs w:val="25"/>
                <w:color w:val="auto"/>
                <w:vertAlign w:val="superscript"/>
              </w:rPr>
              <w:t>(3)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1,059,987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891,368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843,472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740,043</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816,480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Participation interest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207,736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267,291</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252,929</w:t>
            </w:r>
          </w:p>
        </w:tc>
        <w:tc>
          <w:tcPr>
            <w:tcW w:w="16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Total shareholders’ equity and participation interest </w:t>
            </w:r>
            <w:r>
              <w:rPr>
                <w:rFonts w:ascii="Arial" w:cs="Arial" w:eastAsia="Arial" w:hAnsi="Arial"/>
                <w:sz w:val="25"/>
                <w:szCs w:val="25"/>
                <w:color w:val="auto"/>
                <w:vertAlign w:val="superscript"/>
              </w:rPr>
              <w:t>(3)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1,267,723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1,158,659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1,096,401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740,043</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816,480</w:t>
            </w:r>
          </w:p>
        </w:tc>
      </w:tr>
      <w:tr>
        <w:trPr>
          <w:trHeight w:val="223"/>
        </w:trPr>
        <w:tc>
          <w:tcPr>
            <w:tcW w:w="5620" w:type="dxa"/>
            <w:vAlign w:val="bottom"/>
          </w:tcPr>
          <w:p>
            <w:pPr>
              <w:spacing w:after="0" w:line="223" w:lineRule="exact"/>
              <w:rPr>
                <w:sz w:val="20"/>
                <w:szCs w:val="20"/>
                <w:color w:val="auto"/>
              </w:rPr>
            </w:pPr>
            <w:r>
              <w:rPr>
                <w:rFonts w:ascii="Arial" w:cs="Arial" w:eastAsia="Arial" w:hAnsi="Arial"/>
                <w:sz w:val="18"/>
                <w:szCs w:val="18"/>
                <w:color w:val="auto"/>
              </w:rPr>
              <w:t xml:space="preserve">Total liabilities, shareholders’ equity and participation interest </w:t>
            </w:r>
            <w:r>
              <w:rPr>
                <w:rFonts w:ascii="Arial" w:cs="Arial" w:eastAsia="Arial" w:hAnsi="Arial"/>
                <w:sz w:val="25"/>
                <w:szCs w:val="25"/>
                <w:color w:val="auto"/>
                <w:vertAlign w:val="superscript"/>
              </w:rPr>
              <w:t>(3)</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3,043,897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2,712,240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2,802,338</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2,927,567</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3,021,999</w:t>
            </w: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62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adopted the ASU 2016-13 on January 1, 2020 under the modified retrospective method. There was no material impact on our financial position as of January 1, 2020 and December 31, 2020 as a result of the adoption of the ASU 2016-13.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86"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80" w:hanging="424"/>
        <w:spacing w:after="0" w:line="311"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adopted the New Leases Standard on January 1, 2019 under the modified retrospective method and recognized operating lease right-of-use assets and operating lease liabilities of US$14.7 million and US$14.7 million, respectively as of January 1, 2019. As of December 31, 2019, operating lease right-of-use assets and operating lease liabilities were US$14.2 million and US$14.6 million, respectively.</w:t>
      </w:r>
    </w:p>
    <w:p>
      <w:pPr>
        <w:spacing w:after="0" w:line="54" w:lineRule="exact"/>
        <w:rPr>
          <w:rFonts w:ascii="Arial" w:cs="Arial" w:eastAsia="Arial" w:hAnsi="Arial"/>
          <w:sz w:val="16"/>
          <w:szCs w:val="16"/>
          <w:color w:val="auto"/>
        </w:rPr>
      </w:pPr>
    </w:p>
    <w:p>
      <w:pPr>
        <w:ind w:left="540" w:right="240" w:hanging="424"/>
        <w:spacing w:after="0" w:line="30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adopted the New Revenue Standard on January 1, 2018 under the modified retrospective method and recognized an increase to the opening balance of accumulated losses of US$3.3 million due to the cumulative effect of adopting the New Revenue Standard.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Our reporting currency is the U.S. Dollar and functional currencies are the U.S. Dollar, Hong Kong Dollar and Pataca. This annual report on Form 20-F contains translations of certain Pataca, Hong Kong Dollar and Renminbi amounts into U.S. Dollars for the convenience of the reader. Unless otherwise stated, all translations of Hong Kong Dollar and Renminbi amounts into U.S. Dollars in this annual report on Form 20-F were made at the rates of HK$7.7528 to US$1.00 and RMB6.5067 to US$1.00, respectively.</w:t>
      </w:r>
    </w:p>
    <w:p>
      <w:pPr>
        <w:spacing w:after="0" w:line="187" w:lineRule="exact"/>
        <w:rPr>
          <w:sz w:val="20"/>
          <w:szCs w:val="20"/>
          <w:color w:val="auto"/>
        </w:rPr>
      </w:pPr>
    </w:p>
    <w:p>
      <w:pPr>
        <w:ind w:left="120" w:right="100" w:firstLine="991"/>
        <w:spacing w:after="0" w:line="254" w:lineRule="auto"/>
        <w:rPr>
          <w:sz w:val="20"/>
          <w:szCs w:val="20"/>
          <w:color w:val="auto"/>
        </w:rPr>
      </w:pPr>
      <w:r>
        <w:rPr>
          <w:rFonts w:ascii="Arial" w:cs="Arial" w:eastAsia="Arial" w:hAnsi="Arial"/>
          <w:sz w:val="18"/>
          <w:szCs w:val="18"/>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95" w:lineRule="exact"/>
        <w:rPr>
          <w:sz w:val="20"/>
          <w:szCs w:val="20"/>
          <w:color w:val="auto"/>
        </w:rPr>
      </w:pPr>
    </w:p>
    <w:p>
      <w:pPr>
        <w:ind w:left="120" w:right="20" w:firstLine="991"/>
        <w:spacing w:after="0" w:line="301" w:lineRule="auto"/>
        <w:rPr>
          <w:sz w:val="20"/>
          <w:szCs w:val="20"/>
          <w:color w:val="auto"/>
        </w:rPr>
      </w:pPr>
      <w:r>
        <w:rPr>
          <w:rFonts w:ascii="Arial" w:cs="Arial" w:eastAsia="Arial" w:hAnsi="Arial"/>
          <w:sz w:val="16"/>
          <w:szCs w:val="16"/>
          <w:color w:val="auto"/>
        </w:rPr>
        <w:t>The noon buying rate on December 31, 2020 in New York City for cable transfers in H.K. dollars per U.S. dollars, provided in the H.10 weekly statistical release of the Federal Reserve Board of the United States as certified for customs purposes by the Federal Reserve Bank of New York, was HK$7.7534 to US$1.00. On March 19, 2021, the noon buying rate was HK$7.7646 to US$1.00. We make no representation that any H.K. dollar or U.S. dollar amounts could have been, or could be, converted into U.S. dollar or H.K. dollar, as the case may be, at any particular rate or at all.</w:t>
      </w:r>
    </w:p>
    <w:p>
      <w:pPr>
        <w:spacing w:after="0" w:line="15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 March 19, 2021, the noon buying rate for Renminbi was RMB6.5070 to US$1.00.</w:t>
      </w:r>
    </w:p>
    <w:p>
      <w:pPr>
        <w:spacing w:after="0" w:line="225"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The Pataca is pegged to the H.K. dollar at a rate of HK$1.00 = MOP1.03. All translations from Patacas to U.S. dollars in this annual report on Form 20-F were made at the exchange rate of MOP7.9854 = US$1.00. The Federal Reserve Bank of New York does not certify for customs purposes a noon buying rate for cable transfers in Patacas.</w:t>
      </w:r>
    </w:p>
    <w:p>
      <w:pPr>
        <w:spacing w:after="0" w:line="184" w:lineRule="exact"/>
        <w:rPr>
          <w:sz w:val="20"/>
          <w:szCs w:val="20"/>
          <w:color w:val="auto"/>
        </w:rPr>
      </w:pPr>
    </w:p>
    <w:p>
      <w:pPr>
        <w:jc w:val="both"/>
        <w:ind w:left="120" w:right="40" w:firstLine="991"/>
        <w:spacing w:after="0" w:line="263" w:lineRule="auto"/>
        <w:rPr>
          <w:sz w:val="20"/>
          <w:szCs w:val="20"/>
          <w:color w:val="auto"/>
        </w:rPr>
      </w:pPr>
      <w:r>
        <w:rPr>
          <w:rFonts w:ascii="Arial" w:cs="Arial" w:eastAsia="Arial" w:hAnsi="Arial"/>
          <w:sz w:val="18"/>
          <w:szCs w:val="18"/>
          <w:color w:val="auto"/>
        </w:rPr>
        <w:t>We make no representation that the Pataca, Hong Kong Dollar, Renminbi or U.S. Dollar amounts referred to in this annual report on Form 20-F could have been, or could be, converted into U.S. Dollars, Patacas, Renminbi and Hong Kong Dollars, as the case may be, at any particular rate or at all.</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 CAPITALIZATION AND INDEBTEDNESS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following summarizes some, but not all, of the risks provided below. Please carefully consider all of the information discussed in this Item 3.D. “Risk Factors” in this annual report for a more thorough description of these and other risks.</w:t>
      </w:r>
    </w:p>
    <w:p>
      <w:pPr>
        <w:spacing w:after="0" w:line="170"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You should carefully consider the following risk factors in addition to the other information set forth in this annual report. Our business, financial condition and results of operations can be affected materially and adversely by any of the following risk factors.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w:t>
      </w:r>
    </w:p>
    <w:p>
      <w:pPr>
        <w:spacing w:after="0" w:line="135"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the COVID-19 pandemic and other epidemics and pandemics.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our short operating history.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our reliance on the operation of the Studio City Casino under the Services and Rights to Use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our sole operation of Studio 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the potential discontinuation of VIP rolling chip operations at Studio City Casino.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our history of net losses.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the development of our remaining project for Studio 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the inability to generate sufficient cash flow to meet our debt service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our compliance with credit facility and debt instruments.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our current and potential future indebtedness and our need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depending on the continued efforts or our senior management and retaining qualified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failure to comply with anti-corruption laws and anti-money laundering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failure to protect the integrity and security of data, including customer information.</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being delisted from the New York Stock Exchange if the PCAOB continues to be unable to inspect our independent registered public accounting firm for three years.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inadequate insurance coverage.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Operating in the Gaming Industry in Macau</w:t>
      </w:r>
    </w:p>
    <w:p>
      <w:pPr>
        <w:spacing w:after="0" w:line="135"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relating to the Gaming Operator’s Subconcession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relating to facing intense competition.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relating to adverse changes or developments in gaming laws or regulations in Macau.</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Relationship with Melco Resorts</w:t>
      </w:r>
    </w:p>
    <w:p>
      <w:pPr>
        <w:spacing w:after="0" w:line="135"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relating to our dependence on our shareholder, Melco Resorts.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Conducting Business and Operating in Macau</w:t>
      </w:r>
    </w:p>
    <w:p>
      <w:pPr>
        <w:spacing w:after="0" w:line="135"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relating to restrictions on export of Renminbi.</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320" w:top="486" w:right="5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Shares and ADSs</w:t>
      </w:r>
    </w:p>
    <w:p>
      <w:pPr>
        <w:spacing w:after="0" w:line="135"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relating to compliance with the New York Stock Exchange requirements for continued listing.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 COVID-19 pandemic has had, and will likely to continue to have, a material and adverse effect on our business, financial condition and results of operations.</w:t>
      </w:r>
    </w:p>
    <w:p>
      <w:pPr>
        <w:spacing w:after="0" w:line="62" w:lineRule="exact"/>
        <w:rPr>
          <w:sz w:val="20"/>
          <w:szCs w:val="20"/>
          <w:color w:val="auto"/>
        </w:rPr>
      </w:pPr>
    </w:p>
    <w:p>
      <w:pPr>
        <w:ind w:left="120" w:right="360" w:firstLine="991"/>
        <w:spacing w:after="0" w:line="275" w:lineRule="auto"/>
        <w:rPr>
          <w:sz w:val="20"/>
          <w:szCs w:val="20"/>
          <w:color w:val="auto"/>
        </w:rPr>
      </w:pPr>
      <w:r>
        <w:rPr>
          <w:rFonts w:ascii="Arial" w:cs="Arial" w:eastAsia="Arial" w:hAnsi="Arial"/>
          <w:sz w:val="17"/>
          <w:szCs w:val="17"/>
          <w:color w:val="auto"/>
        </w:rPr>
        <w:t>In December 2019, an outbreak of COVID-19 was identified and has since spread around the world. In March 2020, the World Health Organization declared the COVID-19 outbreak a global pandemic. Many governments around the world have implemented a variety of measures to reduce the spread of COVID-19, including travel restrictions and bans, instructions to residents to practice social distancing, quarantine advisories, shelter-in-place orders and required closures of non-essential businesses. The COVID-19 pandemic has negatively impacted the global economy, disrupted global supply chains and created significant volatility and disruption of financial markets.</w:t>
      </w:r>
    </w:p>
    <w:p>
      <w:pPr>
        <w:spacing w:after="0" w:line="176" w:lineRule="exact"/>
        <w:rPr>
          <w:sz w:val="20"/>
          <w:szCs w:val="20"/>
          <w:color w:val="auto"/>
        </w:rPr>
      </w:pPr>
    </w:p>
    <w:p>
      <w:pPr>
        <w:ind w:left="120" w:right="120" w:firstLine="991"/>
        <w:spacing w:after="0" w:line="254" w:lineRule="auto"/>
        <w:rPr>
          <w:sz w:val="20"/>
          <w:szCs w:val="20"/>
          <w:color w:val="auto"/>
        </w:rPr>
      </w:pPr>
      <w:r>
        <w:rPr>
          <w:rFonts w:ascii="Arial" w:cs="Arial" w:eastAsia="Arial" w:hAnsi="Arial"/>
          <w:sz w:val="18"/>
          <w:szCs w:val="18"/>
          <w:color w:val="auto"/>
        </w:rPr>
        <w:t>As a result of the COVID-19 outbreak, the PRC government suspended the issuance of group and individual travel visas from China to Macau and the Hong Kong SAR government suspended all ferry and helicopter services between Hong Kong and Macau. In addition, the Macau government required all casinos in Macau to be closed for a 15-day period in February 2020. Upon resumption of operations in February 2020, casinos in Macau were required to implement health-related precautionary measures, including temperature checks, mask protection, health declarations and requirements that gaming patrons be stopped from congregating together, that the number of players and spectators at tables be limited to three to four, that gaming patrons be prohibited from sitting in adjacent seats at gaming tables and that gaming patrons and casino employees maintain minimum physical distances.</w:t>
      </w:r>
    </w:p>
    <w:p>
      <w:pPr>
        <w:spacing w:after="0" w:line="195"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Quarantine-free travel, subject to COVID-19 safeguards such as testing and the usual visa requirements, was reintroduced between Macau and an increasing number of areas and cities within the PRC in progressive phases from June to August 2020, commencing with an area in Guangdong Province, which is adjacent to Macau, and expanding to additional areas and major cities within Guangdong Province, followed by most other areas of the PRC. On September 23, 2020, mainland China authorities fully resumed the IVS exit visa program, which permits individual PRC citizens from nearly 50 PRC cities to travel to Macau for tourism purposes. On December 21, 2020, the Macau government announced that generally, individuals who have been to countries and regions other than mainland China and Taiwan in the preceding 21 days are required to undergo a mandatory 21-day quarantine upon entry into Macau from mainland China, Taiwan or Hong Kong. While certain travel restrictions have eased, health-related precautionary measures remain in place and customers were only recently permitted to enter casino premises in Macau without a negative nucleic acid test certificate. In addition, foreigners continue to be unable to enter Macau, except if they have been in mainland China in the preceding 21 days and are eligible for an exemption application.</w:t>
      </w:r>
    </w:p>
    <w:p>
      <w:pPr>
        <w:spacing w:after="0" w:line="185" w:lineRule="exact"/>
        <w:rPr>
          <w:sz w:val="20"/>
          <w:szCs w:val="20"/>
          <w:color w:val="auto"/>
        </w:rPr>
      </w:pPr>
    </w:p>
    <w:p>
      <w:pPr>
        <w:ind w:left="120" w:right="20" w:firstLine="991"/>
        <w:spacing w:after="0" w:line="286" w:lineRule="auto"/>
        <w:rPr>
          <w:sz w:val="20"/>
          <w:szCs w:val="20"/>
          <w:color w:val="auto"/>
        </w:rPr>
      </w:pPr>
      <w:r>
        <w:rPr>
          <w:rFonts w:ascii="Arial" w:cs="Arial" w:eastAsia="Arial" w:hAnsi="Arial"/>
          <w:sz w:val="17"/>
          <w:szCs w:val="17"/>
          <w:color w:val="auto"/>
        </w:rPr>
        <w:t>According to the DSEC, visitor arrivals to Macau decreased by 85.0% on a year-over-year basis in 2020 as compared to 2019 while, according to the DICJ, gross gaming revenues in Macau declined by 79.3% on a year-over-year basis in 2020. As we derive all of our revenues from our business and operations in Macau, our business has been materially and adversely affected by the COVID-19 pandemic.</w:t>
      </w:r>
    </w:p>
    <w:p>
      <w:pPr>
        <w:spacing w:after="0" w:line="165" w:lineRule="exact"/>
        <w:rPr>
          <w:sz w:val="20"/>
          <w:szCs w:val="20"/>
          <w:color w:val="auto"/>
        </w:rPr>
      </w:pPr>
    </w:p>
    <w:p>
      <w:pPr>
        <w:ind w:left="120" w:right="460" w:firstLine="991"/>
        <w:spacing w:after="0" w:line="308" w:lineRule="auto"/>
        <w:rPr>
          <w:sz w:val="20"/>
          <w:szCs w:val="20"/>
          <w:color w:val="auto"/>
        </w:rPr>
      </w:pPr>
      <w:r>
        <w:rPr>
          <w:rFonts w:ascii="Arial" w:cs="Arial" w:eastAsia="Arial" w:hAnsi="Arial"/>
          <w:sz w:val="17"/>
          <w:szCs w:val="17"/>
          <w:color w:val="auto"/>
        </w:rPr>
        <w:t>The COVID-19 pandemic has also caused severe disruptions to the businesses of our tenants and other business partners, which may increase the risk of them defaulting on their contractual obligations with us resulting in potential increases in our bad debts.</w:t>
      </w:r>
    </w:p>
    <w:p>
      <w:pPr>
        <w:spacing w:after="0" w:line="146"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As the impact from the COVID-19 pandemic is ongoing, any recovery from such disruptions will depend on future events, such as the successful production, distribution and widespread acceptance of safe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effective vaccines; the development of effective treatments for COVID-19; the duration of travel and visa restrictions and customer sentiment and behavior (including the length of time before customers resume travel and participation in entertainment and leisure activities at high-density venues and the impact of potential higher unemployment rates, declines in income levels and loss of personal wealth resulting from the COVID-19 pandemic on consumer behavior related to discretionary spending and traveling), all of which are highly uncertain. While COVID-19 vaccines have been approved in various countries, the production, distribution and administration of any such vaccines on a widespread basis may take a significant amount of time, and there can be no assurances as to the long-term safety and efficacy of such vaccines or if the current vaccines will be effective against new strains of the coronavirus that causes COVID-19. Moreover, even if the COVID-19 pandemic subsides, there is no guarantee that travel and consumer sentiment will rebound quickly or at all.</w:t>
      </w:r>
    </w:p>
    <w:p>
      <w:pPr>
        <w:spacing w:after="0" w:line="178" w:lineRule="exact"/>
        <w:rPr>
          <w:sz w:val="20"/>
          <w:szCs w:val="20"/>
          <w:color w:val="auto"/>
        </w:rPr>
      </w:pPr>
    </w:p>
    <w:p>
      <w:pPr>
        <w:ind w:left="120" w:right="460" w:firstLine="991"/>
        <w:spacing w:after="0" w:line="308" w:lineRule="auto"/>
        <w:rPr>
          <w:sz w:val="20"/>
          <w:szCs w:val="20"/>
          <w:color w:val="auto"/>
        </w:rPr>
      </w:pPr>
      <w:r>
        <w:rPr>
          <w:rFonts w:ascii="Arial" w:cs="Arial" w:eastAsia="Arial" w:hAnsi="Arial"/>
          <w:sz w:val="17"/>
          <w:szCs w:val="17"/>
          <w:color w:val="auto"/>
        </w:rPr>
        <w:t>The disruptions to our business caused by the COVID-19 pandemic have had a material and adverse effect on our business, financial condition and results of operations and as such disruptions are ongoing, such material and adverse effects will likely continue.</w:t>
      </w:r>
    </w:p>
    <w:p>
      <w:pPr>
        <w:spacing w:after="0" w:line="25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have a short operating history compared to many of our competitors and are therefore subject to significant risks and uncertainties. Our short operating history may not be indicative of our future operating results and prospects.</w:t>
      </w:r>
    </w:p>
    <w:p>
      <w:pPr>
        <w:spacing w:after="0" w:line="62" w:lineRule="exact"/>
        <w:rPr>
          <w:sz w:val="20"/>
          <w:szCs w:val="20"/>
          <w:color w:val="auto"/>
        </w:rPr>
      </w:pPr>
    </w:p>
    <w:p>
      <w:pPr>
        <w:ind w:left="120" w:right="140" w:firstLine="991"/>
        <w:spacing w:after="0" w:line="255" w:lineRule="auto"/>
        <w:rPr>
          <w:sz w:val="20"/>
          <w:szCs w:val="20"/>
          <w:color w:val="auto"/>
        </w:rPr>
      </w:pPr>
      <w:r>
        <w:rPr>
          <w:rFonts w:ascii="Arial" w:cs="Arial" w:eastAsia="Arial" w:hAnsi="Arial"/>
          <w:sz w:val="18"/>
          <w:szCs w:val="18"/>
          <w:color w:val="auto"/>
        </w:rPr>
        <w:t>We have a short business operating history compared to many of our competitors, and there is limited historical information available about us upon which you can base your evaluation of our business and prospects. Studio City commenced operations in October 2015. As a result, you should consider our business and prospects in light of the risks, expenses, uncertainties and challenges that we may face given our short operating history in the intensely competitive market of the gaming business. The historical performance at the other casinos operated by the Gaming Operator should not be taken as an indication of Studio City Casino’s future performance or the performance of our remaining project once it commences operations.</w:t>
      </w:r>
    </w:p>
    <w:p>
      <w:pPr>
        <w:spacing w:after="0" w:line="192"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We may encounter risks and difficulties frequently experienced by companies with early stage operations, and those risks and difficulties may be heightened by challenging market conditions of the gaming business in Macau and other challenges our business faces. Certain of these risks relate to our ability to:</w:t>
      </w:r>
    </w:p>
    <w:p>
      <w:pPr>
        <w:spacing w:after="0" w:line="8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operate, support, expand and develop our operations and our facilities;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respond to economic uncertainties, including the higher prospect of a global recession and a contraction of liquidity in the global credit markets as a result of the coronavirus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respond to competitive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fulfill conditions precedent to draw down or roll over funds from current and future credit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covenants under our existing and future debt issuances and credit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respond to changing financial requirements and raise additional capital, as required;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the development of our remaining project for Studio City on time and in compliance with the conditions under the relevant land concession contract;</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the necessary authorizations, approvals and licenses from the relevant governmental authorities for the development of our remaining project for Studio City;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customers and qualified staff;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effective control of our operating costs and expenses;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internal personnel, systems, controls and procedures to assure compliance with the extensive regulatory requirements applicable to our business as well as regulatory compliance as a public company;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assure compliance with, and respond to changes in, the regulatory environment and government policies.</w:t>
      </w:r>
    </w:p>
    <w:p>
      <w:pPr>
        <w:spacing w:after="0" w:line="225" w:lineRule="exact"/>
        <w:rPr>
          <w:sz w:val="20"/>
          <w:szCs w:val="20"/>
          <w:color w:val="auto"/>
        </w:rPr>
      </w:pPr>
    </w:p>
    <w:p>
      <w:pPr>
        <w:ind w:left="120" w:right="380" w:firstLine="991"/>
        <w:spacing w:after="0" w:line="263" w:lineRule="auto"/>
        <w:rPr>
          <w:sz w:val="20"/>
          <w:szCs w:val="20"/>
          <w:color w:val="auto"/>
        </w:rPr>
      </w:pPr>
      <w:r>
        <w:rPr>
          <w:rFonts w:ascii="Arial" w:cs="Arial" w:eastAsia="Arial" w:hAnsi="Arial"/>
          <w:sz w:val="18"/>
          <w:szCs w:val="18"/>
          <w:color w:val="auto"/>
        </w:rPr>
        <w:t>If we are unable to successfully manage one or more of such risks, we may be unable to operate our businesses in the manner we contemplate and generate revenues in the amounts and at the rate we anticipate. If any of these events were to occur, it may have a material adverse effect on our business, prospects, financial condition, results of operation and cash flows.</w:t>
      </w:r>
    </w:p>
    <w:p>
      <w:pPr>
        <w:spacing w:after="0" w:line="2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Because neither we nor any of our subsidiaries hold a gaming license in Macau, Studio City Casino is operated by the Gaming Operator through the Services and Right to Use Arrangements under the Gaming Operator’s subconcession. Any failure by the Gaming Operator to comply with its obligations as a subconcessionaire or any failure by the Gaming Operator or us to comply with its or our respective obligations under the Services and Right to Use Arrangements, including any regulatory requirements thereunder, may have a material adverse effect on the operation of Studio City Casino.</w:t>
      </w:r>
    </w:p>
    <w:p>
      <w:pPr>
        <w:spacing w:after="0" w:line="80" w:lineRule="exact"/>
        <w:rPr>
          <w:sz w:val="20"/>
          <w:szCs w:val="20"/>
          <w:color w:val="auto"/>
        </w:rPr>
      </w:pPr>
    </w:p>
    <w:p>
      <w:pPr>
        <w:ind w:left="120" w:right="60" w:firstLine="991"/>
        <w:spacing w:after="0" w:line="301" w:lineRule="auto"/>
        <w:rPr>
          <w:sz w:val="20"/>
          <w:szCs w:val="20"/>
          <w:color w:val="auto"/>
        </w:rPr>
      </w:pPr>
      <w:r>
        <w:rPr>
          <w:rFonts w:ascii="Arial" w:cs="Arial" w:eastAsia="Arial" w:hAnsi="Arial"/>
          <w:sz w:val="16"/>
          <w:szCs w:val="16"/>
          <w:color w:val="auto"/>
        </w:rPr>
        <w:t>The Gaming Operator and our subsidiary, Studio City Entertainment, have entered into the Services and Right to Use Arrangements under which the Gaming Operator has agreed to operate Studio City Casino since we do not hold a gaming license in Macau. Under such arrangements, the Gaming Operator deducts gaming taxes and the costs incurred in connection with its operations from Studio City Casino’s gross gaming revenues. We receive the residual amount and recognize such residual amount as revenues from provision of gaming related services.</w:t>
      </w:r>
    </w:p>
    <w:p>
      <w:pPr>
        <w:spacing w:after="0" w:line="157" w:lineRule="exact"/>
        <w:rPr>
          <w:sz w:val="20"/>
          <w:szCs w:val="20"/>
          <w:color w:val="auto"/>
        </w:rPr>
      </w:pPr>
    </w:p>
    <w:p>
      <w:pPr>
        <w:ind w:left="120" w:right="20" w:firstLine="991"/>
        <w:spacing w:after="0" w:line="286" w:lineRule="auto"/>
        <w:rPr>
          <w:sz w:val="20"/>
          <w:szCs w:val="20"/>
          <w:color w:val="auto"/>
        </w:rPr>
      </w:pPr>
      <w:r>
        <w:rPr>
          <w:rFonts w:ascii="Arial" w:cs="Arial" w:eastAsia="Arial" w:hAnsi="Arial"/>
          <w:sz w:val="16"/>
          <w:szCs w:val="16"/>
          <w:color w:val="auto"/>
        </w:rPr>
        <w:t>The Services and Right to Use Arrangements were approved by the Macau government and are subject to the satisfaction of certain conditions imposed by the Macau government on the Gaming Operator and us in connection with granting its approval. Such conditions include but are not limited to Studio City Entertainment being subject to Macau government supervision applicable to gaming concessionaires and subconcessionaires. As a substantial part of our revenues and cash flows are generated from the Gaming Operator’s operation of Studio City Casino, any failure by the Gaming Operator to comply with any statutory, contractual or any other duties imposed on it as a subconcessionaire or any failure by the Gaming Operator or us to comply with its or our respective obligations under the Services and Right to Use Arrangements, including but not limited to any conditions imposed by the Macau government in granting its approval for our entry into the Services and Right to Use Arrangements, may result in the approval for the Services and Right to Use Arrangements being revoked by the Macau government and consequently an inability to receive any amounts thereunder or provide any gaming facilities at Studio City and thus have a material adverse effect on the operation of Studio City Casino including its suspension or cessation, and may cause the suspension or termination of the Gaming Operator’s subconcession. In 2008, the Macau government announced that services agreements with respect to gaming activities would no longer be approved or authorized. As a result, if the Services and Right to Use Arrangements or the Gaming Operator’s subconcession is terminated, we may not be able to enter into a new services agreement with another concessionaire or subconcessionaire. Even if such moratorium is lifted, we may not be able to enter into an arrangement for the operation of Studio City Casino with another concessionaire or subconcessionaire on terms that are as comparable or acceptable to us or at all. For details of the terms of the Services and Right to Use Arrangements, see “Item 7. Major Shareholders and Related Party Transactions — B. Related Party Transactions.”</w:t>
      </w:r>
    </w:p>
    <w:p>
      <w:pPr>
        <w:spacing w:after="0" w:line="167" w:lineRule="exact"/>
        <w:rPr>
          <w:sz w:val="20"/>
          <w:szCs w:val="20"/>
          <w:color w:val="auto"/>
        </w:rPr>
      </w:pPr>
    </w:p>
    <w:p>
      <w:pPr>
        <w:ind w:left="120" w:right="240" w:firstLine="991"/>
        <w:spacing w:after="0" w:line="342" w:lineRule="auto"/>
        <w:rPr>
          <w:sz w:val="20"/>
          <w:szCs w:val="20"/>
          <w:color w:val="auto"/>
        </w:rPr>
      </w:pPr>
      <w:r>
        <w:rPr>
          <w:rFonts w:ascii="Arial" w:cs="Arial" w:eastAsia="Arial" w:hAnsi="Arial"/>
          <w:sz w:val="16"/>
          <w:szCs w:val="16"/>
          <w:color w:val="auto"/>
        </w:rPr>
        <w:t>Furthermore, the Gaming Operator has exclusive access to the customer database of the gaming operations at Studio City Casino and in the event of termination of the arrangement under the Services and Right to Use Arrangements, we may not be able to gain access to such database.</w:t>
      </w:r>
    </w:p>
    <w:p>
      <w:pPr>
        <w:spacing w:after="0" w:line="124" w:lineRule="exact"/>
        <w:rPr>
          <w:sz w:val="20"/>
          <w:szCs w:val="20"/>
          <w:color w:val="auto"/>
        </w:rPr>
      </w:pPr>
    </w:p>
    <w:p>
      <w:pPr>
        <w:ind w:left="120" w:right="180" w:firstLine="991"/>
        <w:spacing w:after="0" w:line="311" w:lineRule="auto"/>
        <w:rPr>
          <w:sz w:val="20"/>
          <w:szCs w:val="20"/>
          <w:color w:val="auto"/>
        </w:rPr>
      </w:pPr>
      <w:r>
        <w:rPr>
          <w:rFonts w:ascii="Arial" w:cs="Arial" w:eastAsia="Arial" w:hAnsi="Arial"/>
          <w:sz w:val="16"/>
          <w:szCs w:val="16"/>
          <w:color w:val="auto"/>
        </w:rPr>
        <w:t>Any material dispute with the Gaming Operator or any failure by the Gaming Operator to comply with its obligations under its subconcession or by the Gaming Operator or us to comply with its or our respective obligations under the Services and Right to Use Arrangements, including but not limited to any conditions imposed by the Macau government in granting its approval for our entry into the Services and Right to Use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Arrangements, may have a material adverse effect on the operation of Studio City Casino and in turn affect our financial condition and results of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services provided by subsidiaries of Melco Resorts, including hiring and training of personnel for Studio City.</w:t>
      </w:r>
    </w:p>
    <w:p>
      <w:pPr>
        <w:spacing w:after="0" w:line="117"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According to the Services and Right to Use Arrangements, the Gaming Operator, a subsidiary of Melco Resorts, is responsible for the operation of the Studio City Casino facilities, including hiring, employing, training and supervising casino personnel. The Gaming Operator deducts gaming taxes and the costs incurred in connection with its operations, including staff costs from Studio City Casino’s gross gaming revenues. We expect the Gaming Operator to continue managing all recruitment and training-related matters for staff that have been deployed at Studio City Casino.</w:t>
      </w:r>
    </w:p>
    <w:p>
      <w:pPr>
        <w:spacing w:after="0" w:line="157" w:lineRule="exact"/>
        <w:rPr>
          <w:sz w:val="20"/>
          <w:szCs w:val="20"/>
          <w:color w:val="auto"/>
        </w:rPr>
      </w:pPr>
    </w:p>
    <w:p>
      <w:pPr>
        <w:ind w:left="120" w:right="40" w:firstLine="991"/>
        <w:spacing w:after="0" w:line="270" w:lineRule="auto"/>
        <w:rPr>
          <w:sz w:val="20"/>
          <w:szCs w:val="20"/>
          <w:color w:val="auto"/>
        </w:rPr>
      </w:pPr>
      <w:r>
        <w:rPr>
          <w:rFonts w:ascii="Arial" w:cs="Arial" w:eastAsia="Arial" w:hAnsi="Arial"/>
          <w:sz w:val="17"/>
          <w:szCs w:val="17"/>
          <w:color w:val="auto"/>
        </w:rPr>
        <w:t>In addition, under the Management and Shared Services Arrangements, we receive certain services from certain members of the Melco Resorts group. We rely on the Master Service Providers to recruit, allocate, train, manage and supervise a substantial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among others. In addition, pursuant to the Management and Shared Services Arrangements, certain shared services staff including certain senior management from the Master Service Providers are not solely dedicated to our property and may not devote all of their time and attention to the operation of Studio City. These shared services staff work for other properties owned by Melco Resorts, which may directly and indirectly compete with us. Any expansion of the business of Melco Resorts, whether effectuated through the Gaming Operator or other companies, could divert the attention and time of these shared services staff from the operations of Studio City and adversely affect us.</w:t>
      </w:r>
    </w:p>
    <w:p>
      <w:pPr>
        <w:spacing w:after="0" w:line="18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If the Gaming Operator or the Master Service Providers are unable to attract and retain a sufficient number of qualified staff or to provide satisfactory services to us or the costs of qualified staff increase significantly, our business, financial condition and results of operations could be materially and adversely affected.</w:t>
      </w:r>
    </w:p>
    <w:p>
      <w:pPr>
        <w:spacing w:after="0" w:line="292"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The costs associated with the Services and Right to Use Arrangements and the Management and Shared Services Arrangements may not be indicative of the actual costs we could have incurred as an independent company.</w:t>
      </w:r>
    </w:p>
    <w:p>
      <w:pPr>
        <w:spacing w:after="0" w:line="62" w:lineRule="exact"/>
        <w:rPr>
          <w:sz w:val="20"/>
          <w:szCs w:val="20"/>
          <w:color w:val="auto"/>
        </w:rPr>
      </w:pPr>
    </w:p>
    <w:p>
      <w:pPr>
        <w:ind w:left="120" w:right="100" w:firstLine="991"/>
        <w:spacing w:after="0" w:line="342" w:lineRule="auto"/>
        <w:rPr>
          <w:sz w:val="20"/>
          <w:szCs w:val="20"/>
          <w:color w:val="auto"/>
        </w:rPr>
      </w:pPr>
      <w:r>
        <w:rPr>
          <w:rFonts w:ascii="Arial" w:cs="Arial" w:eastAsia="Arial" w:hAnsi="Arial"/>
          <w:sz w:val="16"/>
          <w:szCs w:val="16"/>
          <w:color w:val="auto"/>
        </w:rPr>
        <w:t>Under the Services and Right to Use Arrangements, the Gaming Operator deducts gaming taxes and the costs of operation of Studio City Casino. We receive the residual gross gaming revenues and recognize these amounts as our revenues from provision of gaming related services.</w:t>
      </w:r>
    </w:p>
    <w:p>
      <w:pPr>
        <w:spacing w:after="0" w:line="124"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78" w:lineRule="exact"/>
        <w:rPr>
          <w:sz w:val="20"/>
          <w:szCs w:val="20"/>
          <w:color w:val="auto"/>
        </w:rPr>
      </w:pPr>
    </w:p>
    <w:p>
      <w:pPr>
        <w:jc w:val="both"/>
        <w:ind w:left="120" w:right="180" w:firstLine="991"/>
        <w:spacing w:after="0" w:line="286" w:lineRule="auto"/>
        <w:rPr>
          <w:sz w:val="20"/>
          <w:szCs w:val="20"/>
          <w:color w:val="auto"/>
        </w:rPr>
      </w:pPr>
      <w:r>
        <w:rPr>
          <w:rFonts w:ascii="Arial" w:cs="Arial" w:eastAsia="Arial" w:hAnsi="Arial"/>
          <w:sz w:val="17"/>
          <w:szCs w:val="17"/>
          <w:color w:val="auto"/>
        </w:rPr>
        <w:t>We believe the costs incurred under the Services and Right to Use Arrangements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8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concentration risk in relation to our sole operation of Studio City.</w:t>
      </w:r>
    </w:p>
    <w:p>
      <w:pPr>
        <w:spacing w:after="0" w:line="117" w:lineRule="exact"/>
        <w:rPr>
          <w:sz w:val="20"/>
          <w:szCs w:val="20"/>
          <w:color w:val="auto"/>
        </w:rPr>
      </w:pPr>
    </w:p>
    <w:p>
      <w:pPr>
        <w:jc w:val="both"/>
        <w:ind w:left="120" w:right="20" w:firstLine="991"/>
        <w:spacing w:after="0" w:line="263" w:lineRule="auto"/>
        <w:rPr>
          <w:sz w:val="20"/>
          <w:szCs w:val="20"/>
          <w:color w:val="auto"/>
        </w:rPr>
      </w:pPr>
      <w:r>
        <w:rPr>
          <w:rFonts w:ascii="Arial" w:cs="Arial" w:eastAsia="Arial" w:hAnsi="Arial"/>
          <w:sz w:val="18"/>
          <w:szCs w:val="18"/>
          <w:color w:val="auto"/>
        </w:rPr>
        <w:t>We are dependent upon the operation of Studio City to generate our revenue and cash flows. Given that our operations are conducted only at Studio City in Macau, we are subject to greater risks than a company with several operating properties in several markets. These risks include, but are not limited to:</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dependence on the gaming, tourism and leisure market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diversification of our business and sources of revenue;</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air, land or ferry passenger traffic to Macau from China or other areas or countries due to higher ticket costs, fears concerning travel, travel restrictions or otherwise, including as a result of the outbreak of widespread health epidemics or pandemics, such as the outbreak of COVID-19, or any social unrest in Hong Kong;</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economic and political conditions in Macau, China or Asia, or an increase in competition within the gaming industry in Macau or generally in Asia;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inaccessibility to Macau due to inclement weather, road construction or closure of primary access routes;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austerity measures imposed now or in the future by the governments in China or other countries in Asia;</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tightened control of cross-border fund transfers and/or foreign exchange regulations or policies effected by the Chinese or Macau governments;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enforcement or legal measures taken by the Chinese government to deter gaming activities and/or marketing thereof;</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Macau governmental laws and regulations, including gaming laws and regulations, anti-smoking legislation, or interpretations thereof, as well as China travel and visa policies;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than expected rate of increase or decrease in the number of visitors to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natural and other disasters, including typhoons, outbreaks of infectious diseases, terrorism or violent criminal activities, affecting Macau;</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relaxation of regulations on gaming laws in other regional economies that could compete with the Macau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restrictions on growth of gaming markets, including policies on gaming table allocation and caps;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gaming activities and other spending at Studio City Casino.</w:t>
      </w:r>
    </w:p>
    <w:p>
      <w:pPr>
        <w:spacing w:after="0" w:line="225" w:lineRule="exact"/>
        <w:rPr>
          <w:sz w:val="20"/>
          <w:szCs w:val="20"/>
          <w:color w:val="auto"/>
        </w:rPr>
      </w:pPr>
    </w:p>
    <w:p>
      <w:pPr>
        <w:ind w:left="120" w:right="480" w:firstLine="991"/>
        <w:spacing w:after="0" w:line="277" w:lineRule="auto"/>
        <w:rPr>
          <w:sz w:val="20"/>
          <w:szCs w:val="20"/>
          <w:color w:val="auto"/>
        </w:rPr>
      </w:pPr>
      <w:r>
        <w:rPr>
          <w:rFonts w:ascii="Arial" w:cs="Arial" w:eastAsia="Arial" w:hAnsi="Arial"/>
          <w:sz w:val="18"/>
          <w:szCs w:val="18"/>
          <w:color w:val="auto"/>
        </w:rPr>
        <w:t>Any of these developments or events could have a material adverse effect on our business, cash flows, financial condition, results of operations and prospects.</w:t>
      </w:r>
    </w:p>
    <w:p>
      <w:pPr>
        <w:spacing w:after="0" w:line="170" w:lineRule="exact"/>
        <w:rPr>
          <w:sz w:val="20"/>
          <w:szCs w:val="20"/>
          <w:color w:val="auto"/>
        </w:rPr>
      </w:pPr>
    </w:p>
    <w:p>
      <w:pPr>
        <w:ind w:left="120" w:right="680" w:firstLine="991"/>
        <w:spacing w:after="0" w:line="277" w:lineRule="auto"/>
        <w:rPr>
          <w:sz w:val="20"/>
          <w:szCs w:val="20"/>
          <w:color w:val="auto"/>
        </w:rPr>
      </w:pPr>
      <w:r>
        <w:rPr>
          <w:rFonts w:ascii="Arial" w:cs="Arial" w:eastAsia="Arial" w:hAnsi="Arial"/>
          <w:sz w:val="18"/>
          <w:szCs w:val="18"/>
          <w:color w:val="auto"/>
        </w:rPr>
        <w:t>Furthermore, as Macau is a limited gaming concession market nearing its land capacity for the development of integrated resorts, opportunities to expand our operations, if any, may be limited.</w:t>
      </w:r>
    </w:p>
    <w:p>
      <w:pPr>
        <w:spacing w:after="0" w:line="278" w:lineRule="exact"/>
        <w:rPr>
          <w:sz w:val="20"/>
          <w:szCs w:val="20"/>
          <w:color w:val="auto"/>
        </w:rPr>
      </w:pPr>
    </w:p>
    <w:p>
      <w:pPr>
        <w:jc w:val="both"/>
        <w:ind w:left="120" w:right="360"/>
        <w:spacing w:after="0" w:line="286" w:lineRule="auto"/>
        <w:rPr>
          <w:sz w:val="20"/>
          <w:szCs w:val="20"/>
          <w:color w:val="auto"/>
        </w:rPr>
      </w:pPr>
      <w:r>
        <w:rPr>
          <w:rFonts w:ascii="Arial" w:cs="Arial" w:eastAsia="Arial" w:hAnsi="Arial"/>
          <w:sz w:val="17"/>
          <w:szCs w:val="17"/>
          <w:b w:val="1"/>
          <w:bCs w:val="1"/>
          <w:i w:val="1"/>
          <w:iCs w:val="1"/>
          <w:color w:val="auto"/>
        </w:rPr>
        <w:t>The Gaming Operator will continue the operation of VIP rolling chip tables at the Studio City Casino until December 31, 2021, subject to early termination with 30 days’ prior notice by either Studio City or the Gaming Operator. Any discontinuation of such VIP rolling chip operations is likely to materially and adversely affect our financial condition and results of operations.</w:t>
      </w:r>
    </w:p>
    <w:p>
      <w:pPr>
        <w:spacing w:after="0" w:line="57" w:lineRule="exact"/>
        <w:rPr>
          <w:sz w:val="20"/>
          <w:szCs w:val="20"/>
          <w:color w:val="auto"/>
        </w:rPr>
      </w:pPr>
    </w:p>
    <w:p>
      <w:pPr>
        <w:ind w:left="120" w:right="240" w:firstLine="991"/>
        <w:spacing w:after="0" w:line="311" w:lineRule="auto"/>
        <w:rPr>
          <w:sz w:val="20"/>
          <w:szCs w:val="20"/>
          <w:color w:val="auto"/>
        </w:rPr>
      </w:pPr>
      <w:r>
        <w:rPr>
          <w:rFonts w:ascii="Arial" w:cs="Arial" w:eastAsia="Arial" w:hAnsi="Arial"/>
          <w:sz w:val="16"/>
          <w:szCs w:val="16"/>
          <w:color w:val="auto"/>
        </w:rPr>
        <w:t>VIP rolling chip operations, including both junket and premium direct VIP offerings, were introduced at Studio City Casino in early November 2016. Such VIP rolling chip operations are operated by the Gaming Operator under the Services and Right to Use Arrangements. The VIP tables used in such operations were initially allocated by the Macau government for operation by the Gaming Operator at gaming areas of the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Gaming Operator’s other properties in Macau. In December 2020, we announced the Gaming Operator’s continuation of VIP rolling chip operations at the Studio City Casino until December 31, 2021. Such VIP rolling chip operations are subject to early termination with 30 days’ prior notice by either Studio City Entertainment or the Gaming Operator.</w:t>
      </w:r>
    </w:p>
    <w:p>
      <w:pPr>
        <w:spacing w:after="0" w:line="184"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The 250 mass market gaming tables permitted to be operated at the Studio City Casino by the Gaming Operator are designated for mass market purposes only and there is no assurance or expectation that such tables may be operated as VIP rolling chip tables in the future as the Macau government has determined that tables authorized for mass market gaming operations may not be utilized for VIP gaming operations. Amounts received from the Studio City Casino VIP gaming operations, as determined under the Services and Right to Use Arrangements, amounted to negative US$16.7 million, US$20.0 million and US$35.7 million in 2020, 2019 and 2018, respectively.</w:t>
      </w:r>
    </w:p>
    <w:p>
      <w:pPr>
        <w:spacing w:after="0" w:line="176" w:lineRule="exact"/>
        <w:rPr>
          <w:sz w:val="20"/>
          <w:szCs w:val="20"/>
          <w:color w:val="auto"/>
        </w:rPr>
      </w:pPr>
    </w:p>
    <w:p>
      <w:pPr>
        <w:ind w:left="120" w:right="180" w:firstLine="991"/>
        <w:spacing w:after="0" w:line="259" w:lineRule="auto"/>
        <w:rPr>
          <w:sz w:val="20"/>
          <w:szCs w:val="20"/>
          <w:color w:val="auto"/>
        </w:rPr>
      </w:pPr>
      <w:r>
        <w:rPr>
          <w:rFonts w:ascii="Arial" w:cs="Arial" w:eastAsia="Arial" w:hAnsi="Arial"/>
          <w:sz w:val="18"/>
          <w:szCs w:val="18"/>
          <w:color w:val="auto"/>
        </w:rPr>
        <w:t>While we expect our business strategy going forward to continue to focus on cultivating further growth in the premium mass and mass market segments at the Studio City Casino and enhancing our differentiated non-gaming amenities to complement our gaming operations, any discontinuation of the VIP rolling chip operations at Studio City Casino is likely to have a material adverse effect on our business, prospects, financial condition, results of operations and cash flows.</w:t>
      </w:r>
    </w:p>
    <w:p>
      <w:pPr>
        <w:spacing w:after="0" w:line="29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Studio City Casino’s VIP rolling chip operations, while they continue, may cause volatility in our financial condition and results of operations due to changes in the economic and regulatory environments and Studio City Casino’s ability to attract and retain VIP rolling chip players.</w:t>
      </w:r>
    </w:p>
    <w:p>
      <w:pPr>
        <w:spacing w:after="0" w:line="16"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Studio City Casino has and, to the extent VIP rolling chip operations continue, is expected to incur costs associated with the VIP rolling chip operations, while the expected revenues to be generated from the VIP rolling chip operations may be volatile primarily due to high bets and the resulting high winnings and losses. Gross win per VIP table per day were approximately US$3,700, US$21,000 and US$38,000 in 2020, 2019 and 2018, respectively. VIP rolling chip operations are also more vulnerable to changes in the economic environment and therefore inherently more volatile than mass market operations. For example, according to statistics compiled from the DICJ, VIP rolling chip gross gaming revenues declined in Macau from 2015 to 2016 and again from 2018 to 2019, while mass market gross gaming revenues increased during the same periods. Moreover, VIP rolling chip operations involve commissions to the gaming promoters and, as a result, the margins associated with VIP rolling chip operations are usually lower than the margins for mass market operations and may also be volatile from period-to-period due to significant variances in winnings and losses. As a result, Studio City Casino’s business, results of operations and cash flows may become more volatile, while VIP rolling chip operations continue, compared to that of other casinos with only mass market gaming operations.</w:t>
      </w:r>
    </w:p>
    <w:p>
      <w:pPr>
        <w:spacing w:after="0" w:line="185" w:lineRule="exact"/>
        <w:rPr>
          <w:sz w:val="20"/>
          <w:szCs w:val="20"/>
          <w:color w:val="auto"/>
        </w:rPr>
      </w:pPr>
    </w:p>
    <w:p>
      <w:pPr>
        <w:ind w:left="120" w:right="60" w:firstLine="991"/>
        <w:spacing w:after="0" w:line="254" w:lineRule="auto"/>
        <w:rPr>
          <w:sz w:val="20"/>
          <w:szCs w:val="20"/>
          <w:color w:val="auto"/>
        </w:rPr>
      </w:pPr>
      <w:r>
        <w:rPr>
          <w:rFonts w:ascii="Arial" w:cs="Arial" w:eastAsia="Arial" w:hAnsi="Arial"/>
          <w:sz w:val="18"/>
          <w:szCs w:val="18"/>
          <w:color w:val="auto"/>
        </w:rPr>
        <w:t>Further, the VIP rolling chip players pool is limited and we cannot assure you that the existing VIP rolling chip players at Studio City Casino will be recurring players. If Studio City Casino loses its existing VIP rolling chip players or fails to attract new VIP rolling chip players while VIP rolling chip operations are ongoing, our revenues and cash flows from the provision of gaming-related services could be materially and adversely affected. In addition, the VIP rolling chip segment may be particularly susceptible to certain changes in government policies, regulations and enforcement actions. For instance, the anti-corruption campaign of the Chinese government has had a negative effect on the VIP rolling chip segment in Macau. Any further campaigns may negatively affect the numbers of VIP rolling chip players in Macau and in turn, materially and adversely affect our business.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net losses and may not achieve profitability in the future.</w:t>
      </w:r>
    </w:p>
    <w:p>
      <w:pPr>
        <w:spacing w:after="0" w:line="117" w:lineRule="exact"/>
        <w:rPr>
          <w:sz w:val="20"/>
          <w:szCs w:val="20"/>
          <w:color w:val="auto"/>
        </w:rPr>
      </w:pPr>
    </w:p>
    <w:p>
      <w:pPr>
        <w:ind w:left="120" w:right="40" w:firstLine="991"/>
        <w:spacing w:after="0" w:line="311" w:lineRule="auto"/>
        <w:rPr>
          <w:sz w:val="20"/>
          <w:szCs w:val="20"/>
          <w:color w:val="auto"/>
        </w:rPr>
      </w:pPr>
      <w:r>
        <w:rPr>
          <w:rFonts w:ascii="Arial" w:cs="Arial" w:eastAsia="Arial" w:hAnsi="Arial"/>
          <w:sz w:val="16"/>
          <w:szCs w:val="16"/>
          <w:color w:val="auto"/>
        </w:rPr>
        <w:t>Studio City may not be financially successful or generate the cash flows that we anticipate. We generated net income attributable to Studio City International Holdings Limited of US$33.6 million for the year ended December 31, 2019 while we had net losses attributable to Studio City International Holdings Limited of US$321.6 million, US$21.6 million, US$76.4 million and US$242.8 million for the years ended December 31,</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2020, 2018, 2017 and 2016, respectively, primarily because of the impact of the COVID-19 pandemic in the case of December 31, 2020 and Studio City only commenced operations in October 2015 and was ramping up operations. In addition, we incurred negative operating cash flows of US$113.1 million in 2015.</w:t>
      </w:r>
    </w:p>
    <w:p>
      <w:pPr>
        <w:spacing w:after="0" w:line="184" w:lineRule="exact"/>
        <w:rPr>
          <w:sz w:val="20"/>
          <w:szCs w:val="20"/>
          <w:color w:val="auto"/>
        </w:rPr>
      </w:pPr>
    </w:p>
    <w:p>
      <w:pPr>
        <w:ind w:left="120" w:firstLine="991"/>
        <w:spacing w:after="0" w:line="342" w:lineRule="auto"/>
        <w:rPr>
          <w:sz w:val="20"/>
          <w:szCs w:val="20"/>
          <w:color w:val="auto"/>
        </w:rPr>
      </w:pPr>
      <w:r>
        <w:rPr>
          <w:rFonts w:ascii="Arial" w:cs="Arial" w:eastAsia="Arial" w:hAnsi="Arial"/>
          <w:sz w:val="16"/>
          <w:szCs w:val="16"/>
          <w:color w:val="auto"/>
        </w:rPr>
        <w:t>We expect our costs and expenses to increase in absolute amounts due to (i) the continued expansion of our operations, which will cause us to incur increased costs and expenses associated with the operation of our businesses; and (ii) the continued development of our remaining project.</w:t>
      </w:r>
    </w:p>
    <w:p>
      <w:pPr>
        <w:spacing w:after="0" w:line="124"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We also expect that we will continue to incur significant capital expenditures as we continue to expand our existing operations and develop our remaining project. These efforts may be more costly than we expect and our revenue may not increase sufficiently to offset these expenses. We may continue to take actions and make investments that do not generate optimal short-term financial results and may even result in increased operating losses in the short term with no assurance that we will eventually achieve the intended long-term benefits or profitability. These factors may adversely affect our ability to achieve profitability and service debt obligations and interest payments under any of our existing or future financing facilities.</w:t>
      </w:r>
    </w:p>
    <w:p>
      <w:pPr>
        <w:spacing w:after="0" w:line="26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existing indebtedness and may incur additional indebtedness, which could have significant effects on our business and future operations.</w:t>
      </w:r>
    </w:p>
    <w:p>
      <w:pPr>
        <w:spacing w:after="0" w:line="62"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We have a substantial amount of existing indebtedness. As of December 31, 2020, we had total outstanding indebtedness of approximately US$1.60 billion, representing the outstanding principal balances of our existing notes and credit facility. See “Item 5. Operating and Financial Review and Prospects — B. Liquidity and Capital Resources — Indebtedness.” Significant interest and principal payments are required to meet our obligations under the existing indebtedness. Our substantial indebtedness could have important consequences for you and significant effects on our business and future operations. For example:</w:t>
      </w:r>
    </w:p>
    <w:p>
      <w:pPr>
        <w:spacing w:after="0" w:line="93" w:lineRule="exact"/>
        <w:rPr>
          <w:sz w:val="20"/>
          <w:szCs w:val="20"/>
          <w:color w:val="auto"/>
        </w:rPr>
      </w:pPr>
    </w:p>
    <w:p>
      <w:pPr>
        <w:jc w:val="both"/>
        <w:ind w:left="1080" w:right="20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meet our payment obligations or otherwise default under the agreements governing our existing indebtedness, the applicable lenders or note holders under our indebtedness will have the right to accelerate such indebtedness and exercise other rights and remedies against us;</w:t>
      </w:r>
    </w:p>
    <w:p>
      <w:pPr>
        <w:spacing w:after="0" w:line="89"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limited in our ability to obtain additional financing, if needed, to fund our working capital requirements, capital expenditures, debt service, general corporate or other obligations, including our obligations with respect to the existing indebtedness;</w:t>
      </w:r>
    </w:p>
    <w:p>
      <w:pPr>
        <w:spacing w:after="0" w:line="29" w:lineRule="exact"/>
        <w:rPr>
          <w:rFonts w:ascii="Arial" w:cs="Arial" w:eastAsia="Arial" w:hAnsi="Arial"/>
          <w:sz w:val="16"/>
          <w:szCs w:val="16"/>
          <w:color w:val="auto"/>
        </w:rPr>
      </w:pPr>
    </w:p>
    <w:p>
      <w:pPr>
        <w:ind w:left="1080" w:right="20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are required to use all or a substantial portion of our cash flow from operations of Studio City to service our indebtedness, which will reduce the available cash flow to fund our operations, capital expenditures and other general corporate purposes;</w:t>
      </w:r>
    </w:p>
    <w:p>
      <w:pPr>
        <w:spacing w:after="0" w:line="51"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limited in our ability to respond to changing business and economic conditions and to withstand competitive pressures, which may affect our financial condition;</w:t>
      </w:r>
    </w:p>
    <w:p>
      <w:pPr>
        <w:spacing w:after="0" w:line="75" w:lineRule="exact"/>
        <w:rPr>
          <w:rFonts w:ascii="Arial" w:cs="Arial" w:eastAsia="Arial" w:hAnsi="Arial"/>
          <w:sz w:val="18"/>
          <w:szCs w:val="18"/>
          <w:color w:val="auto"/>
        </w:rPr>
      </w:pPr>
    </w:p>
    <w:p>
      <w:pPr>
        <w:ind w:left="1080" w:right="58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under certain existing indebtedness, the interest rates we pay in respect of the indebtedness which we are not required to hedge will fluctuate with the current market rates and, accordingly, our interest expense will increase if market interest rates increase;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 and</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that we or one of our subsidiaries were to default, it may result in the loss of all or a substantial portion of our and/or our subsidiaries’ assets over which our creditors have taken or will take security.</w:t>
      </w:r>
    </w:p>
    <w:p>
      <w:pPr>
        <w:spacing w:after="0" w:line="170" w:lineRule="exact"/>
        <w:rPr>
          <w:sz w:val="20"/>
          <w:szCs w:val="20"/>
          <w:color w:val="auto"/>
        </w:rPr>
      </w:pPr>
    </w:p>
    <w:p>
      <w:pPr>
        <w:ind w:left="120" w:right="340" w:firstLine="991"/>
        <w:spacing w:after="0" w:line="263" w:lineRule="auto"/>
        <w:rPr>
          <w:sz w:val="20"/>
          <w:szCs w:val="20"/>
          <w:color w:val="auto"/>
        </w:rPr>
      </w:pPr>
      <w:r>
        <w:rPr>
          <w:rFonts w:ascii="Arial" w:cs="Arial" w:eastAsia="Arial" w:hAnsi="Arial"/>
          <w:sz w:val="18"/>
          <w:szCs w:val="18"/>
          <w:color w:val="auto"/>
        </w:rPr>
        <w:t>Under the terms of the indentures governing our existing indebtedness, we will be permitted to incur additional indebtedness if certain conditions are met, some of which may be senior secured indebtedness. If we incur additional indebtedness, certain risks described above will be exacerbated.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If we are unable to comply with our existing and/or future indebtedness obligations and other agreements, there could be a default under those agreements. If that occurs, lenders could terminate their respective commitments to lend to us or terminate their respective agreements, and holders of our debt securities could accelerate repayment of debt and declare all outstanding amounts due and payable, as the case may be. Furthermore, existing agreements governing our indebtedness contain, and future agreements governing our indebtedness are likely to contain, cross-acceleration or cross-default provisions. As a result, our default under any such agreement may cause the acceleration of repayment of other indebtedness or result in a default under agreements governing our other indebtedness. If any of these events occur, our assets and cash flows may not be sufficient to repay in full all of our indebtedness and we may not be able to find alternative financing. Even if we are able to obtain alternative financing, it may not be on terms that are comparable or acceptable to us.</w:t>
      </w:r>
    </w:p>
    <w:p>
      <w:pPr>
        <w:spacing w:after="0" w:line="28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Certain covenants under our agreements governing our existing indebtedness restrict our ability to engage in certain transactions and may impair our ability to respond to changing business and economic conditions.</w:t>
      </w:r>
    </w:p>
    <w:p>
      <w:pPr>
        <w:spacing w:after="0" w:line="62" w:lineRule="exact"/>
        <w:rPr>
          <w:sz w:val="20"/>
          <w:szCs w:val="20"/>
          <w:color w:val="auto"/>
        </w:rPr>
      </w:pPr>
    </w:p>
    <w:p>
      <w:pPr>
        <w:ind w:left="120" w:right="520" w:firstLine="991"/>
        <w:spacing w:after="0" w:line="308" w:lineRule="auto"/>
        <w:rPr>
          <w:sz w:val="20"/>
          <w:szCs w:val="20"/>
          <w:color w:val="auto"/>
        </w:rPr>
      </w:pPr>
      <w:r>
        <w:rPr>
          <w:rFonts w:ascii="Arial" w:cs="Arial" w:eastAsia="Arial" w:hAnsi="Arial"/>
          <w:sz w:val="17"/>
          <w:szCs w:val="17"/>
          <w:color w:val="auto"/>
        </w:rPr>
        <w:t>Certain covenants under our agreements governing our existing indebtedness impose operating and financial restrictions on us. The restrictions that are imposed under these debt instruments include, among other things, limitations on our ability to:</w:t>
      </w:r>
    </w:p>
    <w:p>
      <w:pPr>
        <w:spacing w:after="0" w:line="52"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account of our equity interests;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specified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other businesses or make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25"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Certain of our credit facilities are secured by mortgages, assignment of land use rights, leases or equivalents, security over shares, charges over bank accounts, security over assets and other customary security over the assets of our subsidiaries. In the event of a default under such credit facilities, the holders of such secured indebtedness would first be entitled to payment from their collateral security and only then would holders of certain of our subsidiaries’ unsecured debt be entitled to payment from their remaining assets.</w:t>
      </w:r>
    </w:p>
    <w:p>
      <w:pPr>
        <w:spacing w:after="0" w:line="187"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As a result of these covenants and restrictions, we will be limited in how we conduct our business, and we may be unable to raise additional financing to compete effectively or to take advantage of new business opportunities. Future indebtedness or other contracts could contain financial or other covenants more restrictive than those contained in the agreements governing the existing indebtedness. In addition, general economic conditions, industry conditions and other events beyond our control may also affect our ability to comply with these provisions. If we fail to abide by such covenants, we may be unable to maintain our current financing arrangements, obtain suitable future financings or avoid an event of default which may adversely impact our cash flows, existing operations and future development.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generate a portion of our revenues from, and are subject to risks in operating, non-gaming offerings.</w:t>
      </w:r>
    </w:p>
    <w:p>
      <w:pPr>
        <w:spacing w:after="0" w:line="117"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We generate a portion of our revenues from non-gaming offerings and our financial performance in part depends on our ability to attract new and repeat customers to the non-gaming facilities at Studio City. Both</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8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visitation and the level of spending at our themed attractions, hotel, retail shops, restaurants and other leisure and entertainment facilities are key drivers of revenues and profitability, and reductions in either could have a material adverse effect on our business, prospects, results of operations and cash flows. In addition, any cessation of the operation of VIP tables by the Gaming Operator at Studio City Casino, or any reduction in such operation, could have a material adverse effect on visitation and the level of spending at our leisure and entertainment facilities as rolling chip patrons have become increasingly significant growth drivers for our high-end retail and fine-dining offerings. We do not have a long track record in operating these non-gaming facilities and may not be able to attract new and recurring customers to our non-gaming facilities at Studio City. Our success in non-gaming offerings depends on, among others, the effectiveness of our advertising and marketing initiatives, the attractiveness and safety of our entertainment facilities as compared to other resorts in Macau, the compliance with legal and regulatory requirements for our retail, entertainment and food and beverage outlets and our continued cooperation with the popular retail brands and restaurants. Moreover, many of our attractions which draw in large numbers of visitors, such as the Golden Reel and Batman Dark Flight may become obsolete in terms of technology or otherwise fail to continue to attract sufficient number of visitors. We cannot assure you that we will be financially successful in our non-gaming offerings or be able to maintain the average daily rate, occupancy rate and REVPAR of Studio City hotel or visitation to Studio City in general, which may adversely affect our ability to generate the cash flows that we anticipate and impact our operations and financial condition.</w:t>
      </w:r>
    </w:p>
    <w:p>
      <w:pPr>
        <w:spacing w:after="0" w:line="282"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b w:val="1"/>
          <w:bCs w:val="1"/>
          <w:i w:val="1"/>
          <w:iCs w:val="1"/>
          <w:color w:val="auto"/>
        </w:rPr>
        <w:t>Studio City Casino’s gaming operations could be impacted by the reputation and integrity of the parties engaged in business activities at Studio City Casino and we cannot assure you that these parties will always maintain high standards of conduct or suitability throughout the term of Studio City Casino’s association with them. Failure to do so may potentially cause the Gaming Operator, us and our shareholders to suffer harm to our and our shareholders’ reputation, as well as impaired relationships with, and possibly sanctions from, gaming regulators.</w:t>
      </w:r>
    </w:p>
    <w:p>
      <w:pPr>
        <w:spacing w:after="0" w:line="49"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The reputation and integrity of the parties who are or will be engaged in gaming activities at Studio City Casino are important to the continued operations of the casino in compliance with Gaming Operator’s subconcession and our own reputation. For parties that engage in gaming related activities, where relevant, the gaming regulators are expected to undertake their own probity checks and will reach their own suitability findings in respect of the activities and parties with which Studio City Casino may be associated. In addition, we conduct, and we expect that the Gaming Operator will conduct, an internal due diligence and evaluation process prior to the engagement of such parties. However, notwithstanding such regulatory probity checks, the Gaming Operator’s due diligence and our own due diligence, we cannot assure you that the parties with whom Studio City Casino is or will be associated will always maintain the high standards that gaming regulators, the Gaming Operator and we require or that such parties will maintain their suitability throughout the term of Studio City Casino’s association with them. If Studio City Casino were to be associated with any party whose probity was in doubt, this may reflect negatively on the Gaming Operator and our own probity when assessed by gaming regulators. A party associated with Studio City Casino may fall below the gaming regulators’ suitability standards.</w:t>
      </w:r>
    </w:p>
    <w:p>
      <w:pPr>
        <w:spacing w:after="0" w:line="185" w:lineRule="exact"/>
        <w:rPr>
          <w:sz w:val="20"/>
          <w:szCs w:val="20"/>
          <w:color w:val="auto"/>
        </w:rPr>
      </w:pPr>
    </w:p>
    <w:p>
      <w:pPr>
        <w:ind w:left="120" w:right="80" w:firstLine="991"/>
        <w:spacing w:after="0" w:line="253" w:lineRule="auto"/>
        <w:rPr>
          <w:sz w:val="20"/>
          <w:szCs w:val="20"/>
          <w:color w:val="auto"/>
        </w:rPr>
      </w:pPr>
      <w:r>
        <w:rPr>
          <w:rFonts w:ascii="Arial" w:cs="Arial" w:eastAsia="Arial" w:hAnsi="Arial"/>
          <w:sz w:val="18"/>
          <w:szCs w:val="18"/>
          <w:color w:val="auto"/>
        </w:rPr>
        <w:t>In particular, the reputation of the gaming promoters operating in Studio City Casino is important to the Gaming Operator’s ability to continue to operate in compliance with its subconcession and our own reputation. While we endeavor, and we expect that the Gaming Operator also endeavors, to ensure high standards of probity and integrity in such gaming promoters, we cannot assure you that such gaming promoters will always maintain such high standards. If the probity of a gaming promoter associated with Studio City Casino was in doubt or such promoter failed to operate in compliance with Macau laws consistently, this may be considered by regulators or investors to reflect negatively on the Gaming Operator’s and on our own probity and compliance records. Such a gaming promoter may fall below the Gaming Operator’s or our standards of probity, integrity and legal compliance. There can also be no assurance that any allegation against, or negative publicity relating to, the gaming promoters operating in Studio City Casino or the Gaming Operator’s or our standards of probity, integrity and legal compliance will not have a material adverse impact on our reputation and business operations.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86"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342" w:lineRule="auto"/>
        <w:rPr>
          <w:sz w:val="20"/>
          <w:szCs w:val="20"/>
          <w:color w:val="auto"/>
        </w:rPr>
      </w:pPr>
      <w:r>
        <w:rPr>
          <w:rFonts w:ascii="Arial" w:cs="Arial" w:eastAsia="Arial" w:hAnsi="Arial"/>
          <w:sz w:val="16"/>
          <w:szCs w:val="16"/>
          <w:color w:val="auto"/>
        </w:rPr>
        <w:t>If any of the above were to occur, we, the Gaming Operator and our shareholders may suffer harm to our, the Gaming Operator’s and our shareholders’ reputation, as well as impaired relationships with, and possibly sanctions from, gaming regulators with authority over operations.</w:t>
      </w:r>
    </w:p>
    <w:p>
      <w:pPr>
        <w:spacing w:after="0" w:line="232"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b w:val="1"/>
          <w:bCs w:val="1"/>
          <w:i w:val="1"/>
          <w:iCs w:val="1"/>
          <w:color w:val="auto"/>
        </w:rPr>
        <w:t>We are developing the remaining project for Studio City under the terms of a land concession which currently require us to fully develop the land on which Studio City is located by May 31, 2022. Any extension of the development period is subject to Macau government review and approval at its discretion. In the event of any failure to complete the remaining project, we could be forced to forfeit all or part of our investment in Studio City, along with our interest in the land on which Studio City is located and the building and structures on such land.</w:t>
      </w:r>
    </w:p>
    <w:p>
      <w:pPr>
        <w:spacing w:after="0" w:line="49"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Land concessions in Macau are issued by the Macau government and generally have terms of 25 years and are renewable for further consecutive periods of ten years. Land concessions further stipulate a period within which the development of the land must be completed. The land on which Studio City is located must be fully developed by May 31, 2022.</w:t>
      </w:r>
    </w:p>
    <w:p>
      <w:pPr>
        <w:spacing w:after="0" w:line="184"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While we opened Studio City in October 2015, development for the remaining land of Studio City is still ongoing. Although we have already made significant capital investments for the development for the remaining land of Studio City, we expect to require significant additional capital investments to complete the development. As of December 31, 2020, we had incurred approximately US$256.2 million aggregate costs relating to the development of our remaining project, primarily related to the initial design and planning costs. Based on our current plan for the remaining project, we currently expect a project budget of approximately US$1.25 billion to US$1.30 billion for the development of the remaining project (exclusive of any pre-opening costs and financing costs). Such development for the remaining project of Studio City may be funded through various sources, including cash on hand, operating free cash flow as well as debt and/or equity financing. Our ability to obtain any debt financing also depends on a number of factors beyond our control, including market conditions such as the higher prospect of a global recession and a contraction of liquidity in the global credit markets caused by the effect of the large-scale global COVID-19 pandemic and investors’ and lenders’ perceptions of, and demand for the debt financing for the remaining project of Studio City. There is no guarantee that we can secure the necessary additional capital investments, including any debt financing, required for the development of the remaining project of Studio City in a timely manner or at all.</w:t>
      </w:r>
    </w:p>
    <w:p>
      <w:pPr>
        <w:spacing w:after="0" w:line="172"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There is also no guarantee that we will complete the development of the remaining land of Studio City by the deadline. With the disruptions from the COVID-19 outbreak, the construction period has been delayed and is expected to extend beyond the estimated approximately 32 months and the current development period. The extension of the development period of the remaining project for Studio City is subject to Macau government review and approval at its discretion. While the Macau government may grant extensions if we meet certain legal requirements, there can be no assurance that the Macau government will grant us the necessary extension of the development period or not exercise its rights to terminate the Studio City land concession. In the event that no further extension is granted or the Studio City land concession is terminated, we could lose all or substantially all of our investment in Studio City, including our interest in the land and building and may not be able to continue to operate Studio City as planned, which will materially and adversely affect our business and prospects, results of operations and financial condition.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development of the remaining project is subject to significant risks and uncertainties.</w:t>
      </w:r>
    </w:p>
    <w:p>
      <w:pPr>
        <w:spacing w:after="0" w:line="117"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Under our current plan for the remaining project, the remaining project is expected to consist of two hotel towers with a total of approximately 900 rooms and suites and a gaming area. In addition, we currently envision the remaining project to also contain a waterpark with indoor and outdoor areas. Other non-gaming attractions expected to be part of the remaining project include MICE space, retail and food and beverage outlets and a cineplex.</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development and construction risks of the remaining project at Studio City include:</w:t>
      </w:r>
    </w:p>
    <w:p>
      <w:pPr>
        <w:spacing w:after="0" w:line="131" w:lineRule="exact"/>
        <w:rPr>
          <w:sz w:val="20"/>
          <w:szCs w:val="20"/>
          <w:color w:val="auto"/>
        </w:rPr>
      </w:pPr>
    </w:p>
    <w:p>
      <w:pPr>
        <w:ind w:left="1080" w:right="3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or delay in obtaining the necessary permits, authorizations, approvals and licenses from the relevant governmental authorities, including for any further extension of the development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sufficient, or delays in availability of,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engineering problems, including defective plans and specifications;</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leisure, real estate development or construction projects;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in relation to compliance with environmental rules and regulations in our development plans;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key supply markets, including shortages of, and price increases in, energy, materials and skilled and unskilled labor, and inflation, including any disruptions resulting from the COVID-19 outbreak;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shortage of qualified contractors and suppliers or inability to enter into definitive contracts with contractors with sufficient skills, financial resources and experience on commercially reasonable terms,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with and defaults by or between suppliers, contractors and subcontractors and other counter-parties;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environmental, health and safety issues, including site accidents and the spread or outbreak of infectious diseases, such as the ongoing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fires, typhoons and other natural disasters, including weather interferences or delays;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unanticipated circumstances or cost increases.</w:t>
      </w:r>
    </w:p>
    <w:p>
      <w:pPr>
        <w:spacing w:after="0" w:line="225" w:lineRule="exact"/>
        <w:rPr>
          <w:sz w:val="20"/>
          <w:szCs w:val="20"/>
          <w:color w:val="auto"/>
        </w:rPr>
      </w:pPr>
    </w:p>
    <w:p>
      <w:pPr>
        <w:ind w:left="120" w:right="40" w:firstLine="991"/>
        <w:spacing w:after="0" w:line="289" w:lineRule="auto"/>
        <w:rPr>
          <w:sz w:val="20"/>
          <w:szCs w:val="20"/>
          <w:color w:val="auto"/>
        </w:rPr>
      </w:pPr>
      <w:r>
        <w:rPr>
          <w:rFonts w:ascii="Arial" w:cs="Arial" w:eastAsia="Arial" w:hAnsi="Arial"/>
          <w:sz w:val="16"/>
          <w:szCs w:val="16"/>
          <w:color w:val="auto"/>
        </w:rPr>
        <w:t>We are currently developing the remaining project. However, there is no assurance that our expected development plan will be successful and that we will be able to secure commercial terms favorable to us from our potential business or financing sources. In addition, we expect that our capital expenditures and depreciation and amortization expenses will increase as we continue to develop our remaining project. As of December 31, 2020, we incurred approximately US$256.2 million of aggregate costs relating to the development of our remaining project, primarily related to the initial design and planning costs and construction costs. Based on our current plan for the remaining project, we currently expect a project budget of approximately US$1.25 billion to US$1.30 billion for the development of the remaining project (exclusive of any pre-opening costs and financing costs). As we obtain additional debt and/or equity financing, our leverage may intensify, our financing-related costs may increase and your equity interest in us may be diluted, as the case may be. Furthermore, there is no guarantee that we may be able to respond adequately to competitive or unfavorable market conditions to successfully operate and capitalize on our investment in the remaining project when it commences operations.</w:t>
      </w:r>
    </w:p>
    <w:p>
      <w:pPr>
        <w:spacing w:after="0" w:line="166" w:lineRule="exact"/>
        <w:rPr>
          <w:sz w:val="20"/>
          <w:szCs w:val="20"/>
          <w:color w:val="auto"/>
        </w:rPr>
      </w:pPr>
    </w:p>
    <w:p>
      <w:pPr>
        <w:ind w:left="120" w:right="180" w:firstLine="991"/>
        <w:spacing w:after="0" w:line="254" w:lineRule="auto"/>
        <w:rPr>
          <w:sz w:val="20"/>
          <w:szCs w:val="20"/>
          <w:color w:val="auto"/>
        </w:rPr>
      </w:pPr>
      <w:r>
        <w:rPr>
          <w:rFonts w:ascii="Arial" w:cs="Arial" w:eastAsia="Arial" w:hAnsi="Arial"/>
          <w:sz w:val="18"/>
          <w:szCs w:val="18"/>
          <w:color w:val="auto"/>
        </w:rPr>
        <w:t>The occurrence of any of these developments or construction risks could increase the total costs, delay or prevent the construction or opening or otherwise affect the design and features of the remaining project at Studio City. With the disruptions from the COVID-19 outbreak, the construction period has been delayed and is expected to extend beyond the estimated approximately 32 months. In addition, we cannot guarantee that our construction costs or total project costs for the remaining project at Studio City will not increase above our budget. The extension of the development period of the remaining project for Studio City is subject to Macau government review and approval at its discretion. Any failure to complete the remaining project on time or within our budget could have a material adverse effect on our business and prospects, financial condition, results of operations and cash flows.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486"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obtain adequate financing on satisfactory terms for our existing business and/or remaining project, or at all.</w:t>
      </w:r>
    </w:p>
    <w:p>
      <w:pPr>
        <w:spacing w:after="0" w:line="129" w:lineRule="exact"/>
        <w:rPr>
          <w:sz w:val="20"/>
          <w:szCs w:val="20"/>
          <w:color w:val="auto"/>
        </w:rPr>
      </w:pPr>
    </w:p>
    <w:p>
      <w:pPr>
        <w:ind w:left="120" w:right="160" w:firstLine="991"/>
        <w:spacing w:after="0" w:line="255" w:lineRule="auto"/>
        <w:rPr>
          <w:sz w:val="20"/>
          <w:szCs w:val="20"/>
          <w:color w:val="auto"/>
        </w:rPr>
      </w:pPr>
      <w:r>
        <w:rPr>
          <w:rFonts w:ascii="Arial" w:cs="Arial" w:eastAsia="Arial" w:hAnsi="Arial"/>
          <w:sz w:val="18"/>
          <w:szCs w:val="18"/>
          <w:color w:val="auto"/>
        </w:rPr>
        <w:t>In the past, we have funded our capital investment projects primarily through credit facilities, issuance of debt securities and other debt and equity financings. We will require additional funding in the future for the expansion of our current business and/or development of our remaining project, which may be substantial and which we may raise through a combination of credit, debt and equity financings. We may be required to seek the approval or consent of or notify the relevant government authorities or third parties in order to obtain such financings. We cannot assure you that we would be able to obtain such required approval or consent from the relevant government authorities or third parties with respect to such financing in a timely manner or at all.</w:t>
      </w:r>
    </w:p>
    <w:p>
      <w:pPr>
        <w:spacing w:after="0" w:line="192" w:lineRule="exact"/>
        <w:rPr>
          <w:sz w:val="20"/>
          <w:szCs w:val="20"/>
          <w:color w:val="auto"/>
        </w:rPr>
      </w:pPr>
    </w:p>
    <w:p>
      <w:pPr>
        <w:ind w:left="120" w:right="40" w:firstLine="991"/>
        <w:spacing w:after="0" w:line="291" w:lineRule="auto"/>
        <w:rPr>
          <w:sz w:val="20"/>
          <w:szCs w:val="20"/>
          <w:color w:val="auto"/>
        </w:rPr>
      </w:pPr>
      <w:r>
        <w:rPr>
          <w:rFonts w:ascii="Arial" w:cs="Arial" w:eastAsia="Arial" w:hAnsi="Arial"/>
          <w:sz w:val="16"/>
          <w:szCs w:val="16"/>
          <w:color w:val="auto"/>
        </w:rPr>
        <w:t>Any financing related to the remaining project at Studio City will also be subject to, among others, the terms of our existing and any future financings. In addition, our ability to obtain credit, debt or equity financing on acceptable terms depends on a variety of factors that are beyond our control, including market conditions such as the higher prospect of a global recession and a contraction of liquidity in the global credit markets caused by the effect of the large-scale global COVID-19 pandemic, investors’ and lenders’ perceptions of, and demand for, bond, bank and equity securities of gaming companies and interest rates. For example, changes in ratings outlooks may subject us to ratings agency downgrades, which could make it more difficult for us to obtain financing on acceptable terms. Moody’s revised the outlook for Studio City Finance to negative in May 2020. S&amp;P placed Studio City Company on credit watch negative in February 2020 and revised the outlook to negative in September 2020.</w:t>
      </w:r>
    </w:p>
    <w:p>
      <w:pPr>
        <w:spacing w:after="0" w:line="166"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As a result, we cannot assure you that we will be able to obtain sufficient funding on terms satisfactory to us, or at all, to finance our existing business and/or remaining project. If we are unable to obtain such funding, our business, cash flow, financial condition, results of operations and prospects could be materially and adversely affected. We may, from time to time, seek to obtain new financings or refinance our outstanding debt through the international markets. Any such financing or refinancing, and our evaluation thereof, will depend on the prevailing market conditions, our liquidity requirements, contractual restrictions and other factors. The amounts involved may be material.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results of operations are subject to seasonality and other fluctuations.</w:t>
      </w:r>
    </w:p>
    <w:p>
      <w:pPr>
        <w:spacing w:after="0" w:line="117" w:lineRule="exact"/>
        <w:rPr>
          <w:sz w:val="20"/>
          <w:szCs w:val="20"/>
          <w:color w:val="auto"/>
        </w:rPr>
      </w:pPr>
    </w:p>
    <w:p>
      <w:pPr>
        <w:ind w:left="120" w:right="100" w:firstLine="991"/>
        <w:spacing w:after="0" w:line="288" w:lineRule="auto"/>
        <w:rPr>
          <w:sz w:val="20"/>
          <w:szCs w:val="20"/>
          <w:color w:val="auto"/>
        </w:rPr>
      </w:pPr>
      <w:r>
        <w:rPr>
          <w:rFonts w:ascii="Arial" w:cs="Arial" w:eastAsia="Arial" w:hAnsi="Arial"/>
          <w:sz w:val="16"/>
          <w:szCs w:val="16"/>
          <w:color w:val="auto"/>
        </w:rPr>
        <w:t>We are subject to seasonality and other fluctuations in our business. Our revenue is also largely affected by promotional and marketing activities and revenue may increase as a result of these activities. Launch of new promotions or the timing of such promotions may further cause our quarterly results to fluctuate and differ from historical patterns. Our results of operations will likely fluctuate due to these and other factors, some of which are beyond our control, including but not limited to: (i) fluctuations in overall consumer demand for gaming and hospitality, leisure and resort during certain months and holidays; (ii) introduction of new policies or regulatory measures; and (iii) macro-economic conditions and their effect on discretionary consumer spending. Because of these and other factors as well as the short operating history of our business, it is difficult for us to accurately identify recurring seasonal trends in our business. In addition, our rapid growth has masked certain fluctuations that might otherwise be apparent in our results of operations. When our growth stabilizes, the seasonality in our business may become more pronounced. If we fail to accurately identify the seasonal trends in our business and match our customer services and supplies in an effective manner, it may have a material adverse effect on our business, prospects, financial condition, results of operations and cash flows.</w:t>
      </w:r>
    </w:p>
    <w:p>
      <w:pPr>
        <w:spacing w:after="0" w:line="276"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Macau’s infrastructure may not adequately support the development of Macau’s gaming and leisure industry, which may adversely affect our expected performance.</w:t>
      </w:r>
    </w:p>
    <w:p>
      <w:pPr>
        <w:spacing w:after="0" w:line="62"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Macau consists of a peninsula and two islands and is connected to China by two border crossings. Macau has an international airport and connections to China and Hong Kong by road, ferry and helicopter. To support Macau’s planned future development as a gaming and leisure destination, the frequency of bus, car, air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86"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and ferry services to Macau will need to increase. While various projects are under development to improve Macau’s internal and external transportation links, including the Macau Light Rapid Transit and capacity expansion of border crossings, these projects may not be approved, financed or constructed in time to handle the projected increase in demand for transportation or at all, which could impede the expected increase in visitation to Macau and adversely affect Studio City. For example, there had been a delay in the commencement of operation of the Macau Light Rapid Transit, which occurred in December 2019. Any further delays or termination of Macau’s transportation infrastructure projects may have a material adverse effect on our business, prospects, financial condition, results of operations and cash flows.</w:t>
      </w:r>
    </w:p>
    <w:p>
      <w:pPr>
        <w:spacing w:after="0" w:line="178"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Furthermore, the expected benefits from the completion of the Hong Kong-Zhuhai-Macau Bridge, which opened to traffic on October 23, 2018, may not fully materialize, and may not result in significantly increased traffic to Macau and to Studio City.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and safety or food safety incidents at Studio City may lead to reputational damage and financial exposures.</w:t>
      </w:r>
    </w:p>
    <w:p>
      <w:pPr>
        <w:spacing w:after="0" w:line="117" w:lineRule="exact"/>
        <w:rPr>
          <w:sz w:val="20"/>
          <w:szCs w:val="20"/>
          <w:color w:val="auto"/>
        </w:rPr>
      </w:pPr>
    </w:p>
    <w:p>
      <w:pPr>
        <w:ind w:left="120" w:right="120" w:firstLine="991"/>
        <w:spacing w:after="0" w:line="255" w:lineRule="auto"/>
        <w:rPr>
          <w:sz w:val="20"/>
          <w:szCs w:val="20"/>
          <w:color w:val="auto"/>
        </w:rPr>
      </w:pPr>
      <w:r>
        <w:rPr>
          <w:rFonts w:ascii="Arial" w:cs="Arial" w:eastAsia="Arial" w:hAnsi="Arial"/>
          <w:sz w:val="18"/>
          <w:szCs w:val="18"/>
          <w:color w:val="auto"/>
        </w:rPr>
        <w:t>We provide goods and services to a significant number of customers on a daily basis at Studio City. In particular, with the number of attractions, entertainment and food and beverage offerings in Studio City, there are risks of health and safety incidents or adverse food safety events, such as food poisoning, slip and fall accidents or surges in crowd flow at popular ingress and egress points. While we have a number of measures and controls in place aimed at managing such risks, we cannot guarantee that our insurance is adequate to cover all losses, which may result in us incurring additional costs or damages, and negatively impact our financial performance. Such incidents may also lead to reduced customer flow and reputational damage to Studio City.</w:t>
      </w:r>
    </w:p>
    <w:p>
      <w:pPr>
        <w:spacing w:after="0" w:line="30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risks, including misappropriation of customer information, other breaches of information security or other cybercrimes, as well as regulatory and other risks.</w:t>
      </w:r>
    </w:p>
    <w:p>
      <w:pPr>
        <w:spacing w:after="0" w:line="62"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We rely on information technology and other systems (including those maintained by third-parties with whom we contract to provide data services) to maintain and transmit large volumes of customer information, credit card settlements, credit card funds transmissions, mailing lists and reservations information and other personally identifiable information. We also maintain important internal company data such as personally identifiable information about our staff and information relating to our operations. The systems and processes we have implemented to protect customers, staff and company information are subject to the rapidly changing risks of compromised security and may therefore become outdated. Despite our preventive efforts, we are subject to the risks of compromised security, including cyber and physical security breaches, system failure, computer viruses, technical malfunction, inadequate system capacity, power outages, natural disasters and inadvertent, negligent or intentional misuse, disclosure or dissemination of information or data by customers, company staff or employees of third-party vendors, ransomware attacks that encrypt, exfiltrate or otherwise render data unusable or unavailable or other forms of cybercrimes that include fraud or extortion. These risks can also be manifested in a variety of other ways, including through methods which may not yet be known to the cyber security community, and have become increasingly difficult to anticipate and prevent.</w:t>
      </w:r>
    </w:p>
    <w:p>
      <w:pPr>
        <w:spacing w:after="0" w:line="182" w:lineRule="exact"/>
        <w:rPr>
          <w:sz w:val="20"/>
          <w:szCs w:val="20"/>
          <w:color w:val="auto"/>
        </w:rPr>
      </w:pPr>
    </w:p>
    <w:p>
      <w:pPr>
        <w:ind w:left="120" w:right="60" w:firstLine="991"/>
        <w:spacing w:after="0" w:line="272" w:lineRule="auto"/>
        <w:rPr>
          <w:sz w:val="20"/>
          <w:szCs w:val="20"/>
          <w:color w:val="auto"/>
        </w:rPr>
      </w:pPr>
      <w:r>
        <w:rPr>
          <w:rFonts w:ascii="Arial" w:cs="Arial" w:eastAsia="Arial" w:hAnsi="Arial"/>
          <w:sz w:val="17"/>
          <w:szCs w:val="17"/>
          <w:color w:val="auto"/>
        </w:rPr>
        <w:t>The steps we take to deter and mitigate these risks may not be successful and our insurance coverage for protecting against cyber security risks may not be sufficient. Our third-party information system service providers face risks relating to cyber 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 If our information technology systems become damaged or otherwise cease to function properly, our service and results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86"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of operations may be adversely affected and we may have to make significant investments to repair or replace them. Furthermore, any extended downtime from power supply disruptions or information technology system outages which may be caused by cyber security attacks or other reasons at Studio City may lead to an adverse impact on our operating results if we are unable to deliver services to customers for an extended period of time.</w:t>
      </w:r>
    </w:p>
    <w:p>
      <w:pPr>
        <w:spacing w:after="0" w:line="149" w:lineRule="exact"/>
        <w:rPr>
          <w:sz w:val="20"/>
          <w:szCs w:val="20"/>
          <w:color w:val="auto"/>
        </w:rPr>
      </w:pPr>
    </w:p>
    <w:p>
      <w:pPr>
        <w:ind w:left="120" w:right="60" w:firstLine="991"/>
        <w:spacing w:after="0" w:line="275" w:lineRule="auto"/>
        <w:rPr>
          <w:sz w:val="20"/>
          <w:szCs w:val="20"/>
          <w:color w:val="auto"/>
        </w:rPr>
      </w:pPr>
      <w:r>
        <w:rPr>
          <w:rFonts w:ascii="Arial" w:cs="Arial" w:eastAsia="Arial" w:hAnsi="Arial"/>
          <w:sz w:val="17"/>
          <w:szCs w:val="17"/>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other cybercrimes and other events. Cyber-attacks are becoming increasingly more difficult to anticipate and prevent due to their rapidly evolving nature and, as a result, the technology we use to protect our systems could become outdated. The occurrence of any of the cyber incidents described above could have a material adverse effect on our business, results of operations and cash flows.</w:t>
      </w:r>
    </w:p>
    <w:p>
      <w:pPr>
        <w:spacing w:after="0" w:line="176"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suppliers and staff, expose us to risks of litigation, significant fines and penalties and liability, result in the deterioration of our customers’, suppliers’ and staff’s confidence in us, and adversely affect our business, results of operations and financial condition. Any perceived or actual unauthorized disclosure of personally identifiable information of our staff, customers, suppliers or website visitors could harm our reputation and credibility and reduce our ability to attract and retain staff, customers and suppliers. We are also subject to enactment of new laws or amendments to existing laws with more stringent requirements in relation to cybersecurity. For example, a new Cybersecurity Law was introduced in Macau in 2019 which also applies to our businesses in Macau. See “Item 4. Information on the Company — B. Business Overview — Cybersecurity Regulations.” As any of the above cybersecurity threats develop and grow and our obligations under cybersecurity regulations increase,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personnel.</w:t>
      </w:r>
    </w:p>
    <w:p>
      <w:pPr>
        <w:spacing w:after="0" w:line="280"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Failure to protect the integrity and security of company staff, supplier and customer information and comply with applicable privacy regulations may result in damage to reputation and/or subject us to fines, penalties, lawsuits, restrictions on our use or transfer of data and other risks.</w:t>
      </w:r>
    </w:p>
    <w:p>
      <w:pPr>
        <w:spacing w:after="0" w:line="1"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Our businesses collect, use and transmit large volumes of data, including credit card numbers and personal data in various information systems relating to our customers, suppliers and staff, and such personal data may be collected and/or used in, and transmitted to or from, multiple jurisdictions. Our customers, suppliers and staff have a high expectation that we will adequately protect their personal information. Such collection, use and/or transmission of personal data are governed by privacy laws and regulations and such laws and regulations change often, vary significantly by jurisdiction and often are newly enacted. For example, the European Union (EU)’s General Data Protection Regulation (“GDPR”), which became effective in May 2018, requires companies to meet new and more stringent requirements regarding the handling of personal data. The GDPR may also capture data processing by non-EU firms with no EU establishment if, for example, they conduct direct marketing that specifically targets individuals in the EU. As GDPR is a newly enacted law, there is limited precedence on the interpretation and application of GDPR. In addition, the Chinese government published a draft personal information protection law in October 2020 and if enacted, may impose further obligations on organizations handling personal information of Chinese citizens. Furthermore, we must also comply with other industry standards such as those for the credit card industry and other applicable data security standards.</w:t>
      </w:r>
    </w:p>
    <w:p>
      <w:pPr>
        <w:spacing w:after="0" w:line="182" w:lineRule="exact"/>
        <w:rPr>
          <w:sz w:val="20"/>
          <w:szCs w:val="20"/>
          <w:color w:val="auto"/>
        </w:rPr>
      </w:pPr>
    </w:p>
    <w:p>
      <w:pPr>
        <w:ind w:left="120" w:right="320" w:firstLine="991"/>
        <w:spacing w:after="0" w:line="263" w:lineRule="auto"/>
        <w:rPr>
          <w:sz w:val="20"/>
          <w:szCs w:val="20"/>
          <w:color w:val="auto"/>
        </w:rPr>
      </w:pPr>
      <w:r>
        <w:rPr>
          <w:rFonts w:ascii="Arial" w:cs="Arial" w:eastAsia="Arial" w:hAnsi="Arial"/>
          <w:sz w:val="18"/>
          <w:szCs w:val="18"/>
          <w:color w:val="auto"/>
        </w:rPr>
        <w:t>Compliance with applicable privacy regulations may increase our operating costs and/or adversely impact our ability to market our products, properties and services to our customers and guests. For example, these laws and regulations may restrict information sharing in ways that make it more difficult to obtain or share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86"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information concerning at risk individuals. In addition, non-compliance with applicable privacy regulations by us (or in some circumstances non-compliance by third parties engaged by us) may result in damage of reputation and/or subject us to fines, penalties, payment of damages, lawsuits, criminal liability or restrictions on our use or transfer of data. Failure to meet the GDPR requirements, for example, may result in penalties of up to four percent of worldwide revenue.</w:t>
      </w:r>
    </w:p>
    <w:p>
      <w:pPr>
        <w:spacing w:after="0" w:line="29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Negative press or publicity about us or our directors, officers or affiliates may lead to government investigations, result in harm to our business, brand or reputation and have a material and adverse effect on our business.</w:t>
      </w:r>
    </w:p>
    <w:p>
      <w:pPr>
        <w:spacing w:after="0" w:line="62" w:lineRule="exact"/>
        <w:rPr>
          <w:sz w:val="20"/>
          <w:szCs w:val="20"/>
          <w:color w:val="auto"/>
        </w:rPr>
      </w:pPr>
    </w:p>
    <w:p>
      <w:pPr>
        <w:ind w:left="120" w:right="20" w:firstLine="991"/>
        <w:spacing w:after="0" w:line="253" w:lineRule="auto"/>
        <w:rPr>
          <w:sz w:val="20"/>
          <w:szCs w:val="20"/>
          <w:color w:val="auto"/>
        </w:rPr>
      </w:pPr>
      <w:r>
        <w:rPr>
          <w:rFonts w:ascii="Arial" w:cs="Arial" w:eastAsia="Arial" w:hAnsi="Arial"/>
          <w:sz w:val="18"/>
          <w:szCs w:val="18"/>
          <w:color w:val="auto"/>
        </w:rPr>
        <w:t>Unfavorable publicity regarding us or our directors, officers or affiliates, whether substantiated or not,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financial condition, prospects and strategies. The continued expansion in the use of social media over recent years has compounded the potential scope of the negative publicity that could be generated. Any negative press or publicity could also lead to government or other regulatory investigations, including causing regulators to take action against us or the Gaming Operator, including actions that could affect the ability or terms upon which the Gaming Operator holds its subconcession, its or our suitability to continue as a shareholder of certain subsidiaries and/or the suitability of key personnel to remain with the Gaming Operator. If any of these events were to occur, it would cause a material adverse effect on our business and prospects, financial condition and results of operations.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qualified management and personnel cannot be retained at Studio City, our business could be significantly harmed.</w:t>
      </w:r>
    </w:p>
    <w:p>
      <w:pPr>
        <w:spacing w:after="0" w:line="117"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We place substantial reliance on the gaming, project development and hospitality industry experience and knowledge of the Macau market possessed by members of our board of directors, our senior management team as well as other management personnel who serve Studio City under the Management and Shared Services Arrangements. We may experience changes in our key management in the future for reasons beyond our control.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senior management could be difficult, and competition for personnel of similar experience could be intense in Macau. In addition, we do not currently carry key person insurance on any members of our senior management team.</w:t>
      </w:r>
    </w:p>
    <w:p>
      <w:pPr>
        <w:spacing w:after="0" w:line="177"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Operation of Studio City also requires extensive operational management and staff. The supply of experienced skilled and unskilled personnel in Macau is severely limited. Many of the personnel occupy sensitive positions requiring qualifications sufficient to meet gaming regulatory and other requirements or are required to possess other skills for which substantial training and experience may be needed. Moreover, competition to recruit and retain qualified gaming and other personnel is likely to intensify further as competition in the Macau integrated resort market increases. In addition, concessionaires and subconcessionaires are not currently allowed under the Macau government’s policy to hire non-Macau resident dealers and supervisors. We cannot assure you that a sufficient number of qualified individuals will be attracted and retained to operate Studio City or that costs to recruit and retain such personnel will not increase significantly. In addition, the Gaming Operator has previously been subject to certain labor demands and rallies. The inability to attract, retain and motivate qualified staff by the Gaming Operator and Master Service Providers could have a material adverse effect on our business.</w:t>
      </w:r>
    </w:p>
    <w:p>
      <w:pPr>
        <w:spacing w:after="0" w:line="181" w:lineRule="exact"/>
        <w:rPr>
          <w:sz w:val="20"/>
          <w:szCs w:val="20"/>
          <w:color w:val="auto"/>
        </w:rPr>
      </w:pPr>
    </w:p>
    <w:p>
      <w:pPr>
        <w:ind w:left="120" w:right="100" w:firstLine="991"/>
        <w:spacing w:after="0" w:line="279" w:lineRule="auto"/>
        <w:rPr>
          <w:sz w:val="20"/>
          <w:szCs w:val="20"/>
          <w:color w:val="auto"/>
        </w:rPr>
      </w:pPr>
      <w:r>
        <w:rPr>
          <w:rFonts w:ascii="Arial" w:cs="Arial" w:eastAsia="Arial" w:hAnsi="Arial"/>
          <w:sz w:val="17"/>
          <w:szCs w:val="17"/>
          <w:color w:val="auto"/>
        </w:rPr>
        <w:t>In addition, recruitment efforts for the operations of Studio City may be adversely impacted by Macau government’s policies with respect to the approval and renewal of work permits for non-resident workers. In its policy address for 2017, the Macau government announced that it would continue to submit the applications for employment of non-resident workers to a rigorous exam and to stimulate the promotion of local workers to management positions in the gaming industry, signaling a tighter control on the employment of non-resident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workers. Further, in its policy addresses for 2018, 2019 and 2020, the Macau government has stressed once again that it will continue to monitor the proportion of management positions held by local workers in gaming operators and implement measures to ensure that such proportion is kept at a percentage not lower than 85% for senior and mid-management positions.</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As we develop our remaining project, the construction of such project is subject to hazards that may cause personal injury or loss of life that expose us to liabilities and possible losses.</w:t>
      </w:r>
    </w:p>
    <w:p>
      <w:pPr>
        <w:spacing w:after="0" w:line="62"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The construction of large-scale properties, such as the remaining project for Studio City, can be dangerous. Construction workers at such sites are subject to hazards that may cause personal injury or loss of life, thereby subjecting the contractors and us to liabilities, possible losses, delays in completion of the projects and negative publicity. We believe, and require that, our contractors take safety precautions that are consistent with industry practice, but these safety precautions may not be adequate to prevent serious personal injuries or loss of life, damage to property or delays. We are currently developing the remaining project. However, if accidents occur during the construction of our remaining project, there may be serious delays, including delays imposed by regulators, liabilities and possible losses which may not be covered by insurance, and our business, prospects and reputation may be materially and adversely affected.</w:t>
      </w:r>
    </w:p>
    <w:p>
      <w:pPr>
        <w:spacing w:after="0" w:line="285"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b w:val="1"/>
          <w:bCs w:val="1"/>
          <w:i w:val="1"/>
          <w:iCs w:val="1"/>
          <w:color w:val="auto"/>
        </w:rPr>
        <w:t>Any simultaneous planning, design, construction and development of our remaining project may stretch our management’s time and resources, which could lead to delays, increased costs and other inefficiencies in the development of these projects.</w:t>
      </w:r>
    </w:p>
    <w:p>
      <w:pPr>
        <w:spacing w:after="0" w:line="38"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There may be overlap in the planning, design, development and construction periods of our remaining project. Members of our senior management will be involved in planning and developing our remaining project at the same time, in addition to overseeing our day-to-day operations. Our management may be unable to devote sufficient time and attention to the remaining project, as well as Studio City, which may result in delays in the construction or opening of any of our future projects, cause construction cost overruns or cause the performance of Studio City to be lower than expected, which could have a material adverse effect on our business, financial condition and results of operations.</w:t>
      </w:r>
    </w:p>
    <w:p>
      <w:pPr>
        <w:spacing w:after="0" w:line="2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contractors may face difficulties in finding sufficient labor at an acceptable cost, which could cause delays and increase construction costs after we commence development of our remaining project.</w:t>
      </w:r>
    </w:p>
    <w:p>
      <w:pPr>
        <w:spacing w:after="0" w:line="62" w:lineRule="exact"/>
        <w:rPr>
          <w:sz w:val="20"/>
          <w:szCs w:val="20"/>
          <w:color w:val="auto"/>
        </w:rPr>
      </w:pPr>
    </w:p>
    <w:p>
      <w:pPr>
        <w:ind w:left="120" w:right="80" w:firstLine="991"/>
        <w:spacing w:after="0" w:line="296" w:lineRule="auto"/>
        <w:rPr>
          <w:sz w:val="20"/>
          <w:szCs w:val="20"/>
          <w:color w:val="auto"/>
        </w:rPr>
      </w:pPr>
      <w:r>
        <w:rPr>
          <w:rFonts w:ascii="Arial" w:cs="Arial" w:eastAsia="Arial" w:hAnsi="Arial"/>
          <w:sz w:val="16"/>
          <w:szCs w:val="16"/>
          <w:color w:val="auto"/>
        </w:rPr>
        <w:t>The contractors we retain to construct our projects may face difficulties and competition in finding qualified construction labor and managers as more projects commence construction in Macau and as substantial construction activity continues in China as well as due to the imposition of travel restrictions, such as the travel restrictions imposed as a result of the COVID-19 outbreak. Immigration and labor regulations as well as travel restrictions in Macau or China may cause our contractors to be unable to recruit sufficient laborers from China to make up for any shortage in available labor in Macau and to help reduce the costs of construction, which could cause delays and increase the construction costs of our remaining project.</w:t>
      </w:r>
    </w:p>
    <w:p>
      <w:pPr>
        <w:spacing w:after="0" w:line="26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w:t>
      </w:r>
    </w:p>
    <w:p>
      <w:pPr>
        <w:spacing w:after="0" w:line="16"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We intend to take steps to safeguard our intellectual property from infringement by third parties, such as taking actions against trademark and copyright violations, if and when necessary, and our staff and/or staff of the Gaming Operator or its affiliates or its designees are subject to confidentiality provisions in their employment agreements. Despite such measures, we cannot assure you that we will be successful in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defending against the infringement of intellectual property to be used in our business or that any proprietary information to be used in our business will not be disseminated to our competitors, which could have an adverse effect on our future results of operations. In addition, our current and any future trademarks are subject to expiration and we cannot guarantee that we will be able to renew all of them prior to expiration. Our inability to renew the registration of certain trademarks and the loss of such trademarks could have an adverse effect on our business, financial condition, results of operations and cash flows.</w:t>
      </w:r>
    </w:p>
    <w:p>
      <w:pPr>
        <w:spacing w:after="0" w:line="188"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We face the potential risk of claims that we have infringed the intellectual property rights of third parties, which could be expensive and time-consuming to defend, cause us to cease using certain intellectual property rights or selling or providing certain products or services, result in us being required to pay significant damages or to enter into costly royalty or licensing agreements in order to obtain the right to use a third party’s intellectual property rights (if available at all), any of which could have a negative impact on the operation of Studio City and harm our future prospects. Furthermore, if litigation were to result from such claims, our business could be interrupted.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have sufficient insurance coverage.</w:t>
      </w:r>
    </w:p>
    <w:p>
      <w:pPr>
        <w:spacing w:after="0" w:line="117"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We currently have various insurance policies providing certain coverage typically required by gaming and hospitality operations in Macau. These insurance policies provide coverage that is subject to policy terms, conditions and limits. Certain of these policies have been obtained by us and certain of these policies have been obtained by Melco Resorts. We cannot assure you that we or, in the case of policies obtained by Melco Resorts, Melco Resorts will be able to renew such insurance coverage on equivalent premium costs, terms, conditions and limits upon their expiration. Certain events, such as typhoons and fires, may increase and have increased our premium costs. The cost of coverage may in the future become so high that insurance policies we deem necessary for the operation of our projects may not be obtainable on commercially practicable terms, or at all, or policy limits may need to be reduced or exclusions from our coverage expanded.</w:t>
      </w:r>
    </w:p>
    <w:p>
      <w:pPr>
        <w:spacing w:after="0" w:line="177"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We cannot assure you that any such insurance policies we or Melco Resorts obtained or may obtain will be adequate to protect us from material losses. Certain acts and events, including any pandemic, epidemic of infectious diseases, earthquakes, hurricanes and floods, or terrorist acts, could expose us to significant uninsured losses that may be, or are, uninsurable or too expensive to justify obtaining insurance. As a result, we, or Melco Resorts, may not be successful in obtaining insurance without increases in cost or decreases in coverage levels. In addition, in the event of a substantial loss, the insurance coverage we carry or benefit from may not be sufficient to pay the full market value or replacement cost of our lost investment or in some cases could result in certain losses being totally uninsured. In addition to the damages caused directly by a casualty loss (such as fire or natural disasters), infectious disease outbreaks or terrorist acts, we may suffer a disruption of our business as a result of these events or be subject to claims by third parties who may be injured or harmed. As an example, the COVID-19 pandemic has resulted in many governments around the world, including in Macau, placing quarantines disallowing residents to travel into or outside of the quarantined area, enforcing business closures and other restrictions. While we intend to continue carrying business interruption insurance and general liability insurance, such insurance may not be available on commercially reasonable terms, or at all, and, in any event, may not be adequate to cover any losses that may result from such events.</w:t>
      </w:r>
    </w:p>
    <w:p>
      <w:pPr>
        <w:spacing w:after="0" w:line="172" w:lineRule="exact"/>
        <w:rPr>
          <w:sz w:val="20"/>
          <w:szCs w:val="20"/>
          <w:color w:val="auto"/>
        </w:rPr>
      </w:pPr>
    </w:p>
    <w:p>
      <w:pPr>
        <w:ind w:left="120" w:right="140" w:firstLine="991"/>
        <w:spacing w:after="0" w:line="275" w:lineRule="auto"/>
        <w:rPr>
          <w:sz w:val="20"/>
          <w:szCs w:val="20"/>
          <w:color w:val="auto"/>
        </w:rPr>
      </w:pPr>
      <w:r>
        <w:rPr>
          <w:rFonts w:ascii="Arial" w:cs="Arial" w:eastAsia="Arial" w:hAnsi="Arial"/>
          <w:sz w:val="17"/>
          <w:szCs w:val="17"/>
          <w:color w:val="auto"/>
        </w:rPr>
        <w:t>There is limited available insurance in Macau and our insurers in Macau may need to secure reinsurance in order to provide adequate cover for our property and development projects. Our credit agreements, the Subconcession Contract and certain other material agreements require a certain level of insurance to be maintained, which must be obtained in Macau, unless otherwise authorized by the respective counter-parties. Failure to maintain adequate coverage could be an event of default under our credit agreements or the Subconcession Contract and may have a material adverse effect on our business, financial condition, results of operations and cash flows.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86"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Studio City Entertainment’s tax exemption from complementary tax on income received from the Gaming Operator under the Services and Right to Use Arrangements will expire in 2021.</w:t>
      </w:r>
    </w:p>
    <w:p>
      <w:pPr>
        <w:spacing w:after="0" w:line="62"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Companies in Macau are subject to complementary tax of 12% of taxable income, as defined in relevant tax laws. The Macau government granted to Studio City Entertainment, one of our subsidiaries, a Macau complementary tax exemption until 2021 on profits generated from income received from the Gaming Operator, to the extent that such income results from gaming operations within Studio City Casino and has been subject to gaming taxes. We cannot assure you that the complementary tax exemption to Studio City Entertainment will be extended beyond its expiration date. If the tax exemption cannot be extended and we are held liable for complementary tax, it may have a material adverse effect on our financial condition.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From time to time, we may be involved in legal and other proceedings arising out of our operations.</w:t>
      </w:r>
    </w:p>
    <w:p>
      <w:pPr>
        <w:spacing w:after="0" w:line="117"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We may be involved in disputes with various parties involved in the construction and operation of Studio City, including contractual disputes with contractors, consultants, suppliers, retailers, food and beverage operators and construction workers. See “Item 8. Financial Information — A. Consolidated Statements and Other Financial Information — Legal and Administrative Proceedings.” Regardless of the outcome, these disputes may lead to legal or other proceedings and may result in substantial costs, delays in our development schedule and the diversion of resources and management’s attention. In addition, we may be involved in a variety of litigation, regulatory proceedings and investigation arising out of our business, which are inherently unpredictable. Ultimate judgments or settlements for such proceedings could increase our costs and thereby lower our profitability or have a material adverse effect on our liquidity. We cannot assure you that we will be able to obtain the appropriate and sufficient types or levels of insurance for Studio City. We may also have disagreements with regulatory bodies in the course of our operations, which may subject us to administrative proceedings and unfavorable decisions that result in penalties, suspension or restrictions on our operations, and/or delay the development of our remaining project at Studio City or closure of outlets at Studio City that are currently in operation. In such cases, our business, financial condition, results of operations and cash flows could be materially and adversely affected.</w:t>
      </w:r>
    </w:p>
    <w:p>
      <w:pPr>
        <w:spacing w:after="0" w:line="172"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In addition, claims and proceedings against us, including but not limited to any claims alleging that we received, misappropriated or misapplied funds, or violated any anti-corruption law or regulation, may result in our business operations being subject to greater scrutiny from relevant regulatory authorities and requiring us to make further improvements to our existing systems and controls and business operations,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286"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Any failure or alleged failure to comply with anti-corruption laws, including the U.S. Foreign Corrupt Practices Act (“FCPA”), could result in penalties, which could harm our reputation and have an adverse effect on our business, results of operations and financial condition.</w:t>
      </w:r>
    </w:p>
    <w:p>
      <w:pPr>
        <w:spacing w:after="0" w:line="16"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We are subject to various anti-corruption laws, including the FCPA. The FCPA prohibits companies and any individuals or entities acting on their behalf from offering or making improper payments or providing things of value to foreign officials for the purpose of obtaining or keeping business. The FCPA also requires companies to maintain accurate books and records and to devise and maintain a system of internal accounting controls. There has been a general increase in FCPA enforcement activities in recent years by the SEC and the U.S. Department of Justice. Both the number of FCPA cases and sanctions imposed have risen significantly.</w:t>
      </w:r>
    </w:p>
    <w:p>
      <w:pPr>
        <w:spacing w:after="0" w:line="188"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While we and our affiliated companies have adopted and implemented an anti-corruption compliance program covering both commercial bribery and public corruption which includes internal policies, procedures and training aimed to prevent and detect anti-corruption compliance issues and risks, and procedures to take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86"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remedial action when compliance issues are identified, we cannot assure you that our employees, consultants, contractors and agents, and those of our affiliates, will adhere to the anti-corruption compliance program, or that any action taken to comply with, or address compliance issues, will be considered adequate by the regulatory bodies with jurisdiction over us and our affiliates. Any violation of our compliance program or applicable law by us or our affiliates could subject us or our affiliates to investigations, prosecutions and other legal proceedings and actions which could result in civil penalties, administrative remedies and criminal sanctions, any of which may result in a material adverse effect on our reputation, cause us to lose customer relationships or lead to other adverse consequences on our business, prospects, results of operations and financial condition. In addition, as a U.S. listed company, certain U.S. laws and regulations apply to our operations and compliance with those laws and regulations increases our cost of doing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Fluctuation in the value of the H.K. dollar, U.S. dollar, Pataca or RMB may adversely affect our indebtedness, expenses and profitability.</w:t>
      </w:r>
    </w:p>
    <w:p>
      <w:pPr>
        <w:spacing w:after="0" w:line="129"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Although the majority of the revenues from the operation of Studio City are denominated in H.K. dollars, we have certain expenses and revenues denominated in Patacas. In addition, a certain portion of our indebtedness and certain expenses are denominated in U.S. dollars, and the costs associated with repaying such debt and servicing interest payments are denominated in U.S. dollars. The value of the H.K. dollar and Patacas against the U.S. dollar may fluctuate and may be affected by, among other things, changes in political and economic conditions. Although the exchange rate between the H.K. dollar and the U.S. dollar has been pegged since 1983 and the Pataca is pegged to the H.K. dollar, we cannot assure you that the H.K. dollar will remain pegged to the U.S. dollar and that the Pataca will remain pegged to the H.K. dollar. In addition, the currency market for Patacas is relatively small and undeveloped and therefore our ability to convert large amounts of Patacas into U.S. dollars over a relatively short period of time may be limited. As a result, we may experience difficulty in converting Patacas into U.S. dollars, which could hinder our ability to service a portion of our indebtedness and certain expenses denominated in U.S. dollars. On the other hand, to the extent that we are required to convert U.S. dollar financings into H.K. dollars or Patacas for our operations, fluctuations in the exchange rates between H.K. dollars or Patacas against the U.S. dollar could have an adverse effect on the amounts we receive from the conversion.</w:t>
      </w:r>
    </w:p>
    <w:p>
      <w:pPr>
        <w:spacing w:after="0" w:line="182"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Furthermore, the depreciation of RMB against U.S. dollar or H.K. dollar will affect the purchasing power of visitors from the PRC, which in turn may affect the visitation and level of spending at Studio City. To date we have not engaged in hedging transactions with respect to foreign exchange exposure of our revenues and expenses in our day-to-day operations. Instead, we plan to maintain a certain amount of our operating funds in the same currencies in which we have obligations, thereby reducing our exposure to currency fluctuations. However, we may occasionally enter into foreign exchange transactions as part of financing transactions and capital expenditure. We will consider our overall policy on hedging for foreign exchange risk from time to time. Any significant fluctuations in the exchange rates mentioned above may have a material adverse effect on our revenues and financial condition.</w:t>
      </w:r>
    </w:p>
    <w:p>
      <w:pPr>
        <w:spacing w:after="0" w:line="195" w:lineRule="exact"/>
        <w:rPr>
          <w:sz w:val="20"/>
          <w:szCs w:val="20"/>
          <w:color w:val="auto"/>
        </w:rPr>
      </w:pPr>
    </w:p>
    <w:p>
      <w:pPr>
        <w:ind w:left="120" w:right="60" w:firstLine="991"/>
        <w:spacing w:after="0" w:line="311" w:lineRule="auto"/>
        <w:rPr>
          <w:sz w:val="20"/>
          <w:szCs w:val="20"/>
          <w:color w:val="auto"/>
        </w:rPr>
      </w:pPr>
      <w:r>
        <w:rPr>
          <w:rFonts w:ascii="Arial" w:cs="Arial" w:eastAsia="Arial" w:hAnsi="Arial"/>
          <w:sz w:val="16"/>
          <w:szCs w:val="16"/>
          <w:color w:val="auto"/>
        </w:rPr>
        <w:t>Furthermore, China has tightened currency exchange controls and restrictions on the export and conversion of the Renminbi, the currency of mainland China, in recent years. Restrictions on the export of the Renminbi, as well as the increased effectiveness of such restrictions, may impede the flow of patrons from mainland China to Macau, inhibit the growth of gaming in those markets and negatively impact our gaming operations.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86"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b w:val="1"/>
          <w:bCs w:val="1"/>
          <w:i w:val="1"/>
          <w:iCs w:val="1"/>
          <w:color w:val="auto"/>
        </w:rPr>
        <w:t>Our audit report included in this annual report has been prepared by auditors who are not inspected by the PCAOB. As such, you are deprived of the benefits of a PCAOB inspection. In addition, various legislative and regulatory developments related to U.S.-listed China-based companies due to a lack of PCAOB inspection and other developments may have a material adverse impact on our listing and trading in the U.S. and the trading prices of our ADSs. We could be delisted from the New York Stock Exchange if the PCAOB continues to be unable to inspect our independent registered public accounting firm for three consecutive years.</w:t>
      </w:r>
    </w:p>
    <w:p>
      <w:pPr>
        <w:spacing w:after="0" w:line="68"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Our independent registered public accounting firm that issues the audit reports included in our annual reports filed with the SEC as an auditor of companies that are traded publicly in the United States and firms registered with the Public Company Accounting Oversight Board (United States), or the PCAOB, is required by the laws of the United States to undergo regular inspections by the PCAOB to assess its compliance with the laws of the United States and professional standards.</w:t>
      </w:r>
    </w:p>
    <w:p>
      <w:pPr>
        <w:spacing w:after="0" w:line="187" w:lineRule="exact"/>
        <w:rPr>
          <w:sz w:val="20"/>
          <w:szCs w:val="20"/>
          <w:color w:val="auto"/>
        </w:rPr>
      </w:pPr>
    </w:p>
    <w:p>
      <w:pPr>
        <w:jc w:val="both"/>
        <w:ind w:left="120" w:right="320" w:firstLine="991"/>
        <w:spacing w:after="0" w:line="263" w:lineRule="auto"/>
        <w:rPr>
          <w:sz w:val="20"/>
          <w:szCs w:val="20"/>
          <w:color w:val="auto"/>
        </w:rPr>
      </w:pPr>
      <w:r>
        <w:rPr>
          <w:rFonts w:ascii="Arial" w:cs="Arial" w:eastAsia="Arial" w:hAnsi="Arial"/>
          <w:sz w:val="18"/>
          <w:szCs w:val="18"/>
          <w:color w:val="auto"/>
        </w:rPr>
        <w:t>Our auditor is located in Hong Kong, a special administrative region of China, a jurisdiction where the PCAOB is currently unable to conduct full inspections without the approval of the Chinese authorities. As a result, we understand that our auditor is not currently inspected by the PCAOB.</w:t>
      </w:r>
    </w:p>
    <w:p>
      <w:pPr>
        <w:spacing w:after="0" w:line="184"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Inspections of other firms that the PCAOB has conducted outside mainland China have identified deficiencies in those firms’ audit procedures and quality control procedures, which can be addressed as part of the inspection process to improve future audit quality. The lack of PCAOB inspections in mainland China and Hong Kong prevents the PCAOB from regularly evaluating our auditors’ audit procedures and quality control procedures as they relate to their work, and/or their affiliated independent registered public accounting firms’ work, in mainland China and Hong Kong. As a result, we and investors are deprived of the benefits of such regular inspections.</w:t>
      </w:r>
    </w:p>
    <w:p>
      <w:pPr>
        <w:spacing w:after="0" w:line="188"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The inability of the PCAOB to conduct full inspections of auditors in mainland China and Hong Kong makes it more difficult to evaluate the effectiveness of our auditors’ audit procedures and quality control procedures as compared to auditors who primarily work in jurisdictions where the PCAOB has full inspection access. In addition, the SEC may initiate proceedings against our independent registered public accounting firm, whether in connection with an audit of our company or other China-based companies, which could result in the imposition of penalties against our independent registered public accounting firm, such as suspension of its ability to practice before the SEC. All of these could cause our investors and potential investors in our ADSs to lose confidence in our audit procedures, reported financial information and the quality of our financial statements.</w:t>
      </w:r>
    </w:p>
    <w:p>
      <w:pPr>
        <w:spacing w:after="0" w:line="164"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In May 2013, the PCAOB announced that it had entered into a Memorandum of Understanding on Enforcement Cooperation with the China Securities Regulatory Commission, or the CSRC, and the PRC Ministry of Finance, which established a cooperative framework between the parties for the production and exchange of audit documents relevant to investigations undertaken by the PCAOB, the CSRC or the PRC Ministry of Finance in the United States and the PRC. The PCAOB continued to discuss with the CSRC and the PRC Ministry of Finance on joint inspections in the PRC of PCAOB-registered audit firms that provide auditing services to Chinese companies that trade on U.S. stock exchanges. In December 2018, the SEC and the PCAOB issued a joint statement on regulatory access to audit and other information internationally that cites the ongoing challenges faced by them in overseeing the financial reporting of companies listed in the United States with operations in China, the absence of satisfactory progress in discussions on these issues with Chinese authorities and the potential for remedial action if significant information barriers persist. In April 2020, the SEC and the PCAOB issued another joint statement reiterating the greater risks of insufficient disclosures from companies in many emerging markets, including China, compared to those from U.S. domestic companies. In discussing the specific issues related to these risks, the statement again highlighted the PCAOB’s inability to inspect audit work and practices of accounting firms in China with respect to U.S. reporting companies. In June 2020, the U.S. President at that time issued a memorandum ordering the President’s Working Group on Financial Markets, or the PWG, to submit a report to him within 60 days of the memorandum that includes recommendations for</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8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actions that can be taken by the executive branch and by the SEC or the PCAOB on Chinese companies listed on U.S. stock exchanges and their audit firms. In August 2020, the PWG released the report. In particular, with respect to jurisdictions that do not grant the PCAOB sufficient access to fulfill its statutory mandate, or NCJs, the PWG recommended that enhanced listing standards be applied to companies from NCJs for seeking initial listing and remaining listed on U.S. stock exchanges. Under the enhanced listing standards, if the PCAOB does not have access to work papers of the principal audit firm located in a NCJ for the audit of a U.S.-listed company as a result of governmental restrictions, the U.S.-listed company may satisfy this standard by providing a co-audit from an audit firm with comparable resources and experience where the PCAOB determines that it has sufficient access to the firm’s audit work papers and practices to inspect the co-audit. There is currently no legal framework under which such a co-audit may be conducted for China-based companies. The report recommended a transition period until January 1, 2022 before the new listing standards apply to companies already listed on U.S. stock exchanges. Under the PWG recommendations, if we fail to meet the enhanced listing standards before January 1, 2022, we could face de-listing from the New York Stock Exchange, deregistration from the SEC and/or other risks, which may materially and adversely affect, or effectively terminate, our ADS trading in the United States. There were recent media reports about the SEC’s proposed rulemaking in this regard. It is uncertain whether the PWG recommendations will be adopted, in whole or in part, and the impact of any new rule on us cannot be estimated at this time.</w:t>
      </w:r>
    </w:p>
    <w:p>
      <w:pPr>
        <w:spacing w:after="0" w:line="186"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protected by national law, in particular China’s, in June 2019, a bipartisan group of lawmakers introduced bills in both houses of Congress that would require the SEC to maintain a list of issuers for which the PCAOB is not able to inspect or investigate an auditor report issued by a foreign public accounting firm. In June 2019, the Senate introduced The Ensuring Quality Information and Transparency for Abroad-Based Listings on our Exchanges (EQUITABLE) Act, which prescribes increased disclosure requirements for such issuers and, beginning in 2025, the delisting from national securities exchanges such as the New York Stock Exchange of issuers included for three consecutive years on the SEC’s list. On December 18, 2020, the Holding Foreign Companies Accountable Act, or the Act, was enacted. In essence, the Act requires the SEC to prohibit foreign companies from listing securities on U.S. securities exchanges if a company retains a foreign accounting firm that cannot be inspected by the PCAOB for three consecutive years, beginning in 2021. The SEC is currently in the process of implementing the requirements of the Act. The enactment of the Act and any additional rulemaking efforts to increase U.S. regulatory access to audit information in China could cause investor uncertainty for affected SEC registrants, including us, the market price of our ADSs could be materially adversely affected, and we could be delisted if we are unable to meet the PCAOB inspection requirement in time.</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audit and risk committee is aware of the Act and regularly communicates with our independent auditor to monitor developments in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rulemaking.</w:t>
      </w:r>
    </w:p>
    <w:p>
      <w:pPr>
        <w:spacing w:after="0" w:line="31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Economic or trade sanctions and a heightened trend towards trade and technology “de-coupling” could negatively affect the relationships and collaborations with our suppliers, service providers, technology partners and other business partners, which could materially and adversely affect our competitiveness and business operations.</w:t>
      </w:r>
    </w:p>
    <w:p>
      <w:pPr>
        <w:spacing w:after="0" w:line="76" w:lineRule="exact"/>
        <w:rPr>
          <w:sz w:val="20"/>
          <w:szCs w:val="20"/>
          <w:color w:val="auto"/>
        </w:rPr>
      </w:pPr>
    </w:p>
    <w:p>
      <w:pPr>
        <w:ind w:left="120" w:right="60" w:firstLine="991"/>
        <w:spacing w:after="0" w:line="271" w:lineRule="auto"/>
        <w:rPr>
          <w:sz w:val="20"/>
          <w:szCs w:val="20"/>
          <w:color w:val="auto"/>
        </w:rPr>
      </w:pPr>
      <w:r>
        <w:rPr>
          <w:rFonts w:ascii="Arial" w:cs="Arial" w:eastAsia="Arial" w:hAnsi="Arial"/>
          <w:sz w:val="17"/>
          <w:szCs w:val="17"/>
          <w:color w:val="auto"/>
        </w:rPr>
        <w:t>The United Nations and a number of countries and jurisdictions, including China, the United States and the EU, have adopted various economic or trade sanction regimes. In particular, economic and trade sanctions have been threatened and/or imposed by the U.S. government on a number of China-based technology companies, including ZTE Corporation, Huawei Technologies Co., Ltd., or Huawei, Tencent Holdings Limited, certain of their respective affiliates, and other China-based technology companies. These Chinese technology conglomerates manufacture and/or develop telecommunications and other equipment, software, mobile Apps and devices that are popular and widely used globally, including by us and by our customers, especially those in mainland China. Actions have been brought against ZTE Corporation and Huawei and related persons by the U.S. government. The United States has also in certain circumstances threatened to impose further sanctions, trade embargoes, and other heightened regulatory requirements on China and China-based companies.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These restrictions, and similar or more expansive restrictions that may be imposed by the U.S. or other jurisdictions in the future, though may not be directly applicable to us, may materially and adversely affect our suppliers, service providers, technology partners or other business partners’ abilities to acquire technologies, systems, devices or components that may be critical to our relationships or collaborations with them. In addition, if any of our suppliers, service providers, technology partners or other business partners that have collaborative relationships with us or our affiliates were to become subject to sanctions or other restrictions, this might restrict or negatively impact our ongoing relationships or collaborations with them, which could materially and adversely affect our competitiveness and business operations. Media reports on alleged uses of the technologies, systems or innovations developed by business partners or other parties not affiliated with or controlled by us, even on matters not involving us, could nevertheless damage our reputation and lead to regulatory investigations, fines and penalties against 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Operating in the Gaming Industry in Macau</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The Subconcession Contract expires in June 2022 and if the Gaming Operator is unable to secure a new concession or subconcession or an extension of the subconcession in 2022, or if the Macau government were to exercise its redemption right, the Gaming Operator would be unable to operate Studio City Casino.</w:t>
      </w:r>
    </w:p>
    <w:p>
      <w:pPr>
        <w:spacing w:after="0" w:line="76"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The Subconcession Contract expires on June 26, 2022. Unless a new concession or subconcession is granted or the subconcession is extended, the Gaming Operator’s operations will cease on such expiration date, and in accordance with current legislation on reversion of casino premises, Studio City Casino’s gaming related equipment operated by the Gaming Operator under its subconcession will automatically revert to the Macau government without compensation. The COVID-19 pandemic has affected and may continue to affect the Macau government’s process in relation to the granting of new concessions and may hinder the process related to an extension of the current concessions and subconcessions. In addition, under the Subconcession Contract, from 2017, the Macau government has the right to redeem the Subconcession Contract by providing the Gaming Operator with at least one year’s prior notice. The Macau government has not issued formal guidelines or policies with respect to the renewal or extension of subconcessions or the grant of new concessions or subconcessions. In the event the Gaming Operator is not able to secure any new concession or subconcession or extend its subconcession on terms favorable or acceptable to it, or at all, or the Macau government redeems the subconcession, our results of operations, financial condition, cash flows and prospects may be materially and adversely affected and we would be subject to additional refinancing risks with respect to our existing indebtedness.</w:t>
      </w:r>
    </w:p>
    <w:p>
      <w:pPr>
        <w:spacing w:after="0" w:line="29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Under the Gaming Operator’s subconcession, the Macau government may terminate the subconcession under certain circumstances without compensation to the Gaming Operator and may determine that Studio City Casino may not continue to operate under the Services and Right to Use Arrangements, which would prevent the operation of Studio City Casino.</w:t>
      </w:r>
    </w:p>
    <w:p>
      <w:pPr>
        <w:spacing w:after="0" w:line="76" w:lineRule="exact"/>
        <w:rPr>
          <w:sz w:val="20"/>
          <w:szCs w:val="20"/>
          <w:color w:val="auto"/>
        </w:rPr>
      </w:pPr>
    </w:p>
    <w:p>
      <w:pPr>
        <w:ind w:left="120" w:right="40" w:firstLine="991"/>
        <w:spacing w:after="0" w:line="288" w:lineRule="auto"/>
        <w:rPr>
          <w:sz w:val="20"/>
          <w:szCs w:val="20"/>
          <w:color w:val="auto"/>
        </w:rPr>
      </w:pPr>
      <w:r>
        <w:rPr>
          <w:rFonts w:ascii="Arial" w:cs="Arial" w:eastAsia="Arial" w:hAnsi="Arial"/>
          <w:sz w:val="16"/>
          <w:szCs w:val="16"/>
          <w:color w:val="auto"/>
        </w:rPr>
        <w:t>Under the Gaming Operator’s subconcession, the Macau government has the right to unilaterally terminate the subconcession in the event of non-compliance by the Gaming Operator with its basic obligations under the subconcession and applicable Macau laws. If such a termination were to occur, the Gaming Operator would be unable to operate casino gaming in Macau, including Studio City Casino. Termination events include, among others, the operation of gaming without permission or operation of a business which does not fall within the business scope of the subconcession; abandonment of approved business or suspension of operations of its gaming business in Macau without reasonable grounds for more than seven consecutive days or more than 14 non-consecutive days within one calendar year; transfer of all or part of the Gaming Operator’s operation in Macau in violation of the relevant laws and administrative regulations governing the operation of games of fortune or chance and other casino games in Macau and without Macau government approval; failure to pay taxes, premiums, levies or other amounts payable to the Macau government; and systematic non-compliance with the Macau Gaming Law’s basic obligations. These events could lead to the termination of the Gaming Operator’s subconcession without compensation and the Gaming Operator would be unable to operate casino gaming in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Macau, which would have a material adverse effect on our financial condition, results of operations and cash flows and could result in defaults under our indebtedness agreements and a partial or complete loss of our investments in Studio City. In many of these instances, the Subconcession Contract does not provide a specific cure period within which any such events may be cured and, instead, the Gaming Operator would rely on consultations and negotiations with the Macau government to remedy any such violation.</w:t>
      </w:r>
    </w:p>
    <w:p>
      <w:pPr>
        <w:spacing w:after="0" w:line="187"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Under the terms of the Services and Right to Use Arrangements to which Studio City Entertainment, one of our subsidiaries, is a party, the Gaming Operator has agreed to operate Studio City Casino. If, upon termination of the Gaming Operator’s subconcession, Studio City Entertainment were not able to enter into similar arrangements with other gaming concessionaires or subconcessionaires in Macau, Studio City Casino may not be able to continue to operate.</w:t>
      </w:r>
    </w:p>
    <w:p>
      <w:pPr>
        <w:spacing w:after="0" w:line="187" w:lineRule="exact"/>
        <w:rPr>
          <w:sz w:val="20"/>
          <w:szCs w:val="20"/>
          <w:color w:val="auto"/>
        </w:rPr>
      </w:pPr>
    </w:p>
    <w:p>
      <w:pPr>
        <w:ind w:left="120" w:right="40" w:firstLine="991"/>
        <w:spacing w:after="0" w:line="293" w:lineRule="auto"/>
        <w:rPr>
          <w:sz w:val="20"/>
          <w:szCs w:val="20"/>
          <w:color w:val="auto"/>
        </w:rPr>
      </w:pPr>
      <w:r>
        <w:rPr>
          <w:rFonts w:ascii="Arial" w:cs="Arial" w:eastAsia="Arial" w:hAnsi="Arial"/>
          <w:sz w:val="16"/>
          <w:szCs w:val="16"/>
          <w:color w:val="auto"/>
        </w:rPr>
        <w:t>Further, if Studio City Entertainment were to be found unsuitable or to undertake actions that are inconsistent with the Gaming Operator’s subconcession terms and requirements, the Gaming Operator could suffer penalties, including the termination of its subconcession, and the Macau government may determine that Studio City Casino may not continue to operate under the Services and Right to Use Arrangements or at all. This would have a material adverse effect on our financial condition, results of operations and cash flows and could result in defaults under our indebtedness, and a partial or complete loss of our investments in Studio City. For details of the terms of the Services and Right to Use Arrangements, see “Item 7. Major Shareholders and Related Party Transactions — B. Related Party Transactions — Services and Right to Use Arrangements.”</w:t>
      </w:r>
    </w:p>
    <w:p>
      <w:pPr>
        <w:spacing w:after="0" w:line="164" w:lineRule="exact"/>
        <w:rPr>
          <w:sz w:val="20"/>
          <w:szCs w:val="20"/>
          <w:color w:val="auto"/>
        </w:rPr>
      </w:pPr>
    </w:p>
    <w:p>
      <w:pPr>
        <w:ind w:left="120" w:right="80" w:firstLine="991"/>
        <w:spacing w:after="0" w:line="271" w:lineRule="auto"/>
        <w:rPr>
          <w:sz w:val="20"/>
          <w:szCs w:val="20"/>
          <w:color w:val="auto"/>
        </w:rPr>
      </w:pPr>
      <w:r>
        <w:rPr>
          <w:rFonts w:ascii="Arial" w:cs="Arial" w:eastAsia="Arial" w:hAnsi="Arial"/>
          <w:sz w:val="17"/>
          <w:szCs w:val="17"/>
          <w:color w:val="auto"/>
        </w:rPr>
        <w:t>Under the Gaming Operator’s subconcession, the Macau government is allowed to request various changes in the plans and specifications of the properties operated by the Gaming Operator, including Studio City Casino, and to make various other decisions and determinations that may be binding on us. For example, Macau’s Chief Executive has the right to require the increase of the Gaming Operator’s share capital or that the Gaming Operator provides certain deposits or other guarantees of performance with respect to its obligations in any amount determined by the Macau government to be necessary. The Gaming Operator also needs to first obtain the approval of the Macau governmental authorities before raising certain financing. The Gaming Operator’s ability to incur indebtedness or raise equity may be further restricted by its existing and any future financings. As a result, we cannot assure you that the Gaming Operator will be able to comply with these requirements or any other requirements of the Macau government or with the other requirements and obligations imposed by the subconcession.</w:t>
      </w:r>
    </w:p>
    <w:p>
      <w:pPr>
        <w:spacing w:after="0" w:line="178" w:lineRule="exact"/>
        <w:rPr>
          <w:sz w:val="20"/>
          <w:szCs w:val="20"/>
          <w:color w:val="auto"/>
        </w:rPr>
      </w:pPr>
    </w:p>
    <w:p>
      <w:pPr>
        <w:ind w:left="120" w:right="120" w:firstLine="991"/>
        <w:spacing w:after="0" w:line="273" w:lineRule="auto"/>
        <w:rPr>
          <w:sz w:val="20"/>
          <w:szCs w:val="20"/>
          <w:color w:val="auto"/>
        </w:rPr>
      </w:pPr>
      <w:r>
        <w:rPr>
          <w:rFonts w:ascii="Arial" w:cs="Arial" w:eastAsia="Arial" w:hAnsi="Arial"/>
          <w:sz w:val="17"/>
          <w:szCs w:val="17"/>
          <w:color w:val="auto"/>
        </w:rPr>
        <w:t>The Subconcession Contract also contains various covenants and other obligations as to which the determination of compliance is subjective, and any failure to comply with any such covenant or obligation could result in the termination of the subconcession. For example, requirements of compliance with general and special duties of cooperation and special duties of information may be subjective, and we cannot assure you that the Gaming Operator will always be able to operate gaming activities in a manner satisfactory to the Macau government. Accordingly, we will be impacted by the Gaming Operator’s continuing communications and good faith negotiations with the Macau government to ensure that the Gaming Operator is performing its obligations under the subconcession in a manner that would avoid any violations.</w:t>
      </w:r>
    </w:p>
    <w:p>
      <w:pPr>
        <w:spacing w:after="0" w:line="178" w:lineRule="exact"/>
        <w:rPr>
          <w:sz w:val="20"/>
          <w:szCs w:val="20"/>
          <w:color w:val="auto"/>
        </w:rPr>
      </w:pPr>
    </w:p>
    <w:p>
      <w:pPr>
        <w:ind w:left="120" w:right="40" w:firstLine="991"/>
        <w:spacing w:after="0" w:line="272" w:lineRule="auto"/>
        <w:rPr>
          <w:sz w:val="20"/>
          <w:szCs w:val="20"/>
          <w:color w:val="auto"/>
        </w:rPr>
      </w:pPr>
      <w:r>
        <w:rPr>
          <w:rFonts w:ascii="Arial" w:cs="Arial" w:eastAsia="Arial" w:hAnsi="Arial"/>
          <w:sz w:val="17"/>
          <w:szCs w:val="17"/>
          <w:color w:val="auto"/>
        </w:rPr>
        <w:t>Furthermore, pursuant to the Subconcession Contract, the Gaming Operator is obligated to comply not only with the terms of that agreement, but also with laws, regulations, rulings and orders that the Macau government might issue or enact in the future. We cannot assure you that it will be able to comply with all such laws, regulations, rulings or orders or that any such laws, regulations, rulings or orders would not adversely affect its ability to operate Studio City Casino. If any disagreement arises between the Gaming Operator and the Macau government regarding the interpretation of, or its compliance with, a provision of the Subconcession Contract, we will be relying on its consultation and negotiation process with the applicable Macau governmental agency as described above. During any such consultation, however, the Gaming Operator will be obligated to comply with the terms of the Subconcession Contract as interpreted by the Macau government.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72" w:lineRule="auto"/>
        <w:rPr>
          <w:sz w:val="20"/>
          <w:szCs w:val="20"/>
          <w:color w:val="auto"/>
        </w:rPr>
      </w:pPr>
      <w:r>
        <w:rPr>
          <w:rFonts w:ascii="Arial" w:cs="Arial" w:eastAsia="Arial" w:hAnsi="Arial"/>
          <w:sz w:val="17"/>
          <w:szCs w:val="17"/>
          <w:color w:val="auto"/>
        </w:rPr>
        <w:t>Currently, under the Macau Gaming Law, upon the expiration or termination of the Gaming Operator’s subconcession by the Macau government, all of the Gaming Operator’s casino premises and gaming equipment, including Studio City Casino’s gaming area and equipment, would revert to the Macau government automatically without compensation to the Gaming Operator. Based on information from the Macau government, proposed amendments to the legislation regarding the reversion of casino premises are being considered. We expect that if such amendments take effect, upon the expiration or termination of the Gaming Operator’s subconcession by the Macau government, only the portion of casino premises within the Gaming Operator’s development as then designated by the Macau government (including all gaming equipment) would revert to the Macau government automatically without compensation to the Gaming Operator.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Studio City Casino faces intense competition in the gaming industry of Macau and elsewhere in Asia, and it may not be able to compete successfully.</w:t>
      </w:r>
    </w:p>
    <w:p>
      <w:pPr>
        <w:spacing w:after="0" w:line="152" w:lineRule="exact"/>
        <w:rPr>
          <w:sz w:val="20"/>
          <w:szCs w:val="20"/>
          <w:color w:val="auto"/>
        </w:rPr>
      </w:pPr>
    </w:p>
    <w:p>
      <w:pPr>
        <w:ind w:left="120" w:right="60" w:firstLine="991"/>
        <w:spacing w:after="0" w:line="269" w:lineRule="auto"/>
        <w:rPr>
          <w:sz w:val="20"/>
          <w:szCs w:val="20"/>
          <w:color w:val="auto"/>
        </w:rPr>
      </w:pPr>
      <w:r>
        <w:rPr>
          <w:rFonts w:ascii="Arial" w:cs="Arial" w:eastAsia="Arial" w:hAnsi="Arial"/>
          <w:sz w:val="17"/>
          <w:szCs w:val="17"/>
          <w:color w:val="auto"/>
        </w:rPr>
        <w:t>The gaming industry in Macau and elsewhere in Asia is highly competitive. Our competitors include many of the largest gaming, hospitality, leisure and resort companies in the world. Some of these current and future competitors are larger than us and may have more diversified resources, better brand recognition and greater access to capital to support their developments and operations in Macau and elsewhere. In particular, in recent years, some of our competitors have opened new properties, expanded operations and/or announced their intention for further expansion and developments in Cotai, where Studio City is located. For example, Galaxy Casino, S.A., or Galaxy, opened Galaxy Macau Resort in Cotai in May 2011, phase 2 of the Galaxy Macau Resort opened in May 2015 and phase 3 of the Galaxy Macau Resort is currently being developed and expected to be completed and fully operational in the first half of 2022, while phase 4 is expected to be completed and operational within a few years after the completion of Phase 3. Sands Cotai Central in Cotai opened in April 2012, Wynn Palace opened in August 2016, Parisian Macao opened in September 2016 and MGM Cotai opened in February 2018. In addition, Sociedade de Jogos de Macau, S.A., or SJM is currently developing its project in Cotai which is expected to open in the first half of 2021 and Sands Cotai Central in Cotai has been rebranded and redeveloped into The Londoner Macau, which opened in February 2021.</w:t>
      </w:r>
    </w:p>
    <w:p>
      <w:pPr>
        <w:spacing w:after="0" w:line="182" w:lineRule="exact"/>
        <w:rPr>
          <w:sz w:val="20"/>
          <w:szCs w:val="20"/>
          <w:color w:val="auto"/>
        </w:rPr>
      </w:pPr>
    </w:p>
    <w:p>
      <w:pPr>
        <w:ind w:left="120" w:right="80" w:firstLine="991"/>
        <w:spacing w:after="0" w:line="290" w:lineRule="auto"/>
        <w:rPr>
          <w:sz w:val="20"/>
          <w:szCs w:val="20"/>
          <w:color w:val="auto"/>
        </w:rPr>
      </w:pPr>
      <w:r>
        <w:rPr>
          <w:rFonts w:ascii="Arial" w:cs="Arial" w:eastAsia="Arial" w:hAnsi="Arial"/>
          <w:sz w:val="16"/>
          <w:szCs w:val="16"/>
          <w:color w:val="auto"/>
        </w:rPr>
        <w:t>Studio City Casino will also compete to some extent with casinos located in other countries, such as Singapore, the Philippines, Malaysia, South Korea, Vietnam, Cambodia, Australia, New Zealand, Japan and elsewhere in the world, including Las Vegas and Atlantic City in the United States. In addition, a law which conceptually enables the development of integrated resorts in Japan took effect in December 2016, with corresponding legislation providing a legislative framework for the development and implementation of integrated resorts in Japan taking effect in July 2018. Certain other markets may in the future legalize casino gaming, including Taiwan and Thailand. Certain of these gaming markets may not be subject to as stringent regulations as the Macau market. Studio City Casino will also compete with both legal and illegal online gaming and sports-betting websites, cruise ships operating out of Hong Kong and other areas of Asia that offer gaming. The proliferation of gaming venues in Asia could significantly and adversely affect our business, results of operations, financial condition, cash flows and prospects.</w:t>
      </w:r>
    </w:p>
    <w:p>
      <w:pPr>
        <w:spacing w:after="0" w:line="165" w:lineRule="exact"/>
        <w:rPr>
          <w:sz w:val="20"/>
          <w:szCs w:val="20"/>
          <w:color w:val="auto"/>
        </w:rPr>
      </w:pPr>
    </w:p>
    <w:p>
      <w:pPr>
        <w:ind w:left="120" w:right="100" w:firstLine="991"/>
        <w:spacing w:after="0" w:line="279" w:lineRule="auto"/>
        <w:rPr>
          <w:sz w:val="20"/>
          <w:szCs w:val="20"/>
          <w:color w:val="auto"/>
        </w:rPr>
      </w:pPr>
      <w:r>
        <w:rPr>
          <w:rFonts w:ascii="Arial" w:cs="Arial" w:eastAsia="Arial" w:hAnsi="Arial"/>
          <w:sz w:val="17"/>
          <w:szCs w:val="17"/>
          <w:color w:val="auto"/>
        </w:rPr>
        <w:t>Currently, Macau is the only region in the Greater China area offering legal casino gaming. Although the Chinese government has strictly enforced its regulations prohibiting domestic gaming operations, there may be casinos in parts of China that are operated illegally and without licenses. In addition, there is no assurance that China will not in the future permit domestic gaming operations. Competition from casinos in China, legal or illegal, could materially and adversely affect our business, results of operations, financial condition, cash flows and prospects.</w:t>
      </w:r>
    </w:p>
    <w:p>
      <w:pPr>
        <w:spacing w:after="0" w:line="171" w:lineRule="exact"/>
        <w:rPr>
          <w:sz w:val="20"/>
          <w:szCs w:val="20"/>
          <w:color w:val="auto"/>
        </w:rPr>
      </w:pPr>
    </w:p>
    <w:p>
      <w:pPr>
        <w:ind w:left="120" w:right="40" w:firstLine="991"/>
        <w:spacing w:after="0" w:line="279" w:lineRule="auto"/>
        <w:rPr>
          <w:sz w:val="20"/>
          <w:szCs w:val="20"/>
          <w:color w:val="auto"/>
        </w:rPr>
      </w:pPr>
      <w:r>
        <w:rPr>
          <w:rFonts w:ascii="Arial" w:cs="Arial" w:eastAsia="Arial" w:hAnsi="Arial"/>
          <w:sz w:val="17"/>
          <w:szCs w:val="17"/>
          <w:color w:val="auto"/>
        </w:rPr>
        <w:t>Furthermore, Melco Resorts, as well as the Gaming Operator, may take action to construct and operate new gaming projects or invest in such projects, located in other countries in the Asia region (including new gaming projects in Macau) or outside the Asia region, which, along with their current operations, such as Altira Macau and City of Dreams, may increase the competition Studio City Casino will face. See “— Risks Relating to Our Relationship with Melco Resorts — We may have conflicts of interest with Melco Resorts and, because of</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Melco Resorts’ controlling ownership interest in our company, we may not be able to resolve such conflicts on favorable terms for us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33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Gaming is a highly regulated industry in Macau and adverse changes or developments in gaming laws or regulations could be difficult to comply with or significantly increase costs, which could cause Studio City Casino to be unsuccessful.</w:t>
      </w:r>
    </w:p>
    <w:p>
      <w:pPr>
        <w:spacing w:after="0" w:line="62"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Gaming is a highly regulated industry in Macau and is subject to the risk of changes in laws and policies. Current laws, such as licensing requirements, tax rates and other regulatory obligations, including those for anti-money laundering, could change or become more stringent resulting in additional regulations being imposed upon gaming operations in Macau as well as increased audits and inspections by regulators, including Studio City Casino. Any such adverse developments in the regulation of the gaming industry could be difficult to comply with and could significantly increase costs, which could cause Studio City Casino to be unsuccessful and adversely affect our financial performance.</w:t>
      </w:r>
    </w:p>
    <w:p>
      <w:pPr>
        <w:spacing w:after="0" w:line="176"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In September 2009, the Macau government set a cap on commission payments to gaming promoters of 1.25% of net rolling. This policy may limit the Gaming Operator’s ability to develop successful relationships with gaming promoters and attract VIP rolling chip players, which in turn may adversely affect the financial performance of the VIP rolling chip operations at Studio City Casino while they continue. Any failure to comply with these regulations may result in the imposition of liabilities, fines and other penalties and may materially and adversely affect the Gaming Operator’s subconcession. See “Item 4. Information on the Company — B. Business Overview — Gaming Promoters Regulations.”</w:t>
      </w:r>
    </w:p>
    <w:p>
      <w:pPr>
        <w:spacing w:after="0" w:line="176" w:lineRule="exact"/>
        <w:rPr>
          <w:sz w:val="20"/>
          <w:szCs w:val="20"/>
          <w:color w:val="auto"/>
        </w:rPr>
      </w:pPr>
    </w:p>
    <w:p>
      <w:pPr>
        <w:ind w:left="120" w:right="100" w:firstLine="991"/>
        <w:spacing w:after="0" w:line="273" w:lineRule="auto"/>
        <w:rPr>
          <w:sz w:val="20"/>
          <w:szCs w:val="20"/>
          <w:color w:val="auto"/>
        </w:rPr>
      </w:pPr>
      <w:r>
        <w:rPr>
          <w:rFonts w:ascii="Arial" w:cs="Arial" w:eastAsia="Arial" w:hAnsi="Arial"/>
          <w:sz w:val="17"/>
          <w:szCs w:val="17"/>
          <w:color w:val="auto"/>
        </w:rPr>
        <w:t>In addition, the Macau government imposed regulations and restrictions that affect the minimum age required for entrance into casinos in Macau, entry into casinos by off-duty gaming-related employees, location requirements for sites with gaming machine lounges, data privacy and other matters. Any such legislation, regulation or restriction imposed by the Macau government may have a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Gaming Regulations.”</w:t>
      </w:r>
    </w:p>
    <w:p>
      <w:pPr>
        <w:spacing w:after="0" w:line="178"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Also, starting from January 1, 2019, smoking on the premises of casinos is only permitted in authorized segregated smoking lounges with no gaming activities, and such segregated smoking lounges are required to meet certain standards determined by the Macau government. Studio City Casino currently has a number of segregated smoking lounges. We cannot assure you that the Macau government will not enact more stringent smoking control legislations. Such limitations imposed on smoking have and may deter potential gaming patrons who are smokers from frequenting casinos in Macau, which could adversely affect our business, results of operations and financial condition. See “Item 4. Information on the Company — B. Business Overview — Smoking Regulations.”</w:t>
      </w:r>
    </w:p>
    <w:p>
      <w:pPr>
        <w:spacing w:after="0" w:line="192"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Furthermore, in March 2010, the Macau government announced that the number of gaming tables operating in Macau should not exceed 5,500 until the end of the first quarter of 2013. On September 19, 2011, the Secretary for Economy and Finance of the Macau government announced that for a period of ten years thereafter, the total number of gaming tables to be authorized in Macau will increase by an amount equal to an average 3% per annum for ten years. The Macau government subsequently clarified that the allocation of tables over this ten-year period does not need to be uniform and tables may be pre-allocated to new properties in Macau. There is no assurance that the Studio City Casino will be allocated any new gaming tables authorized by the Macau government, including in connection with the remaining project. The Macau government has also determined that tables authorized by the Macau government for mass market gaming operations may not be utilized for VIP gaming operations. These restrictions are not legislated or enacted into statutes or ordinances and, as such, different policies, including in relation to the annual increase rate in the number of gaming tables, may be adopted, and existing policies amended, at any time by the relevant Macau government authorities.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Current Macau laws and regulations concerning gaming and gaming concessions and matters such as prevention of money laundering are fairly recent or there is little precedent on the interpretation of these laws and regulations. While we expect that the Gaming Operator will operate Studio City Casino in compliance in all material respects with all applicable laws and regulations of Macau, these laws and regulations are complex and a court or an administrative or regulatory body may in the future render an interpretation of these laws and regulations or issue new or modified regulations that differ from our or the Gaming Operator’s interpretation, which could have a material adverse effect on the operation of Studio City Casino and on our financial condition, results of operations, cash flows and prospects.</w:t>
      </w:r>
    </w:p>
    <w:p>
      <w:pPr>
        <w:spacing w:after="0" w:line="178"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Our activities in Macau are subject to administrative review and approval by various departments of the Macau government. For example, our business activities and Studio City Casino are subject to the administrative review and approval by the DICJ, Macau health department, Macau labor bureau, Macau public works bureau, Macau fire department, Macau finance department and Macau government tourism office. We cannot assure you that we or the Gaming Operator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Studio City Casino is subject to operational risks commonly faced by other gaming facilities in Macau.</w:t>
      </w:r>
    </w:p>
    <w:p>
      <w:pPr>
        <w:spacing w:after="0" w:line="117"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Studio City Casino faces operational risks commonly experienced in the gaming industry in Macau. Such risks include, but are not limited to, the following:</w:t>
      </w:r>
    </w:p>
    <w:p>
      <w:pPr>
        <w:spacing w:after="0" w:line="76" w:lineRule="exact"/>
        <w:rPr>
          <w:sz w:val="20"/>
          <w:szCs w:val="20"/>
          <w:color w:val="auto"/>
        </w:rPr>
      </w:pPr>
    </w:p>
    <w:p>
      <w:pPr>
        <w:ind w:left="1080" w:right="340" w:hanging="424"/>
        <w:spacing w:after="0" w:line="275"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Inability to Collect Gaming Receivables from Credit Customers. </w:t>
      </w:r>
      <w:r>
        <w:rPr>
          <w:rFonts w:ascii="Arial" w:cs="Arial" w:eastAsia="Arial" w:hAnsi="Arial"/>
          <w:sz w:val="17"/>
          <w:szCs w:val="17"/>
          <w:color w:val="auto"/>
        </w:rPr>
        <w:t>The Gaming Operator may grant gaming credit directly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at Studio City Casino, which will often be unsecured. The Gaming Operator may not be able to collect all of its gaming receivables from its credit customers at Studio City Casino, and we expect that the Gaming Operator will be able to enforce its gaming receivables only in a limited number of jurisdictions, including Macau and under certain circumstances, Hong Kong. The Gaming Operator’s inability to collect gaming receivables from credit customers may in turn affect our financial performance.</w:t>
      </w:r>
    </w:p>
    <w:p>
      <w:pPr>
        <w:spacing w:after="0" w:line="81" w:lineRule="exact"/>
        <w:rPr>
          <w:rFonts w:ascii="Arial" w:cs="Arial" w:eastAsia="Arial" w:hAnsi="Arial"/>
          <w:sz w:val="17"/>
          <w:szCs w:val="17"/>
          <w:color w:val="auto"/>
        </w:rPr>
      </w:pPr>
    </w:p>
    <w:p>
      <w:pPr>
        <w:ind w:left="1080" w:hanging="424"/>
        <w:spacing w:after="0" w:line="272"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Limited Availability of Credit to Gaming Patrons. </w:t>
      </w:r>
      <w:r>
        <w:rPr>
          <w:rFonts w:ascii="Arial" w:cs="Arial" w:eastAsia="Arial" w:hAnsi="Arial"/>
          <w:sz w:val="17"/>
          <w:szCs w:val="17"/>
          <w:color w:val="auto"/>
        </w:rPr>
        <w:t>The Gaming Operator conducts its table gaming activities at Studio City Casino partially</w:t>
      </w:r>
      <w:r>
        <w:rPr>
          <w:rFonts w:ascii="Arial" w:cs="Arial" w:eastAsia="Arial" w:hAnsi="Arial"/>
          <w:sz w:val="17"/>
          <w:szCs w:val="17"/>
          <w:i w:val="1"/>
          <w:iCs w:val="1"/>
          <w:color w:val="auto"/>
        </w:rPr>
        <w:t xml:space="preserve"> </w:t>
      </w:r>
      <w:r>
        <w:rPr>
          <w:rFonts w:ascii="Arial" w:cs="Arial" w:eastAsia="Arial" w:hAnsi="Arial"/>
          <w:sz w:val="17"/>
          <w:szCs w:val="17"/>
          <w:color w:val="auto"/>
        </w:rPr>
        <w:t>on a credit basis. The Gaming Operator extends credit to its gaming promoters and such gaming promoters will also conduct their operations by extending credit to gaming patrons. Any general economic downturn and turmoil in the financial markets may result in broad limitations on the availability of credit from credit sources as well as lengthening the recovery cycle of extended credit. In particular, due to credit conditions in China and the tightening of cross-border fund transfers by the Chinese government to control capital outflows in recent years, the number of visitors to Macau from China, as well as the amounts they are willing to spend in casinos, may decrease, which could have a material adverse effect on our business, financial condition and results of operations.</w:t>
      </w:r>
    </w:p>
    <w:p>
      <w:pPr>
        <w:spacing w:after="0" w:line="82" w:lineRule="exact"/>
        <w:rPr>
          <w:rFonts w:ascii="Arial" w:cs="Arial" w:eastAsia="Arial" w:hAnsi="Arial"/>
          <w:sz w:val="17"/>
          <w:szCs w:val="17"/>
          <w:color w:val="auto"/>
        </w:rPr>
      </w:pPr>
    </w:p>
    <w:p>
      <w:pPr>
        <w:ind w:left="1080" w:hanging="424"/>
        <w:spacing w:after="0" w:line="25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Dependence on Relationships with Gaming Promoters. </w:t>
      </w:r>
      <w:r>
        <w:rPr>
          <w:rFonts w:ascii="Arial" w:cs="Arial" w:eastAsia="Arial" w:hAnsi="Arial"/>
          <w:sz w:val="18"/>
          <w:szCs w:val="18"/>
          <w:color w:val="auto"/>
        </w:rPr>
        <w:t>With the rise in casino operations in Macau, the competition for relationships with</w:t>
      </w:r>
      <w:r>
        <w:rPr>
          <w:rFonts w:ascii="Arial" w:cs="Arial" w:eastAsia="Arial" w:hAnsi="Arial"/>
          <w:sz w:val="18"/>
          <w:szCs w:val="18"/>
          <w:i w:val="1"/>
          <w:iCs w:val="1"/>
          <w:color w:val="auto"/>
        </w:rPr>
        <w:t xml:space="preserve"> </w:t>
      </w:r>
      <w:r>
        <w:rPr>
          <w:rFonts w:ascii="Arial" w:cs="Arial" w:eastAsia="Arial" w:hAnsi="Arial"/>
          <w:sz w:val="18"/>
          <w:szCs w:val="18"/>
          <w:color w:val="auto"/>
        </w:rPr>
        <w:t>gaming promoters has increased and is expected to continue to increase. If the Gaming Operator is unable to utilize, maintain and/or develop relationships with gaming promoters for the Studio City Casino, the Gaming Operator will have to seek alternative ways to develop and maintain relationships with VIP rolling chip players, which may not be available, or if available, may not be as profitable as relationships developed through gaming promoters. Also, in the event the Macau government reduces the cap on the commission rates payable to gaming promoters, gaming promoters’ incentives to bring travelers to casinos in Macau would be further diminished and certain of the gaming promoters may be forced to cease or reduced operations. Increased regulatory scrutiny of gaming promoters in Macau has resulted, and may continue to result, in the cessation of business of certain gaming promoters, thereby resulting in the remaining gaming promoters having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0" w:lineRule="auto"/>
        <w:rPr>
          <w:sz w:val="20"/>
          <w:szCs w:val="20"/>
          <w:color w:val="auto"/>
        </w:rPr>
      </w:pPr>
      <w:r>
        <w:rPr>
          <w:rFonts w:ascii="Arial" w:cs="Arial" w:eastAsia="Arial" w:hAnsi="Arial"/>
          <w:sz w:val="17"/>
          <w:szCs w:val="17"/>
          <w:color w:val="auto"/>
        </w:rPr>
        <w:t>significant leverage and bargaining strength in negotiating agreements, including negotiating changes to existing agreements with the Gaming Operator, the loss of business to competitors or the loss of relationships with certain gaming promoters by the Gaming Operator for the Studio City Casino. These developments may have a material adverse effect on the business, prospects, results of operation and financial condition of Studio City Casino. For example, amendments to China’s criminal laws, such that anyone that organizes trips for Chinese citizens for the purpose of gambling outside of mainland China, including Macau, may be deemed to have conducted a criminal act, took effect on March 1, 2021. It is currently unclear whether and to what extent this amendment will adversely impact the operations of the Gaming Operator’s gaming promoters in the future. See also “— Risks Relating to Conducting Business and Operating in Macau — Policies, campaigns and measures adopted by the PRC and/or Macau governments from time to time could materially and adversely affect our operations.”</w:t>
      </w:r>
    </w:p>
    <w:p>
      <w:pPr>
        <w:spacing w:after="0" w:line="86" w:lineRule="exact"/>
        <w:rPr>
          <w:sz w:val="20"/>
          <w:szCs w:val="20"/>
          <w:color w:val="auto"/>
        </w:rPr>
      </w:pPr>
    </w:p>
    <w:p>
      <w:pPr>
        <w:ind w:left="1080" w:right="20" w:hanging="424"/>
        <w:spacing w:after="0" w:line="296"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Inability to Control Win Rates. </w:t>
      </w:r>
      <w:r>
        <w:rPr>
          <w:rFonts w:ascii="Arial" w:cs="Arial" w:eastAsia="Arial" w:hAnsi="Arial"/>
          <w:sz w:val="16"/>
          <w:szCs w:val="16"/>
          <w:color w:val="auto"/>
        </w:rPr>
        <w:t>The gaming industry is characterized by an element of chance. In addition to the element of chance,</w:t>
      </w:r>
      <w:r>
        <w:rPr>
          <w:rFonts w:ascii="Arial" w:cs="Arial" w:eastAsia="Arial" w:hAnsi="Arial"/>
          <w:sz w:val="16"/>
          <w:szCs w:val="16"/>
          <w:i w:val="1"/>
          <w:iCs w:val="1"/>
          <w:color w:val="auto"/>
        </w:rPr>
        <w:t xml:space="preserve"> </w:t>
      </w:r>
      <w:r>
        <w:rPr>
          <w:rFonts w:ascii="Arial" w:cs="Arial" w:eastAsia="Arial" w:hAnsi="Arial"/>
          <w:sz w:val="16"/>
          <w:szCs w:val="16"/>
          <w:color w:val="auto"/>
        </w:rPr>
        <w:t>theoretical expected win rates will also be affected by the spread of table limits and factors that are beyond the operator’s control, such as a player’s skill and experience, the mix of games played, the financial resources of players, the volume and mix of bets played, the amount of time players spend on gambling and the number of players. As a result of the variability in these factors, the actual win rates at Studio City Casino may differ from the theoretical win rates anticipated and could result in less winnings than anticipated.</w:t>
      </w:r>
    </w:p>
    <w:p>
      <w:pPr>
        <w:spacing w:after="0" w:line="66" w:lineRule="exact"/>
        <w:rPr>
          <w:rFonts w:ascii="Arial" w:cs="Arial" w:eastAsia="Arial" w:hAnsi="Arial"/>
          <w:sz w:val="16"/>
          <w:szCs w:val="16"/>
          <w:color w:val="auto"/>
        </w:rPr>
      </w:pPr>
    </w:p>
    <w:p>
      <w:pPr>
        <w:ind w:left="1080" w:hanging="424"/>
        <w:spacing w:after="0" w:line="255"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Risk of Fraud or Cheating of Gaming Patrons and Staff. </w:t>
      </w:r>
      <w:r>
        <w:rPr>
          <w:rFonts w:ascii="Arial" w:cs="Arial" w:eastAsia="Arial" w:hAnsi="Arial"/>
          <w:sz w:val="18"/>
          <w:szCs w:val="18"/>
          <w:color w:val="auto"/>
        </w:rPr>
        <w:t>Gaming customers may attempt or commit fraud or cheat in order to increase their</w:t>
      </w:r>
      <w:r>
        <w:rPr>
          <w:rFonts w:ascii="Arial" w:cs="Arial" w:eastAsia="Arial" w:hAnsi="Arial"/>
          <w:sz w:val="18"/>
          <w:szCs w:val="18"/>
          <w:i w:val="1"/>
          <w:iCs w:val="1"/>
          <w:color w:val="auto"/>
        </w:rPr>
        <w:t xml:space="preserve"> </w:t>
      </w:r>
      <w:r>
        <w:rPr>
          <w:rFonts w:ascii="Arial" w:cs="Arial" w:eastAsia="Arial" w:hAnsi="Arial"/>
          <w:sz w:val="18"/>
          <w:szCs w:val="18"/>
          <w:color w:val="auto"/>
        </w:rPr>
        <w:t>winnings, including in collusion with the casino’s staff. Internal acts of cheating could also be conducted by staff through collusion with dealers, surveillance staff, floor managers or other gaming area staff. Failure to discover such acts or schemes in a timely manner could result in losses in Studio City Casino operations and negative publicity for Studio City. In addition, gaming promoters or other persons could, without the knowledge of the Gaming Operator, enter into betting arrangements directly with patrons on the outcomes of games of chance, thus depriving Studio City Casino of revenues.</w:t>
      </w:r>
    </w:p>
    <w:p>
      <w:pPr>
        <w:spacing w:after="0" w:line="97"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Risk of Counterfeiting. </w:t>
      </w:r>
      <w:r>
        <w:rPr>
          <w:rFonts w:ascii="Arial" w:cs="Arial" w:eastAsia="Arial" w:hAnsi="Arial"/>
          <w:sz w:val="17"/>
          <w:szCs w:val="17"/>
          <w:color w:val="auto"/>
        </w:rPr>
        <w:t>All gaming activities at Studio City Casino’s table games are conducted exclusively with gaming chips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risk of alteration and counterfeiting. The Gaming Operator has incorporated a variety of security and anti-counterfeit features to detect altered or counterfeit gaming chips. Despite such security features, unauthorized parties may try to copy gaming chips and introduce, use and cash in altered or counterfeit gaming chips in Studio City’s gaming areas. Any negative publicity arising from such incidents could result in losses in Studio City Casino operations and negative publicity for Studio City.</w:t>
      </w:r>
    </w:p>
    <w:p>
      <w:pPr>
        <w:spacing w:after="0" w:line="81" w:lineRule="exact"/>
        <w:rPr>
          <w:rFonts w:ascii="Arial" w:cs="Arial" w:eastAsia="Arial" w:hAnsi="Arial"/>
          <w:sz w:val="17"/>
          <w:szCs w:val="17"/>
          <w:color w:val="auto"/>
        </w:rPr>
      </w:pPr>
    </w:p>
    <w:p>
      <w:pPr>
        <w:ind w:left="1080" w:right="200" w:hanging="424"/>
        <w:spacing w:after="0" w:line="279"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Risk of Malfunction of Gaming Machines</w:t>
      </w:r>
      <w:r>
        <w:rPr>
          <w:rFonts w:ascii="Arial" w:cs="Arial" w:eastAsia="Arial" w:hAnsi="Arial"/>
          <w:sz w:val="17"/>
          <w:szCs w:val="17"/>
          <w:color w:val="auto"/>
        </w:rPr>
        <w:t>. There is no assurance that the slot machines at Studio City will be functioning properly at all</w:t>
      </w:r>
      <w:r>
        <w:rPr>
          <w:rFonts w:ascii="Arial" w:cs="Arial" w:eastAsia="Arial" w:hAnsi="Arial"/>
          <w:sz w:val="17"/>
          <w:szCs w:val="17"/>
          <w:i w:val="1"/>
          <w:iCs w:val="1"/>
          <w:color w:val="auto"/>
        </w:rPr>
        <w:t xml:space="preserve"> </w:t>
      </w:r>
      <w:r>
        <w:rPr>
          <w:rFonts w:ascii="Arial" w:cs="Arial" w:eastAsia="Arial" w:hAnsi="Arial"/>
          <w:sz w:val="17"/>
          <w:szCs w:val="17"/>
          <w:color w:val="auto"/>
        </w:rPr>
        <w:t>times. If any one or more gaming machines malfunction due to technical or other reasons, the win rates associated with the gaming machines may be affected in a way that adversely impact the revenue of Studio City Casino. In addition, Studio City Casino’s reputation may be materially and adversely affected as a result of any incidents of malfunction.</w:t>
      </w:r>
    </w:p>
    <w:p>
      <w:pPr>
        <w:spacing w:after="0" w:line="171"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Any of these risks has the potential to materially and adversely affect Studio City Casino and our business, financial condition, results of operations, cash flows and prospects.</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Macau government could grant additional rights to conduct gaming in the future, which could significantly increase competition in Macau and cause Studio City Casino to lose or be unable to gain or maintain market share.</w:t>
      </w:r>
    </w:p>
    <w:p>
      <w:pPr>
        <w:spacing w:after="0" w:line="62"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Pursuant to the terms of the Macau Gaming Law, the Macau government is precluded from granting more than three gaming concessions. Each concessionaire was permitted to enter into a subconcession agreement with one subconcessionaire. The total number of concessions and subconcessions granted in Macau is six.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Macau government is currently considering the process of renewing, extending or granting gaming concessions or subconcessions for concessions and subconcessions expiring in 2022. The policies and laws of the Macau government could result in the grant of additional concessions or subconcessions, which could significantly increase competition in Macau and cause Studio City Casino to lose or be unable to maintain or gain market share, and as a result, adversely affect our business.</w:t>
      </w:r>
    </w:p>
    <w:p>
      <w:pPr>
        <w:spacing w:after="0" w:line="295"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b w:val="1"/>
          <w:bCs w:val="1"/>
          <w:i w:val="1"/>
          <w:iCs w:val="1"/>
          <w:color w:val="auto"/>
        </w:rPr>
        <w:t>We cannot assure you that anti-money laundering policies that have been implemented at Studio City Casino and its compliance with applicable anti-money laundering laws will be effective to prevent Studio City Casino from being exploited for money laundering purposes.</w:t>
      </w:r>
    </w:p>
    <w:p>
      <w:pPr>
        <w:spacing w:after="0" w:line="16" w:lineRule="exact"/>
        <w:rPr>
          <w:sz w:val="20"/>
          <w:szCs w:val="20"/>
          <w:color w:val="auto"/>
        </w:rPr>
      </w:pPr>
    </w:p>
    <w:p>
      <w:pPr>
        <w:ind w:left="120" w:right="160" w:firstLine="991"/>
        <w:spacing w:after="0" w:line="254" w:lineRule="auto"/>
        <w:rPr>
          <w:sz w:val="20"/>
          <w:szCs w:val="20"/>
          <w:color w:val="auto"/>
        </w:rPr>
      </w:pPr>
      <w:r>
        <w:rPr>
          <w:rFonts w:ascii="Arial" w:cs="Arial" w:eastAsia="Arial" w:hAnsi="Arial"/>
          <w:sz w:val="18"/>
          <w:szCs w:val="18"/>
          <w:color w:val="auto"/>
        </w:rPr>
        <w:t>Macau’s free port, offshore financial services and free movement of capital create an environment whereby Macau’s casinos could be exploited for money laundering purposes. Melco Resorts’ and the Gaming Operator’s anti-money laundering policies, which we believe to be in compliance with all applicable anti-money laundering laws and regulations in Macau, are applied to the operation of Studio City Casino. However, we cannot assure you that the Gaming Operator, our contractors, agents or the staff performing services at Studio City Casino will continually adhere to such policies or any such policies will be effective in preventing Studio City Casino operations from being exploited for money laundering purposes, including from jurisdictions outside of Macau. We cannot assure you that we will not be subject to any accusation or investigation related to any possible money laundering activities despite the anti-money laundering measures we have adopted and undertaken or that we will adopt and undertake in the future.</w:t>
      </w:r>
    </w:p>
    <w:p>
      <w:pPr>
        <w:spacing w:after="0" w:line="192" w:lineRule="exact"/>
        <w:rPr>
          <w:sz w:val="20"/>
          <w:szCs w:val="20"/>
          <w:color w:val="auto"/>
        </w:rPr>
      </w:pPr>
    </w:p>
    <w:p>
      <w:pPr>
        <w:ind w:left="120" w:right="60" w:firstLine="991"/>
        <w:spacing w:after="0" w:line="254" w:lineRule="auto"/>
        <w:rPr>
          <w:sz w:val="20"/>
          <w:szCs w:val="20"/>
          <w:color w:val="auto"/>
        </w:rPr>
      </w:pPr>
      <w:r>
        <w:rPr>
          <w:rFonts w:ascii="Arial" w:cs="Arial" w:eastAsia="Arial" w:hAnsi="Arial"/>
          <w:sz w:val="18"/>
          <w:szCs w:val="18"/>
          <w:color w:val="auto"/>
        </w:rPr>
        <w:t>The Gaming Operator also deals with significant amounts of cash in Studio City Casino’s operations and is subject to various reporting and anti-money laundering regulations as well as audits and inspections by regulators. Any incidents of money laundering, accusations of money laundering or regulatory investigations into possible money laundering activities involving Studio City Casino, its staff, gaming promoters or customers or others with whom it is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subconcession held by the Gaming Operator. For more information regarding anti-money laundering regulations in Macau, see “Item 4. Information on the Company — B. Business Overview — Anti-Money Laundering and Terrorism Financing Regulations.”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Relationship with Melco Resorts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heavily dependent on our shareholder, Melco Resorts, and expect to continue to be dependent on Melco Resorts.</w:t>
      </w:r>
    </w:p>
    <w:p>
      <w:pPr>
        <w:spacing w:after="0" w:line="117"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Melco Resorts is a developer, owner and operator of integrated resort facilities in Asia and Europe, and our business has benefited significantly from Melco Resorts’ strong market position in Macau and its expertise in both gaming and non-gaming businesses. We cannot assure you we will continue to receive the same level of support from Melco Resorts in the future.</w:t>
      </w:r>
    </w:p>
    <w:p>
      <w:pPr>
        <w:spacing w:after="0" w:line="184" w:lineRule="exact"/>
        <w:rPr>
          <w:sz w:val="20"/>
          <w:szCs w:val="20"/>
          <w:color w:val="auto"/>
        </w:rPr>
      </w:pPr>
    </w:p>
    <w:p>
      <w:pPr>
        <w:ind w:left="120" w:right="140" w:firstLine="991"/>
        <w:spacing w:after="0" w:line="287" w:lineRule="auto"/>
        <w:rPr>
          <w:sz w:val="20"/>
          <w:szCs w:val="20"/>
          <w:color w:val="auto"/>
        </w:rPr>
      </w:pPr>
      <w:r>
        <w:rPr>
          <w:rFonts w:ascii="Arial" w:cs="Arial" w:eastAsia="Arial" w:hAnsi="Arial"/>
          <w:sz w:val="16"/>
          <w:szCs w:val="16"/>
          <w:color w:val="auto"/>
        </w:rPr>
        <w:t>Melco Resorts has provided us with substantially all of our financial, administrative, sales and marketing, human resources and legal services and has also provided us with the services of a number of its staff pursuant to the Management and Shared Services Arrangements. Other than our property general manager, all of the Studio City dedicated staff are employed by the Master Service Providers under such arrangements. See “Item</w:t>
      </w:r>
    </w:p>
    <w:p>
      <w:pPr>
        <w:spacing w:after="0" w:line="2" w:lineRule="exact"/>
        <w:rPr>
          <w:sz w:val="20"/>
          <w:szCs w:val="20"/>
          <w:color w:val="auto"/>
        </w:rPr>
      </w:pPr>
    </w:p>
    <w:p>
      <w:pPr>
        <w:ind w:left="120" w:hanging="4"/>
        <w:spacing w:after="0" w:line="253"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Major Shareholders and Related Party Transactions — B. Related Party Transactions — Management and Shared Services Arrangements.” We expect Melco Resorts to continue to provide us with such support services in the future. However, there is no assurance that employees of Master Service Providers, who also support our financial, management, administration and other corporate functions, will be able to carry out their responsibilities in the best interests of Studio City or provide sufficient support for us to operate as an independent public company in compliance with the relevant financial reporting, internal control and other legal</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and regulatory requirements. In addition, to the extent Melco Resorts does not continue to provide us with such support, we may need to create our own support systems and may encounter operational, administrative and strategic difficulties. Having to create our own support systems due to lack of support from Melco Resorts may cause us to react more slowly than our competitors to industry changes and may divert our management’s attention from running our business, increase our operating costs or otherwise harm our operations.</w:t>
      </w:r>
    </w:p>
    <w:p>
      <w:pPr>
        <w:spacing w:after="0" w:line="187"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In addition, since we have only been a public company since October 2018, our management team will need to develop the expertise necessary to comply with the numerous regulatory and other requirements applicable to public companies, including requirements relating to corporate governance, listing standards and securities and investor relations issues. Prior to our initial public offering, we were indirectly subject to requirements to maintain an effective internal control over financial reporting under Section 404 of the Sarbanes–Oxley Act of 2002 as a subsidiary of Melco Resorts. However, as a public company itself, our management will have to evaluate our internal control system independently with new thresholds of materiality and to implement necessary changes to our internal control system. We cannot guarantee that we will be able to do so in a timely and effective manner.</w:t>
      </w:r>
    </w:p>
    <w:p>
      <w:pPr>
        <w:spacing w:after="0" w:line="272"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Our business has benefited significantly from our relationship with Melco Resorts. Any negative development in Melco Resorts’ market position or brand recognition may materially and adversely affect our marketing efforts and the strength of our brand.</w:t>
      </w:r>
    </w:p>
    <w:p>
      <w:pPr>
        <w:spacing w:after="0" w:line="38" w:lineRule="exact"/>
        <w:rPr>
          <w:sz w:val="20"/>
          <w:szCs w:val="20"/>
          <w:color w:val="auto"/>
        </w:rPr>
      </w:pPr>
    </w:p>
    <w:p>
      <w:pPr>
        <w:ind w:left="120" w:right="20" w:firstLine="991"/>
        <w:spacing w:after="0" w:line="296" w:lineRule="auto"/>
        <w:rPr>
          <w:sz w:val="20"/>
          <w:szCs w:val="20"/>
          <w:color w:val="auto"/>
        </w:rPr>
      </w:pPr>
      <w:r>
        <w:rPr>
          <w:rFonts w:ascii="Arial" w:cs="Arial" w:eastAsia="Arial" w:hAnsi="Arial"/>
          <w:sz w:val="16"/>
          <w:szCs w:val="16"/>
          <w:color w:val="auto"/>
        </w:rPr>
        <w:t>We are a subsidiary of Melco Resorts and have benefited significantly from our relationship with Melco Resorts in marketing our brand. For example, we have benefited by providing services to Melco Resorts’ long-term customers. We also benefit from Melco Resorts’ strong brand recognition in Macau, which has provided us credibility and a broad marketing reach. If Melco Resorts loses its market position, the effectiveness of our marketing efforts through our association with Melco Resorts may be materially and adversely affected. In addition, any negative publicity associated with Melco Resorts will likely have an adverse impact on the effectiveness of our marketing as well as our reputation and our brand.</w:t>
      </w:r>
    </w:p>
    <w:p>
      <w:pPr>
        <w:spacing w:after="0" w:line="26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have conflicts of interest with Melco Resorts and, because of Melco Resorts’ controlling ownership interest in our company, we may not be able to resolve such conflicts on favorable terms for us.</w:t>
      </w:r>
    </w:p>
    <w:p>
      <w:pPr>
        <w:spacing w:after="0" w:line="62"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Conflicts of interest may arise between Melco Resorts and us in a number of areas relating to our past and ongoing relationships. Potential conflicts of interest include:</w:t>
      </w:r>
    </w:p>
    <w:p>
      <w:pPr>
        <w:spacing w:after="0" w:line="76" w:lineRule="exact"/>
        <w:rPr>
          <w:sz w:val="20"/>
          <w:szCs w:val="20"/>
          <w:color w:val="auto"/>
        </w:rPr>
      </w:pPr>
    </w:p>
    <w:p>
      <w:pPr>
        <w:ind w:left="1080" w:hanging="424"/>
        <w:spacing w:after="0" w:line="288"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Other Gaming, Retail and Entertainment Resorts in Macau. </w:t>
      </w:r>
      <w:r>
        <w:rPr>
          <w:rFonts w:ascii="Arial" w:cs="Arial" w:eastAsia="Arial" w:hAnsi="Arial"/>
          <w:sz w:val="16"/>
          <w:szCs w:val="16"/>
          <w:color w:val="auto"/>
        </w:rPr>
        <w:t>Melco Resorts owns other gaming, retail and entertainment resorts in Macau</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Gaming Operator, as a subsidiary of Melco Resorts, operates casinos and gaming areas at such resorts owned by Melco Resorts. The ownership and operation of City of Dreams and Altira Macau by Melco Resorts and the Gaming Operator may divert their attention and resources. For example, VIP rolling chip operations at Studio City Casino are operated by the Gaming Operator under the Services and Right to Use Arrangements and the VIP tables used in such operations were initially allocated by the Macau government for operation by the Gaming Operator at gaming areas of the Gaming Operator’s other properties in Macau. The Gaming Operator will continue VIP rolling chip operations at the Studio City Casino until December 31, 2021, subject to early termination with 30 days’ prior notice by either Studio City Entertainment or the Gaming Operator. Any discontinuation of operation of VIP tables at Studio City Casino and potential allocation of such VIP tables to other Melco Resorts properties, as well as any strategic decisions made by Melco Resorts to focus on their other projects in Macau rather than us, could materially and adversely affect our financial condition and results of operations.</w:t>
      </w:r>
    </w:p>
    <w:p>
      <w:pPr>
        <w:spacing w:after="0" w:line="73" w:lineRule="exact"/>
        <w:rPr>
          <w:rFonts w:ascii="Arial" w:cs="Arial" w:eastAsia="Arial" w:hAnsi="Arial"/>
          <w:sz w:val="16"/>
          <w:szCs w:val="16"/>
          <w:color w:val="auto"/>
        </w:rPr>
      </w:pPr>
    </w:p>
    <w:p>
      <w:pPr>
        <w:ind w:left="1080" w:right="140" w:hanging="424"/>
        <w:spacing w:after="0" w:line="31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Allocation of Business Opportunities</w:t>
      </w:r>
      <w:r>
        <w:rPr>
          <w:rFonts w:ascii="Arial" w:cs="Arial" w:eastAsia="Arial" w:hAnsi="Arial"/>
          <w:sz w:val="16"/>
          <w:szCs w:val="16"/>
          <w:color w:val="auto"/>
        </w:rPr>
        <w:t>. Melco Resorts, as well as the Gaming Operator, may take action to construct and operate new</w:t>
      </w:r>
      <w:r>
        <w:rPr>
          <w:rFonts w:ascii="Arial" w:cs="Arial" w:eastAsia="Arial" w:hAnsi="Arial"/>
          <w:sz w:val="16"/>
          <w:szCs w:val="16"/>
          <w:i w:val="1"/>
          <w:iCs w:val="1"/>
          <w:color w:val="auto"/>
        </w:rPr>
        <w:t xml:space="preserve"> </w:t>
      </w:r>
      <w:r>
        <w:rPr>
          <w:rFonts w:ascii="Arial" w:cs="Arial" w:eastAsia="Arial" w:hAnsi="Arial"/>
          <w:sz w:val="16"/>
          <w:szCs w:val="16"/>
          <w:color w:val="auto"/>
        </w:rPr>
        <w:t>gaming projects or invest in such projects located in the Asian region (including new gaming projects in Macau) or elsewhere, which, along with their current operations, including City of Dreams and Altira Macau, may divert their attention and resources. For example,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90" w:lineRule="auto"/>
        <w:rPr>
          <w:sz w:val="20"/>
          <w:szCs w:val="20"/>
          <w:color w:val="auto"/>
        </w:rPr>
      </w:pPr>
      <w:r>
        <w:rPr>
          <w:rFonts w:ascii="Arial" w:cs="Arial" w:eastAsia="Arial" w:hAnsi="Arial"/>
          <w:sz w:val="16"/>
          <w:szCs w:val="16"/>
          <w:color w:val="auto"/>
        </w:rPr>
        <w:t>2015, Melco Resorts opened City of Dreams Manila, a casino, hotel, retail and entertainment resort in Manila, the Philippines. In 2019, Melco Resorts acquired from Melco International a 75% equity interest in the City of Dreams Mediterranean project, which is currently under development, as well as the temporary and satellite casinos opened prior to the official launch of the City of Dreams Mediterranean project. We could face competition from these other gaming projects. Due to the Management and Shared Services Arrangements we have with Melco Resorts, should Melco Resorts decide to focus more attention on gaming projects located in other areas, including in jurisdictions that may be expanding or commencing their gaming industries, or should economic conditions or other factors result in a significant decrease in gaming revenues and number of patrons in Macau, Melco Resorts may make strategic decisions to focus on their other projects rather than us, which could adversely affect our development and operation of Studio City and future growth.</w:t>
      </w:r>
    </w:p>
    <w:p>
      <w:pPr>
        <w:spacing w:after="0" w:line="71" w:lineRule="exact"/>
        <w:rPr>
          <w:sz w:val="20"/>
          <w:szCs w:val="20"/>
          <w:color w:val="auto"/>
        </w:rPr>
      </w:pPr>
    </w:p>
    <w:p>
      <w:pPr>
        <w:ind w:left="1080" w:hanging="424"/>
        <w:spacing w:after="0" w:line="275"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Related Party Transactions. </w:t>
      </w:r>
      <w:r>
        <w:rPr>
          <w:rFonts w:ascii="Arial" w:cs="Arial" w:eastAsia="Arial" w:hAnsi="Arial"/>
          <w:sz w:val="17"/>
          <w:szCs w:val="17"/>
          <w:color w:val="auto"/>
        </w:rPr>
        <w:t>We have entered into a number of related party transactions, including the Management and Shared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that we believe allow us to leverage off the experience and scale of Melco Resorts. While these arrangements were entered into at pre-agreed rates that we believe are commercially reasonable, the determination of such commercial terms were subject to judgment and estimates and we may have obtained different terms for similar types of services had we entered into such arrangements with independent third parties or had we not been a subsidiary of Melco Resorts.</w:t>
      </w:r>
    </w:p>
    <w:p>
      <w:pPr>
        <w:spacing w:after="0" w:line="81" w:lineRule="exact"/>
        <w:rPr>
          <w:rFonts w:ascii="Arial" w:cs="Arial" w:eastAsia="Arial" w:hAnsi="Arial"/>
          <w:sz w:val="17"/>
          <w:szCs w:val="17"/>
          <w:color w:val="auto"/>
        </w:rPr>
      </w:pPr>
    </w:p>
    <w:p>
      <w:pPr>
        <w:ind w:left="1080" w:hanging="424"/>
        <w:spacing w:after="0" w:line="26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Our Board Members and Executive Officers May Have Conflicts of Interest</w:t>
      </w:r>
      <w:r>
        <w:rPr>
          <w:rFonts w:ascii="Arial" w:cs="Arial" w:eastAsia="Arial" w:hAnsi="Arial"/>
          <w:sz w:val="17"/>
          <w:szCs w:val="17"/>
          <w:color w:val="auto"/>
        </w:rPr>
        <w:t>. Certain of our directors are also the directors and/or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of Melco Resorts, our property general manager serves on Melco Resorts’ executive committee and our chief financial officer is an executive officer of Melco Resorts. In addition, our senior management team (including staff of Melco Resorts designated to Studio City under the Management and Shared Services Arrangements) also has reporting obligations to Melco Resorts. Certain of our directors have also been appointed by New Cotai. These relationships could create, or appear to create, conflicts of interest when these persons are faced with decisions with potentially different implications for Melco Resorts or New Cotai, as the case may be, and us. See “— Risks Relating to Our Business — We rely on services provided by subsidiaries of Melco Resorts, including hiring and training of personnel for Studio City” and “— Certain of our directors and executive officers hold a substantial amount of share options, restricted shares and ordinary shares of Melco Resorts, which could create an appearance of potential conflicts of interests.” While we have appointed independent directors to our board of directors, and our audit and risk committee consists solely of independent directors, due to the nature of their role as independent directors, such directors may not have access to the same information, resources and support as directors who are also directors and/or executive officers of Melco Resorts, which may hinder their ability to eliminate all conflicts of interest presented by our relationships with Melco Resorts.</w:t>
      </w:r>
    </w:p>
    <w:p>
      <w:pPr>
        <w:spacing w:after="0" w:line="91" w:lineRule="exact"/>
        <w:rPr>
          <w:rFonts w:ascii="Arial" w:cs="Arial" w:eastAsia="Arial" w:hAnsi="Arial"/>
          <w:sz w:val="17"/>
          <w:szCs w:val="17"/>
          <w:color w:val="auto"/>
        </w:rPr>
      </w:pPr>
    </w:p>
    <w:p>
      <w:pPr>
        <w:jc w:val="both"/>
        <w:ind w:left="1080" w:right="24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Developing Business Relationships with Melco Resorts’ Competitors</w:t>
      </w:r>
      <w:r>
        <w:rPr>
          <w:rFonts w:ascii="Arial" w:cs="Arial" w:eastAsia="Arial" w:hAnsi="Arial"/>
          <w:sz w:val="18"/>
          <w:szCs w:val="18"/>
          <w:color w:val="auto"/>
        </w:rPr>
        <w:t>. So long as Melco Resorts remains our controlling shareholder, we</w:t>
      </w:r>
      <w:r>
        <w:rPr>
          <w:rFonts w:ascii="Arial" w:cs="Arial" w:eastAsia="Arial" w:hAnsi="Arial"/>
          <w:sz w:val="18"/>
          <w:szCs w:val="18"/>
          <w:i w:val="1"/>
          <w:iCs w:val="1"/>
          <w:color w:val="auto"/>
        </w:rPr>
        <w:t xml:space="preserve"> </w:t>
      </w:r>
      <w:r>
        <w:rPr>
          <w:rFonts w:ascii="Arial" w:cs="Arial" w:eastAsia="Arial" w:hAnsi="Arial"/>
          <w:sz w:val="18"/>
          <w:szCs w:val="18"/>
          <w:color w:val="auto"/>
        </w:rPr>
        <w:t>may be limited in our ability to do business with its competitors, such as other gaming operators in Macau. This may limit our ability to market our services for the best interests of our company and our other shareholders.</w:t>
      </w:r>
    </w:p>
    <w:p>
      <w:pPr>
        <w:spacing w:after="0" w:line="184" w:lineRule="exact"/>
        <w:rPr>
          <w:sz w:val="20"/>
          <w:szCs w:val="20"/>
          <w:color w:val="auto"/>
        </w:rPr>
      </w:pPr>
    </w:p>
    <w:p>
      <w:pPr>
        <w:ind w:left="120" w:right="60" w:firstLine="991"/>
        <w:spacing w:after="0" w:line="272" w:lineRule="auto"/>
        <w:rPr>
          <w:sz w:val="20"/>
          <w:szCs w:val="20"/>
          <w:color w:val="auto"/>
        </w:rPr>
      </w:pPr>
      <w:r>
        <w:rPr>
          <w:rFonts w:ascii="Arial" w:cs="Arial" w:eastAsia="Arial" w:hAnsi="Arial"/>
          <w:sz w:val="17"/>
          <w:szCs w:val="17"/>
          <w:color w:val="auto"/>
        </w:rPr>
        <w:t>We expect to operate, for as long as Melco Resorts is our controlling shareholder, as a subsidiary of Melco Resorts. Melco Resorts may from time to time make strategic decisions that it believes are in the best interests of its business as a whole, including our company. These decisions may be different from the decisions that we would have made on our own. Melco Resorts’ decisions with respect to us or our business may be resolved in ways that favor Melco Resorts and therefore Melco Resorts’ own shareholders, which may not coincide with the interests of our other shareholders. We may not be able to resolve any potential conflicts, and even if we do so, the resolution may be less favorable to us than if we were dealing with a non-controlling shareholder. Even if both parties seek to transact business on terms intended to approximate those that could have been achieved among unaffiliated parties, this may not succeed in practice.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Certain of our directors and executive officers hold a substantial amount of share options, restricted shares and ordinary shares of Melco Resorts, which could create an appearance of potential conflicts of interests.</w:t>
      </w:r>
    </w:p>
    <w:p>
      <w:pPr>
        <w:spacing w:after="0" w:line="62"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Certain of our directors and executive officers hold a substantial amount of share options, restricted shares and ordinary shares of Melco Resorts, and the value of such share options and restricted shares are related to the value of the ordinary shares of Melco Resorts. In addition, our directors and executive officers are eligible to participate in the share incentive plan of Melco Resorts. See “Item 6. Directors, Senior Management and Employees — B. Compensation of Directors and Executive Officers — Share Incentive Plan.” The direct and indirect interests of our directors and executive officers in the ordinary shares of Melco Resorts and the presence of certain directors and executive officers of Melco Resorts on our board of directors or senior executive team could create, or appear to create, conflicts of interest with respect to matters involving both Melco Resorts and us that could have different implications for Melco Resorts and us. For example, potential conflicts of interest could arise in connection with the resolution of any dispute between Melco Resorts and us, or the affiliates of Melco Resorts and us, regarding the terms of the arrangements we have with Melco Resorts or its affiliates. These arrangements include the Services and Right to Use Arrangements, the Management and Shared Services Arrangements and any commercial agreements between Melco Resorts and us, or the affiliates of Melco Resorts and us. Potential conflicts of interest may also arise out of any commercial arrangements that Melco Resorts and us may enter into in the future. Similar potential conflicts may also arise related to the pursuit of certain opportunities, including growth opportunities in Macau or elsewhere.</w:t>
      </w:r>
    </w:p>
    <w:p>
      <w:pPr>
        <w:spacing w:after="0" w:line="276"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Changes in Melco Resorts’ share ownership, including a change of control of its subsidiaries’ shares, could result in our inability to draw loans or cause events of default under our indebtedness, or could require us to prepay or make offers to repurchase certain indebtedness.</w:t>
      </w:r>
    </w:p>
    <w:p>
      <w:pPr>
        <w:spacing w:after="0" w:line="16"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Credit facility agreements relating to certain of our indebtedness contain change of control provisions, including in respect of Melco Resorts’ obligations relating to the control and/or ownership of certain of its and our subsidiaries including their and our assets. Under the terms of such credit facility agreements, the occurrence of certain change of control events, including a decline below certain thresholds in the aggregate direct or indirect shareholdings in certain of Melco Resorts’ subsidiaries, including Studio City Holdings Five Limited, Studio City Finance and Studio City Investments, may result in an event of default and/or a requirement to prepay the credit facilities in relation to such indebtedness in full.</w:t>
      </w:r>
    </w:p>
    <w:p>
      <w:pPr>
        <w:spacing w:after="0" w:line="161"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The terms of the agreement of certain indebtedness also contain change of control provisions whereby the occurrence of a relevant change of control event will require us to offer to repurchase the securities at a price equal to 101% of their principal amount, plus accrued and unpaid interest and, if any, additional amounts and other amount specified under such indebtedness to the date of repurchase.</w:t>
      </w:r>
    </w:p>
    <w:p>
      <w:pPr>
        <w:spacing w:after="0" w:line="165" w:lineRule="exact"/>
        <w:rPr>
          <w:sz w:val="20"/>
          <w:szCs w:val="20"/>
          <w:color w:val="auto"/>
        </w:rPr>
      </w:pPr>
    </w:p>
    <w:p>
      <w:pPr>
        <w:jc w:val="both"/>
        <w:ind w:left="120" w:right="80" w:firstLine="991"/>
        <w:spacing w:after="0" w:line="286" w:lineRule="auto"/>
        <w:rPr>
          <w:sz w:val="20"/>
          <w:szCs w:val="20"/>
          <w:color w:val="auto"/>
        </w:rPr>
      </w:pPr>
      <w:r>
        <w:rPr>
          <w:rFonts w:ascii="Arial" w:cs="Arial" w:eastAsia="Arial" w:hAnsi="Arial"/>
          <w:sz w:val="17"/>
          <w:szCs w:val="17"/>
          <w:color w:val="auto"/>
        </w:rPr>
        <w:t>Any occurrence of these events could be outside our control and could result in events of default and cross-defaults which may cause the termination and acceleration of our credit facilities and other indebtedness and potential enforcement of remedies by our lenders or note holders (as the case may be), which would have a material adverse effect on our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Conducting Business and Operating in Macau</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and adversely affected by any economic slowdown in Macau, China and nearby Asia regions as well as globally.</w:t>
      </w:r>
    </w:p>
    <w:p>
      <w:pPr>
        <w:spacing w:after="0" w:line="62"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All of our operations are in Macau. Accordingly, our results of operations and financial condition may be materially adversely affected by significant political, social and economic developments in Macau and China. A slowdown in economic growth in China could adversely impact the number of visitors from China to Studio City as well as the amount they are willing to spend in our hotel, restaurants and other facilities as well as at Studio City Casino, which could have a material adverse effect on our results of the operations and financial condition. A number of measures taken by the Chinese government in recent years to control the rate of</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60"/>
          </w:cols>
          <w:pgMar w:left="320" w:top="486"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economic growth, including those designed to tighten credit and liquidity, have led to a slowdown of China’s economy. According to the National Bureau of Statistics of China, China’s GDP growth rate was 2.3% in 2020, which was much lower than the 6.0% in 2019, and any slowdown in its future growth may have an adverse impact on financial markets, currency exchange rates, as well as the spending of visitors in Macau and Studio City. In addition, in 2020, the value of the Renminbi appreciated approximately 6.7% against the U.S. Dollar.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77"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In addition, the global macroeconomic environment is facing significant challenges, including the higher prospect of a global recession caused by the effect of a large-scale global COVID-19 pandemic, and dampened business sentiment and outlook. These events have also caused significant declines as well as volatility in global equity and debt capital markets, further elevating the risk of an extended global economic downturn or even a global recession that could in turn trigger a severe contraction of liquidity in the global credit markets. Even prior to these events, the global economy was facing the end of quantitative easing by the U.S. Federal Reserve, the economic slowdown in the Eurozone in 2014, uncertainties relating to the United Kingdom’s withdrawal from the European Union, the continuation of international trade conflicts, including the trade disputes between the United States and China and the potential further escalation of trade tariffs and related retaliatory measures between these two countries and globally. The United States and China have, in recent years, been involved in disputes over trade policies and practices and each has implemented or proposed to implement tariffs on certain imported products. There is considerable uncertainty over the impact and duration of the COVID-19 pandemic on the global macroeconomic environment. In addition, tensions between the United States and China have continued to escalate in 2020 in connection with ongoing trade disputes as well as other political factors, including the COVID-19 pandemic and the status of Hong Kong. Continued rising political tensions could reduce levels of trade, investment, technological exchanges and other economic activities between the two major economies, which would have a material adverse effect on global economic conditions and the stability of global financial markets.</w:t>
      </w:r>
    </w:p>
    <w:p>
      <w:pPr>
        <w:spacing w:after="0" w:line="174"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Considerable uncertainty over the long-term effects of the expansionary monetary and fiscal policies adopted by the central banks and financial authorities of some of the world’s leading economies, including the United States and China, remains. There have been concerns over conflicts, unrest and terrorist threats in the Middle East, Europe and Africa, including between the United States and Iran, which have resulted in volatility in oil and other markets, and over the conflicts involving Ukraine and Syria and potential conflicts involving the Korean peninsula. Any severe or prolonged slowdown in the global economy or increase in international trade or political conflicts may materially and adversely affect our business, results of operations and financial condition. In addition, continued turbulence in the international markets may adversely affect our ability to access capital markets to meet liquidity needs.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Studio City Casino’s operations could be adversely affected by foreign exchange restrictions on the Renminbi.</w:t>
      </w:r>
    </w:p>
    <w:p>
      <w:pPr>
        <w:spacing w:after="0" w:line="117"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7"/>
          <w:szCs w:val="17"/>
          <w:color w:val="auto"/>
        </w:rPr>
        <w:t>Gaming operators in Macau are currently prohibited from accepting wagers in Renminbi, the currency of China. There are currently restrictions on the export of the Renminbi outside of China, including to Macau. For example, a Chinese citizen traveling abroad is only allowed to take a total of RMB20,000 plus the equivalent of up to US$5,000 out of China. Moreover, an annual limit of RMB100,000 (US$15,369) on the aggregate amount that can be withdrawn overseas from Chinese bank accounts was set by the Chinese government, with effect on January 1, 2018. In addition, the Chinese government’s ongoing anti-corruption campaign has led to tighter monetary transfer regulations, including real-time monitoring of certain financial channels, reducing the amount that China-issued ATM cardholders can withdraw in each withdrawal, imposing a limit on the annual aggregate amount that may be withdrawn and the launch of facial recognition and identity card checks with respect to certain ATM users, which could disrupt the amount of money visitors can bring from mainland China to Macau. Furthermore, the Macau government has launched identity card checks with respect to certain ATM</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users and recently recommended banks perform adequate due diligence and monitoring of merchants with respect to usage of point-of-sales machines, such as cash registers where a customer is charged for goods or services purchased. These measures may limit liquidity availability and curb capital outflows. In addition, on June 12, 2017, a law with respect to the control of cross-border transportation of cash and other negotiable instruments to the bearer was enacted and came into effect on November 1, 2017. In accordance with such law, all individuals entering Macau with an amount in cash or negotiable instrument to the bearer equal to or higher than the amount of MOP120,000 (US$15,027) as determined by the Chief Executive of Macau are required to declare such amount to the customs authorities. For further details, please refer to “Item 4. Information on the Company — B. Business Overview — Control of Cross-border Transportation of Cash Regulations.” Restrictions on the export of the Renminbi and related measures may impede the flow of customers from China to Macau, inhibit the growth of gaming in Macau and negatively impact the operation of Studio City Casino.</w:t>
      </w:r>
    </w:p>
    <w:p>
      <w:pPr>
        <w:spacing w:after="0" w:line="273"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Policies, campaigns and measures adopted by the PRC and/or Macau governments from time to time could materially and adversely affect our operations.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operating results may be adversely affected by:</w:t>
      </w:r>
    </w:p>
    <w:p>
      <w:pPr>
        <w:spacing w:after="0" w:line="131" w:lineRule="exact"/>
        <w:rPr>
          <w:sz w:val="20"/>
          <w:szCs w:val="20"/>
          <w:color w:val="auto"/>
        </w:rPr>
      </w:pPr>
    </w:p>
    <w:p>
      <w:pPr>
        <w:ind w:left="1080" w:right="5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tightening of travel restrictions to Macau or from China, including due to the outbreak of infectious diseases, such as the COVID-19 outbreak;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austerity measures which may be imposed by the Chinese government;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government policies, laws and regulations, or in the interpretation or enforcement of these policies, laws and regulations;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cross-border fund transfer and/or foreign exchange regulations or policies effected by the Chinese and/or Macau governments;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measures taken by the Chinese government to deter marketing of gaming activities to mainland Chinese residents by foreign casinos;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measures that may be introduced to control inflation, such as interest rate increases or bank account withdrawal controls;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rate or method of taxation by the Macau government.</w:t>
      </w:r>
    </w:p>
    <w:p>
      <w:pPr>
        <w:spacing w:after="0" w:line="225"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A significant number of the customers of Studio City Casino come from, and are expected to continue to come from, China. Any travel restrictions imposed by China, such as the travel restrictions imposed due to the COVID-19 outbreak, could negatively affect the number of patrons visiting Studio City from China. Since mid-2003, under the Individual Visit Scheme, or IVS, Chinese citizens from certain cities have been able to travel to Macau individually instead of as part of a tour group. In mid-2008 through 2010, the Chinese government adjusted its visa policy and limited the number of visits Chinese citizens may make to Macau in a given time period. China also banned “zero fare tours,” popular among visitors to Macau from mainland China, whereby travelers avail the services of tour guides at minimal or no cost if they agree to shop in designated areas in exchange. Further, in 2014, the Chinese government and the Macau government tightened visa transit policies for mainland China residents. Starting on July 1, 2014, the Macau government has tightened transit visa rule implementation, limiting such travelers to a five-day stay, with documented proof that they were going to a third destination. From July 2015, Macau eased the restrictions and again allowed mainland Chinese passport holders who transit via the city to stay for up to seven days. While the Chinese government has in the past restricted and then loosened IVS travel frequently, it has recently indicated its intention to maintain tourism development by opening the IVS to more Chinese cities to visit Macau. In March 2016, for instance, the Ministry of Public Security of China announced a new practice to make it easier for some mainland Chinese citizens to apply for the IVS visa. It is unclear whether these and other measures will continue to be in effect or become more restrictive in the future. For instance, as a result of the COVID-19 outbreak, the PRC government suspended the issuance of group and individual travel visas from China to Macau. The IVS program was fully resumed by the PRC government on September 23, 2020. A decrease in the number of visitors from China would adversely affect Studio City’s results of operations.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In addition, certain policies and campaigns implemented by the Chinese government may lead to a decline in the number of patrons visiting Studio City and the amount of spending by such patrons. The strength and profitability of our business depends on consumer demand for integrated resorts in general and for the type of luxury amenities that a gaming operator offers. Initiatives and campaigns undertaken by the Chinese government in recent years have resulted in an overall dampening effect on the behavior of Chinese consumers and a decrease in their spending, particularly in luxury good sales and other discretionary spending. For example, the Chinese government’s ongoing anti-corruption campaign has had an overall dampening effect on the behavior of Chinese consumers and their spending patterns both domestically and abroad. In addition, the number of patrons visiting Studio City may be affected by the Chinese government’s focus on deterring marketing of gaming to mainland Chinese citizens by casinos and its initiatives to tighten monetary transfer regulations, increase monitoring of various transactions, including bank or credit card transactions, reduce the amount that China-issued ATM cardholders can withdraw in each withdrawal and impose a limit on the annual aggregate amount that may be withdrawn. It has also been reported that the Chinese government is developing its digital currency and has performed certain test trials in its application within mainland China. If a digital currency is adopted by the Macau government for gaming operations in Macau, there could be a material and adverse impact on Studio City Casino’s VIP rolling chip operations if limitations on transactions per player are also introduced in conjunction with the adoption of the digital currency. In addition, amendments to China’s criminal laws, such that anyone that organizes trips for Chinese citizens for the purpose of gambling outside of mainland China, including Macau, may be deemed to have conducted a criminal act, came into effect on March 1, 2021. It is currently unclear whether, and to what extent, these amendments will adversely impact the operations of gaming promoters and any knock-on effects on VIP rolling chip operations as well as on the premium direct, premium mass and mass market segments. Further, prior convictions of staff of a foreign casino in China in relation to gaming related activities in China have also created regulatory uncertainty on marketing activities in China. A wide interpretation, application or enforcement of these amendments by the PRC governmental authorities could have a material and adverse effect on our business and prospects, financial condition and results of operations.</w:t>
      </w:r>
    </w:p>
    <w:p>
      <w:pPr>
        <w:spacing w:after="0" w:line="169" w:lineRule="exact"/>
        <w:rPr>
          <w:sz w:val="20"/>
          <w:szCs w:val="20"/>
          <w:color w:val="auto"/>
        </w:rPr>
      </w:pPr>
    </w:p>
    <w:p>
      <w:pPr>
        <w:ind w:left="120" w:right="100" w:firstLine="991"/>
        <w:spacing w:after="0" w:line="293" w:lineRule="auto"/>
        <w:rPr>
          <w:sz w:val="20"/>
          <w:szCs w:val="20"/>
          <w:color w:val="auto"/>
        </w:rPr>
      </w:pPr>
      <w:r>
        <w:rPr>
          <w:rFonts w:ascii="Arial" w:cs="Arial" w:eastAsia="Arial" w:hAnsi="Arial"/>
          <w:sz w:val="16"/>
          <w:szCs w:val="16"/>
          <w:color w:val="auto"/>
        </w:rPr>
        <w:t>Our operations in Macau are also exposed to the risk of changes in laws and policies that govern operations of Macau-based companies. Tax laws and regulations may also be subject to amendment or different interpretation and implementation, thereby adversely affecting our profitability after tax. Further, certain terms of the Gaming Operator’s subconcession may be subject to renegotiations with the Macau government in the future, including the premium amount the Gaming Operator will be obligated to pay the Macau government in order to continue operations at Studio City Casino. As Studio City Entertainment is expected to fund part of the premium for the operation of Studio City Casino, increased premium due to any renegotiations could have a material adverse effect on the results of our operations and financial condition.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Uncertainties in the legal systems in the PRC may expose us to risks.</w:t>
      </w:r>
    </w:p>
    <w:p>
      <w:pPr>
        <w:spacing w:after="0" w:line="117"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Gaming related activities in the PRC, including marketing activities, are strictly regulated by the PRC government and subject to various PRC laws and regulations. The PRC legal system continues to rapidly evolve and the interpretations of many laws, regulations and rules are not always uniform.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and operations in the PRC is or will be consistent with the interpretation and application by the PRC governmental authorities. These uncertainties may impede our ability to assess our legal rights or risks relating to our business and activities. Any changes in the laws and regulations, or in the interpretation or enforcement of these laws and regulations, which affect gaming related activities in the PRC could have a material and adverse effect on our business and prospects, financial condition and results of operations.</w:t>
      </w:r>
    </w:p>
    <w:p>
      <w:pPr>
        <w:spacing w:after="0" w:line="181"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In addition, PRC administrative and court authorities have significant discretion in interpreting and implementing statutory terms. Such discretion of the PRC administrative and court authorities increases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uncertainties in the PRC legal system and makes it difficult to evaluate the likely outcome of any administrative and court proceedings in the PRC. Any litigation or proceeding in the PRC may be protracted and result in substantial costs and diversion of our resources and management attention. Any such litigation or proceeding could have a material adverse effect on our business, reputation, financial condition and results of operations.</w:t>
      </w:r>
    </w:p>
    <w:p>
      <w:pPr>
        <w:spacing w:after="0" w:line="257"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b w:val="1"/>
          <w:bCs w:val="1"/>
          <w:i w:val="1"/>
          <w:iCs w:val="1"/>
          <w:color w:val="auto"/>
        </w:rPr>
        <w:t>Terrorism, violent criminal acts, the uncertainty of war, widespread health epidemics or pandemics, political developments and other factors affecting discretionary consumer spending and leisure travel may reduce visitation to Macau and harm our operating results.</w:t>
      </w:r>
    </w:p>
    <w:p>
      <w:pPr>
        <w:spacing w:after="0" w:line="16"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The strength and profitability of our business will depend on consumer demand for integrated resorts and leisure travel in general. Terrorist and violent criminal activities in Europe, the United States, Southeast Asia and elsewhere, military conflicts in the Middle East, social events and natural disasters such as typhoons, tsunamis and earthquakes, and outbreaks of widespread health epidemics or pandemics, including the COVID-19 outbreak, among other things, have negatively affected travel and leisure expenditures. Terrorism, other criminal acts of violence or social events and widespread health epidemics or pandemics could have a negative impact on international travel and leisure expenditures, including lodging, gaming and tourism. We cannot predict the extent to which such acts may affect us, directly or indirectly, in the future. In addition, introduction of the National Security Law for Hong Kong and the U.S. State Department’s statements in reaction to it has resulted in further deterioration in the Sino-U.S. bilateral relationship, which could negatively affect the Chinese economy and its demand for gaming and leisure activities. See also “— The COVID-19 pandemic has had, and will likely continue to have, a material and adverse effect on our business, financial condition and results of operations” and “— 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172"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In addition,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airline travel could materially adversely affect our business, results of operations and financial condition.</w:t>
      </w:r>
    </w:p>
    <w:p>
      <w:pPr>
        <w:spacing w:after="0" w:line="295"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1" w:lineRule="exact"/>
        <w:rPr>
          <w:sz w:val="20"/>
          <w:szCs w:val="20"/>
          <w:color w:val="auto"/>
        </w:rPr>
      </w:pPr>
    </w:p>
    <w:p>
      <w:pPr>
        <w:ind w:left="120" w:right="40" w:firstLine="991"/>
        <w:spacing w:after="0" w:line="289" w:lineRule="auto"/>
        <w:rPr>
          <w:sz w:val="20"/>
          <w:szCs w:val="20"/>
          <w:color w:val="auto"/>
        </w:rPr>
      </w:pPr>
      <w:r>
        <w:rPr>
          <w:rFonts w:ascii="Arial" w:cs="Arial" w:eastAsia="Arial" w:hAnsi="Arial"/>
          <w:sz w:val="16"/>
          <w:szCs w:val="16"/>
          <w:color w:val="auto"/>
        </w:rPr>
        <w:t>Our business could be, and in certain cases, such as the COVID-19 pandemic, has been materially and adversely affected by the outbreak of widespread health epidemics or pandemics, such as swine flu, avian influenza, severe acute respiratory syndrome (SARS), Middle East respiratory syndrome (MERS), Zika and Ebola. The occurrence of such health epidemics or pandemics, prolonged outbreak of an epidemic illness or other adverse public health developments in China or elsewhere in the world could materially disrupt our business and operations. Such events could significantly impact our industry and cause severe travel restrictions between China and Macau as well as temporary or prolonged closures of the facilities we use for our operations and disruptions to public transportation, which would severely disrupt our operations and have a material adverse effect on our business, financial condition and results of operations. Such events may also indirectly and materially adversely impact our operations by negatively impacting the outlook, growth or business sentiment in the global, regional or local economy. See also “— The COVID-19 pandemic has had, and will likely continue to have, a material and adverse effect on our business, financial condition and results of operations.”</w:t>
      </w:r>
    </w:p>
    <w:p>
      <w:pPr>
        <w:spacing w:after="0" w:line="166" w:lineRule="exact"/>
        <w:rPr>
          <w:sz w:val="20"/>
          <w:szCs w:val="20"/>
          <w:color w:val="auto"/>
        </w:rPr>
      </w:pPr>
    </w:p>
    <w:p>
      <w:pPr>
        <w:ind w:left="120" w:right="220" w:firstLine="991"/>
        <w:spacing w:after="0" w:line="311" w:lineRule="auto"/>
        <w:rPr>
          <w:sz w:val="20"/>
          <w:szCs w:val="20"/>
          <w:color w:val="auto"/>
        </w:rPr>
      </w:pPr>
      <w:r>
        <w:rPr>
          <w:rFonts w:ascii="Arial" w:cs="Arial" w:eastAsia="Arial" w:hAnsi="Arial"/>
          <w:sz w:val="16"/>
          <w:szCs w:val="16"/>
          <w:color w:val="auto"/>
        </w:rPr>
        <w:t>Several countries, including Japan, South Korea and Vietnam, have registered cases of avian flu since the end of 2020. Fully effective avian flu vaccines have not been developed and there is evidence that the H5N1 virus is constantly evolving so we cannot assure you that an effective vaccine can be discovered or commercially manufactured in time to protect against the potential avian flu pandemic. In the first half of 2003, certain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countries in Asia experienced an outbreak of SARS, a highly contagious form of atypical pneumonia, which seriously interrupted economic activities and caused the demand for goods and services to plummet in the affected regions.</w:t>
      </w:r>
    </w:p>
    <w:p>
      <w:pPr>
        <w:spacing w:after="0" w:line="170" w:lineRule="exact"/>
        <w:rPr>
          <w:sz w:val="20"/>
          <w:szCs w:val="20"/>
          <w:color w:val="auto"/>
        </w:rPr>
      </w:pPr>
    </w:p>
    <w:p>
      <w:pPr>
        <w:ind w:left="120" w:right="40" w:firstLine="991"/>
        <w:spacing w:after="0" w:line="270" w:lineRule="auto"/>
        <w:rPr>
          <w:sz w:val="20"/>
          <w:szCs w:val="20"/>
          <w:color w:val="auto"/>
        </w:rPr>
      </w:pPr>
      <w:r>
        <w:rPr>
          <w:rFonts w:ascii="Arial" w:cs="Arial" w:eastAsia="Arial" w:hAnsi="Arial"/>
          <w:sz w:val="17"/>
          <w:szCs w:val="17"/>
          <w:color w:val="auto"/>
        </w:rPr>
        <w:t>In addition to the ongoing outbreak of COVID-19, there can be no assurance that an outbreak of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 economic conditions of countries in Asia. In addition, our operations could be disrupted if any of our facilities or employees or others involved in our operations were suspected of having COVID-19, swine flu, avian influenza, SARS, MERS, Zika or Ebola as this could require us to quarantine some or all of such employees or persons or disinfect the facilities used for our operations. Furthermore, any future outbreak may restrict economic activities in affected regions, which could result in reduced business volume and the temporary closure of our facilities or otherwise disrupt our business operations and adversely affect our results of operations. Our revenues and profitability could be materially reduced to the extent that a health epidemic or other outbreak harms the global or PRC economy in general.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Macau is susceptible to typhoons and heavy rainstorms that may damage our property and disrupt our operations.</w:t>
      </w:r>
    </w:p>
    <w:p>
      <w:pPr>
        <w:spacing w:after="0" w:line="117" w:lineRule="exact"/>
        <w:rPr>
          <w:sz w:val="20"/>
          <w:szCs w:val="20"/>
          <w:color w:val="auto"/>
        </w:rPr>
      </w:pPr>
    </w:p>
    <w:p>
      <w:pPr>
        <w:ind w:left="120" w:right="60" w:firstLine="991"/>
        <w:spacing w:after="0" w:line="290" w:lineRule="auto"/>
        <w:rPr>
          <w:sz w:val="20"/>
          <w:szCs w:val="20"/>
          <w:color w:val="auto"/>
        </w:rPr>
      </w:pPr>
      <w:r>
        <w:rPr>
          <w:rFonts w:ascii="Arial" w:cs="Arial" w:eastAsia="Arial" w:hAnsi="Arial"/>
          <w:sz w:val="16"/>
          <w:szCs w:val="16"/>
          <w:color w:val="auto"/>
        </w:rPr>
        <w:t>Macau’s subtropical climate and location on the South China Sea renders it susceptible to typhoons, heavy rainstorms and other natural disasters. In the event of a major typhoon, such as Typhoon Hato in August 2017, Typhoon Mangkhut in September 2018 or other natural disaster in Macau, Studio City may be severely damaged, our operations may be materially and adversely affected and Studio City Casino may even be required to temporarily cease operations by regulatory authorities. Any flooding, unscheduled cessation of operations, interruption in the technology or transportation services or interruption in the supply of public utilities is likely to result in an immediate, and possibly substantial, loss of revenues due to a shutdown of Studio City, including operations at Studio City Casino. Although we benefit from certain insurance coverage with respect to these events, our coverage may not be sufficient to fully indemnify us against all direct and indirect costs, including loss of business, which could result from substantial damage to, or partial or complete destruction of, Studio City or other damages to the infrastructure or economy of Macau.</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Shares and ADSs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are a holding company. Our sole material asset is our equity interest in MSC Cotai and we will be accordingly dependent upon distributions from MSC Cotai to pay dividends and cover our corporate and other expenses.</w:t>
      </w:r>
    </w:p>
    <w:p>
      <w:pPr>
        <w:spacing w:after="0" w:line="62"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We are a holding company and have no material assets other than our equity interest in MSC Cotai. We have also undertaken that we will not own equity interests in any other entity other than MSC Cotai and that we will contribute to MSC Cotai all net proceeds received by us from sales of equity securities and sales of assets. Please see “Item 7. Major Shareholders and Related Party Transactions — B. Related Party Transactions — Pre-IPO Organizational Transactions.” Because we will have no independent means of generating revenue, our ability to pay dividends, if any, and cover our corporate and other expenses is dependent on the ability of MSC Cotai to generate revenue to pay such dividends and expenses. This ability, in turn, may depend on the ability of MSC Cotai’s subsidiaries to make distributions to it. The ability of MSC Cotai and its subsidiaries to make such distributions will be subject to, among other things, (i) the applicable laws and regulations of the relevant jurisdictions that may limit the amount of funds available for distribution, (ii) restrictions in the Participation Agreement or relevant debt instruments issued by MSC Cotai or its subsidiaries in which it directly or indirectly holds an equity interest and (iii) the availability of funds to distribute. For example, if the COVID-19 pandemic continues to disrupt our operations or escalates, it may have a material adverse effect on the availability of funds for MSC Cotai and its subsidiaries to distribute. To the extent that we need funds and MSC Cotai or its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86"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40"/>
        <w:spacing w:after="0" w:line="342" w:lineRule="auto"/>
        <w:rPr>
          <w:sz w:val="20"/>
          <w:szCs w:val="20"/>
          <w:color w:val="auto"/>
        </w:rPr>
      </w:pPr>
      <w:r>
        <w:rPr>
          <w:rFonts w:ascii="Arial" w:cs="Arial" w:eastAsia="Arial" w:hAnsi="Arial"/>
          <w:sz w:val="16"/>
          <w:szCs w:val="16"/>
          <w:color w:val="auto"/>
        </w:rPr>
        <w:t>subsidiaries are restricted from making such distributions or payments under applicable law or regulation or under the terms of any financing arrangements, or are otherwise unable to provide such funds, our liquidity and financial condition could be materially and adversely affected.</w:t>
      </w:r>
    </w:p>
    <w:p>
      <w:pPr>
        <w:spacing w:after="0" w:line="232"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Our listing was authorized by the Macau government subject to certain conditions imposed on the Gaming Operator, us and our direct and indirect shareholders. Failure by the Gaming Operator, us or our direct and indirect shareholders to comply with such conditions may result in our obligation to delist the ADSs from the New York Stock Exchange or have a material adverse effect on the operation of Studio City Casino.</w:t>
      </w:r>
    </w:p>
    <w:p>
      <w:pPr>
        <w:spacing w:after="0" w:line="4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listing was authorized by the Macau government subject to the continued satisfaction of certain conditions including the following:</w:t>
      </w:r>
    </w:p>
    <w:p>
      <w:pPr>
        <w:spacing w:after="0" w:line="154"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continues to hold, directly or indirectly, 100% of the equity interest of its subsidiary, Studio City Entertainment;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Melco Resorts continues to hold, directly or indirectly, at least 50.1% of the equity interest in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Melco International continues to hold, directly or indirectly, the majority of the equity interest in Melco Resorts;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Lawrence Ho, directly or indirectly, continues to hold the majority of the equity interest in Melco International to control such entity.</w:t>
      </w:r>
    </w:p>
    <w:p>
      <w:pPr>
        <w:spacing w:after="0" w:line="248" w:lineRule="exact"/>
        <w:rPr>
          <w:sz w:val="20"/>
          <w:szCs w:val="20"/>
          <w:color w:val="auto"/>
        </w:rPr>
      </w:pPr>
    </w:p>
    <w:p>
      <w:pPr>
        <w:ind w:left="120" w:right="200" w:firstLine="991"/>
        <w:spacing w:after="0" w:line="311" w:lineRule="auto"/>
        <w:rPr>
          <w:sz w:val="20"/>
          <w:szCs w:val="20"/>
          <w:color w:val="auto"/>
        </w:rPr>
      </w:pPr>
      <w:r>
        <w:rPr>
          <w:rFonts w:ascii="Arial" w:cs="Arial" w:eastAsia="Arial" w:hAnsi="Arial"/>
          <w:sz w:val="16"/>
          <w:szCs w:val="16"/>
          <w:color w:val="auto"/>
        </w:rPr>
        <w:t>Under such authorization, the Gaming Operator is required to annually provide the Macau government with evidence with respect to the compliance with the above conditions. In addition, under such authorization, we and the Gaming Operator are also required to comply with the conditions imposed by the Macau government in connection with its approval of our entry into the Services and Right to Use Arrangements.</w:t>
      </w:r>
    </w:p>
    <w:p>
      <w:pPr>
        <w:spacing w:after="0" w:line="149"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The Macau government also has the right to revoke the listing authorization if it deems that the listing is contrary to the public interest or in case of breach of the mentioned conditions. In case of revocation of the listing authorization by the Macau government, we may be required by the Macau government to delist the ADSs from the New York Stock Exchange. Failure to do so could result in the approval of the Services and Right to Use Arrangements being revoked, which would prevent us from receiving any amounts thereunder, in a closure order being issued with respect to the Studio City Casino or in the suspension or termination of the Gaming Operator’s subconcession and consequently we may be unable to offer any gaming facilities at Studio City.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Participation by certain of our principal shareholders in our equity offerings has reduced the available public float for our ADSs.</w:t>
      </w:r>
    </w:p>
    <w:p>
      <w:pPr>
        <w:spacing w:after="0" w:line="117" w:lineRule="exact"/>
        <w:rPr>
          <w:sz w:val="20"/>
          <w:szCs w:val="20"/>
          <w:color w:val="auto"/>
        </w:rPr>
      </w:pPr>
    </w:p>
    <w:p>
      <w:pPr>
        <w:ind w:left="120" w:right="60" w:firstLine="991"/>
        <w:spacing w:after="0" w:line="271" w:lineRule="auto"/>
        <w:rPr>
          <w:sz w:val="20"/>
          <w:szCs w:val="20"/>
          <w:color w:val="auto"/>
        </w:rPr>
      </w:pPr>
      <w:r>
        <w:rPr>
          <w:rFonts w:ascii="Arial" w:cs="Arial" w:eastAsia="Arial" w:hAnsi="Arial"/>
          <w:sz w:val="17"/>
          <w:szCs w:val="17"/>
          <w:color w:val="auto"/>
        </w:rPr>
        <w:t>MCO Cotai, our controlling shareholder, and certain funds managed by Silver Point Capital, L.P., one of our principal shareholders, participated in our initial public offering and were allocated 25,550,000 ADSs, or 77.3%, of the total amount of ADSs offered in our initial public offering at the initial public offering price. In addition, MCO Cotai, New Cotai and certain funds managed by Silver Point Capital, L.P. also participated in the series of private offers we announced in July 2020 and purchased 121,304,652 Class A shares, or 94.4% of the total amount of Class A shares purchased in such offerings. Out of the 47,163,189 ADSs (representing 188,652,756 Class A ordinary shares) outstanding, 15,330,000 ADSs, or 32.5% of such outstanding ADSs, are owned by MCO Cotai and, as of December 31, 2020, 15,392,680, or 32.6%, and 7,693,529 ADSs, or 16.3% of such outstanding ADSs, are owned funds managed by Silver Point, L.P. and New Cotai, respectively. See “Item 7. Major Shareholders and Related Party Transactions — A. Major Shareholders.”</w:t>
      </w:r>
    </w:p>
    <w:p>
      <w:pPr>
        <w:spacing w:after="0" w:line="178" w:lineRule="exact"/>
        <w:rPr>
          <w:sz w:val="20"/>
          <w:szCs w:val="20"/>
          <w:color w:val="auto"/>
        </w:rPr>
      </w:pPr>
    </w:p>
    <w:p>
      <w:pPr>
        <w:ind w:left="120" w:right="100" w:firstLine="991"/>
        <w:spacing w:after="0" w:line="308" w:lineRule="auto"/>
        <w:rPr>
          <w:sz w:val="20"/>
          <w:szCs w:val="20"/>
          <w:color w:val="auto"/>
        </w:rPr>
      </w:pPr>
      <w:r>
        <w:rPr>
          <w:rFonts w:ascii="Arial" w:cs="Arial" w:eastAsia="Arial" w:hAnsi="Arial"/>
          <w:sz w:val="17"/>
          <w:szCs w:val="17"/>
          <w:color w:val="auto"/>
        </w:rPr>
        <w:t>Such purchases and ownership reduced the otherwise available public float for our ADSs and the liquidity of our ADSs relative to what it would have been had these ADSs been purchased by other investors and thereby may adversely impact the trading price of our ADSs.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We have not been in compliance with the New York Stock Exchange requirements for continued listing and as a result our ADSs may be delisted from trading on the New York Stock Exchange, which would have a material effect on us and the liquidity of our ADSs and Class A ordinary shares.</w:t>
      </w:r>
    </w:p>
    <w:p>
      <w:pPr>
        <w:spacing w:after="0" w:line="1"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On February 20, 2020, we announced that we received a notice from the New York Stock Exchange notifying us that we were not in compliance with Section 802.01A of the New York Stock Exchange Listed Company Manual, or the NYSE Manual, which requires the number of total shareholders of the Company’s capital stock be no less than 400 shareholders, or the NYSE Notice. Pursuant to the NYSE Notice, the Company is subject to the procedures set forth in Sections 801 and 802 of the NYSE Manual and was requested to submit a business plan within 90 days of receipt of the NYSE Notice that demonstrates how we expect to return to compliance with the minimum total shareholder requirement within a maximum period of 18 months of receipt of the notice.</w:t>
      </w:r>
    </w:p>
    <w:p>
      <w:pPr>
        <w:spacing w:after="0" w:line="192" w:lineRule="exact"/>
        <w:rPr>
          <w:sz w:val="20"/>
          <w:szCs w:val="20"/>
          <w:color w:val="auto"/>
        </w:rPr>
      </w:pPr>
    </w:p>
    <w:p>
      <w:pPr>
        <w:ind w:left="120" w:firstLine="991"/>
        <w:spacing w:after="0" w:line="283" w:lineRule="auto"/>
        <w:rPr>
          <w:sz w:val="20"/>
          <w:szCs w:val="20"/>
          <w:color w:val="auto"/>
        </w:rPr>
      </w:pPr>
      <w:r>
        <w:rPr>
          <w:rFonts w:ascii="Arial" w:cs="Arial" w:eastAsia="Arial" w:hAnsi="Arial"/>
          <w:sz w:val="16"/>
          <w:szCs w:val="16"/>
          <w:color w:val="auto"/>
        </w:rPr>
        <w:t>In accordance with the timing requirement under the NYSE Notice, we submitted a business plan in May 2020, or the NYSE Business Plan. On July 2, 2020, we were notified the NYSE Business Plan was accepted by the New York Stock Exchange. In such notification, the New York Stock Exchange also notified us that we were not in compliance with the requirement under Section 802.01A of the NYSE Manual which requires the number of total shareholders of the Company’s capital stock to be no less than 1,200 shareholders if the average monthly volume of its ADSs is less than 100,000 for the most recent 12 months, or the Additional NYSE Non-Compliance, and subject to the procedures set forth in Sections 801 and 802 of the NYSE Manual for the Additional NYSE Non-Compliance. The NYSE Business Plan addressed both the non-compliance contained in the NYSE Notice and the Additional NYSE Non-Compliance. We expect to have a period of 18 months from receipt of the NYSE Notice to regain compliance with both of the afore-mentioned continued listing standards. We are subject to quarterly monitoring by the New York Stock Exchange for compliance with the NYSE Business Plan. If we fail to comply with the NYSE Business Plan or do not meet the continued listing standards at the end of</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18-month period, we expect we will be subject to prompt initiation of NYSE suspension and delisting procedures.</w:t>
      </w:r>
    </w:p>
    <w:p>
      <w:pPr>
        <w:spacing w:after="0" w:line="211"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We cannot assure you that we can or will continually adhere to all of the continued listing requirements of the New York Stock Exchange, including those required to maintain our listing on the New York Stock Exchange, or that the New York Stock Exchange will not take any other action in the course of monitoring our implementation of the NYSE Business Plan, including any reduction of the remediation period. If we are delisted from the New York Stock Exchange, our ADSs or ordinary shares may be eligible for trading on an over-the-counter market in the United States. In the event that we are not able to obtain a listing on another U.S. stock exchange or quotation service for our ADSs, it may be extremely difficult for holders of our ADSs and shareholders to sell their ADSs or ordinary shares. Moreover, if our ADSs are delisted from the New York Stock Exchange but listed elsewhere, it will likely be on a market with less liquidity and more price volatility than experienced on the New York Stock Exchange. Holders of our ADSs and our shareholders may not be able to sell their ADSs or ordinary shares on any such substitute market in the quantities, at the times or at the prices that could potentially be available on a more liquid trading market. In addition, following a delisting from the New York Stock Exchange, as direct or indirect holders of 5% or more of our shares are subject to suitability and financial capacity review by the DICJ, a direct or indirect sales of our ADSs or ordinary shares representing 5% or more of our outstanding share capital may require prior approval by the Macau government. See “Item 4. Information on the Company — B. Business Overview — Gaming Regulations,” “Item 4. Information on the Company — B. Business Overview — Gaming Regulations — The Gaming Operator’s Subconcession” and “Item 4. Information on the Company — B. Business Overview — Gaming Regulations — Services and Right to Use Arrangements Regulatory Requirements.” As a result of these factors, if our ADSs are delisted from the New York Stock Exchange, the price and liquidity of our ADSs and ordinary shares may be materially and adversely affected.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trading price of our ADSs has been volatile since our ADSs began trading on The New York Stock Exchange and may be subject to fluctuations in the future, which could result in substantial losses to investors.</w:t>
      </w:r>
    </w:p>
    <w:p>
      <w:pPr>
        <w:spacing w:after="0" w:line="62" w:lineRule="exact"/>
        <w:rPr>
          <w:sz w:val="20"/>
          <w:szCs w:val="20"/>
          <w:color w:val="auto"/>
        </w:rPr>
      </w:pPr>
    </w:p>
    <w:p>
      <w:pPr>
        <w:ind w:left="120" w:right="240" w:firstLine="991"/>
        <w:spacing w:after="0" w:line="293" w:lineRule="auto"/>
        <w:rPr>
          <w:sz w:val="20"/>
          <w:szCs w:val="20"/>
          <w:color w:val="auto"/>
        </w:rPr>
      </w:pPr>
      <w:r>
        <w:rPr>
          <w:rFonts w:ascii="Arial" w:cs="Arial" w:eastAsia="Arial" w:hAnsi="Arial"/>
          <w:sz w:val="16"/>
          <w:szCs w:val="16"/>
          <w:color w:val="auto"/>
        </w:rPr>
        <w:t>The trading price of our ADSs has been and may continue to be subject to wide fluctuations. Since our listing on October 18, 2018 to March 26, 2021, the trading prices of our ADSs ranged from US$11.87 to US$28.59 per ADS and the closing sale price on March 26, 2021 was US$13.51 per ADS. The trading price of our ADSs may be volatile and could fluctuate widely due to factors beyond our control. This may happen because of broad market and industry factors, including the performance and fluctuation of the market prices of other companies with business operations located mainly in Macau or China that have listed their securities in the United States. In addition to market and industry factors, the price and trading volume for our ADSs may be highly volatile for factors specific to our own operations, including the following:</w:t>
      </w:r>
    </w:p>
    <w:p>
      <w:pPr>
        <w:spacing w:after="0" w:line="70"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limited public float of our ADSs;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in the Macau market or other Asian gaming markets, including disruptions caused by widespread health epidemics or pandemics, such as the COVID-19 outbreak;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uncertainties or delays relating to the financing, completion and successful operation of our remaining project for Studio City;</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political or other factors that may affect Macau, where Studio City is located and/or the macroeconomic environment, including the COVID-19 pandemic or any other global pandemic or crisis;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the gaming and leisure industry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Gaming Operator’s market share of the Macau gaming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developments affecting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detrimental adverse publicity about us, Studio City or our industries;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exchange rates between the U.S. dollar, H.K. dollar, Pataca and Renminbi;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release or expiration of lock-up or other transfer restrictions on our outstanding equity securities or sales of additional equity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sales or perceived sales of additional shares or ADSs or securities convertible or exchangeable or exercisable for shares or ADSs;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litigation or regulatory investigations;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rumors related to any of the above, irrespective of their veracity.</w:t>
      </w:r>
    </w:p>
    <w:p>
      <w:pPr>
        <w:spacing w:after="0" w:line="225" w:lineRule="exact"/>
        <w:rPr>
          <w:sz w:val="20"/>
          <w:szCs w:val="20"/>
          <w:color w:val="auto"/>
        </w:rPr>
      </w:pPr>
    </w:p>
    <w:p>
      <w:pPr>
        <w:ind w:left="120" w:right="260" w:firstLine="991"/>
        <w:spacing w:after="0" w:line="311"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For example, in connection with the COVID-19 outbreak, securities markets across the globe have experienced significant volatility. These market fluctuations may also have a material adverse effect on the market price of our ADSs.</w:t>
      </w:r>
    </w:p>
    <w:p>
      <w:pPr>
        <w:spacing w:after="0" w:line="149"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8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7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The trading market for our ADSs depends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our ADSs.</w:t>
      </w:r>
    </w:p>
    <w:p>
      <w:pPr>
        <w:spacing w:after="0" w:line="117"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64"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Public companies that have substantially all of their operations in Greater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8"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ADSs have fewer rights than shareholders and must act through the depositary to exercise those rights.</w:t>
      </w:r>
    </w:p>
    <w:p>
      <w:pPr>
        <w:spacing w:after="0" w:line="117" w:lineRule="exact"/>
        <w:rPr>
          <w:sz w:val="20"/>
          <w:szCs w:val="20"/>
          <w:color w:val="auto"/>
        </w:rPr>
      </w:pPr>
    </w:p>
    <w:p>
      <w:pPr>
        <w:ind w:left="120" w:right="240" w:firstLine="991"/>
        <w:spacing w:after="0" w:line="263" w:lineRule="auto"/>
        <w:rPr>
          <w:sz w:val="20"/>
          <w:szCs w:val="20"/>
          <w:color w:val="auto"/>
        </w:rPr>
      </w:pPr>
      <w:r>
        <w:rPr>
          <w:rFonts w:ascii="Arial" w:cs="Arial" w:eastAsia="Arial" w:hAnsi="Arial"/>
          <w:sz w:val="18"/>
          <w:szCs w:val="18"/>
          <w:color w:val="auto"/>
        </w:rPr>
        <w:t>Holders of ADSs do not have the same rights of our shareholders and may only exercise the voting rights with respect to the underlying Class A ordinary shares of the depositary and in accordance with the provisions of the deposit agreement. Advance notice of at least seven days is required for the convening of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annual general meeting and other shareholders meetings. When a general meeting is convened, you may not receive sufficient notice of a shareholders’ meeting to permit you to withdraw Class A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8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In addition, parties to the Participation Agreement have agreed to resolve any disputes by arbitration.</w:t>
      </w:r>
    </w:p>
    <w:p>
      <w:pPr>
        <w:spacing w:after="0" w:line="62"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As a holder of our ADSs, you are a party to the deposit agreement under which our ADSs are issued. Under the deposit agreement, any action or proceeding against or involving the depositary arising out of or based upon the deposit agreement or the transactions contemplated thereby or by virtue of you owning the ADSs may only be instituted in a state or federal court in New York, New York. In addition, under the deposit agreement, you, as a holder of our ADSs, will have irrevocably waived any objection which you may have to the laying of venue of any such proceeding and irrevocably submitted to the exclusive jurisdiction of such courts in any such action or proceeding. The depositary may, however, in its sole discretion, require that any dispute or difference arising from the relationship created by the deposit agreement be referred to and finally settled by an arbitration proceeding to be conducted under the terms described in the deposit agreement, which may include claims arising under the U.S. federal securities laws and claims not in connection with our initial public offering, although the arbitration provisions do not preclude you from pursuing claims under the U.S. federal securities laws in federal courts. Furthermore, we may amend or terminate the deposit agreement without your consent. If you continue to hold your ADSs after an amendment to the deposit agreement, you agree to be bound by the terms and subject to the conditions of the deposit agreement as amended.</w:t>
      </w:r>
    </w:p>
    <w:p>
      <w:pPr>
        <w:spacing w:after="0" w:line="182" w:lineRule="exact"/>
        <w:rPr>
          <w:sz w:val="20"/>
          <w:szCs w:val="20"/>
          <w:color w:val="auto"/>
        </w:rPr>
      </w:pPr>
    </w:p>
    <w:p>
      <w:pPr>
        <w:ind w:left="120" w:right="160" w:firstLine="991"/>
        <w:spacing w:after="0" w:line="257" w:lineRule="auto"/>
        <w:rPr>
          <w:sz w:val="20"/>
          <w:szCs w:val="20"/>
          <w:color w:val="auto"/>
        </w:rPr>
      </w:pPr>
      <w:r>
        <w:rPr>
          <w:rFonts w:ascii="Arial" w:cs="Arial" w:eastAsia="Arial" w:hAnsi="Arial"/>
          <w:sz w:val="18"/>
          <w:szCs w:val="18"/>
          <w:color w:val="auto"/>
        </w:rPr>
        <w:t>In addition, the Participation Agreement, pursuant to which MSC Cotai granted the Participation Interest to New Cotai, provides that all disputes arising out of the Participation Agreement must be resolved through arbitration proceedings subject to certain limited exceptions and such provision will affect the manner by which New Cotai or any other parties to the Participation Agreement may pursue any claim or action arising out of the Participation Agreement. For more information, see “Item 7. Major Shareholders and Related Party Transactions — B. Related Party Transactions — Pre-IPO Organizational Transactions — Participation Agreement.”</w:t>
      </w:r>
    </w:p>
    <w:p>
      <w:pPr>
        <w:spacing w:after="0" w:line="29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8"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applicable state and federal law. The enforceability of a contractual pre-dispute jury trial waiver in connection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with claims arising under the U.S. federal securities laws has not been finally adjudicated by the United States Supreme Court. However, based on past court decisions,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61"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If you or any other holders or beneficial owners of ADSs bring a claim against us or the depositary in connection with matters arising under the deposit agreement or the ADSs, including claims under the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78"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as a jury trial.</w:t>
      </w:r>
    </w:p>
    <w:p>
      <w:pPr>
        <w:spacing w:after="0" w:line="27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62"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66"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In addition, 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unlawful, inequitable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Also,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 Except as otherwise provided under the Registration Rights Agreement, we have no obligation to register under U.S. securities laws any ADSs, Class A ordinary shares, rights or other securities received through such distributions. See “Item 7. Major Shareholders and Related Party Transactions — B. Related Party Transactions — Registration Rights Agreement.” We also have no obligation to take any other action to permit the distribution of ADSs, Class A ordinary shares, rights or anything else to holders of ADSs.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86"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ADSs, ordinary shares or other equity securities in the public market could cause the price of our ADSs to decline significantly.</w:t>
      </w:r>
    </w:p>
    <w:p>
      <w:pPr>
        <w:spacing w:after="0" w:line="62" w:lineRule="exact"/>
        <w:rPr>
          <w:sz w:val="20"/>
          <w:szCs w:val="20"/>
          <w:color w:val="auto"/>
        </w:rPr>
      </w:pPr>
    </w:p>
    <w:p>
      <w:pPr>
        <w:ind w:left="120" w:right="160" w:firstLine="991"/>
        <w:spacing w:after="0" w:line="291" w:lineRule="auto"/>
        <w:rPr>
          <w:sz w:val="20"/>
          <w:szCs w:val="20"/>
          <w:color w:val="auto"/>
        </w:rPr>
      </w:pPr>
      <w:r>
        <w:rPr>
          <w:rFonts w:ascii="Arial" w:cs="Arial" w:eastAsia="Arial" w:hAnsi="Arial"/>
          <w:sz w:val="16"/>
          <w:szCs w:val="16"/>
          <w:color w:val="auto"/>
        </w:rPr>
        <w:t>As of December 31, 2020, New Cotai owned 7,693,529 ADSs, representing approximately a 6.9% voting and economic interest in our company, and 72,511,760 Class B ordinary shares, representing approximately a 16.4% voting, non-economic interest in our company. New Cotai also has a Participation Interest, which entitles New Cotai to receive from MSC Cotai an amount equal to approximately 20% of the amount of any distribution, dividend or other consideration paid by MSC Cotai to us, subject to adjustments, exceptions and conditions. Under the Participation Agreement, New Cotai and its permitted transferees will be entitled to exchange its Participation Interest for Class A ordinary shares. We have granted registration rights with respect to the Class A ordinary shares delivered in exchange for Participation Interests. See “Item 7. Major Shareholders and Related Party Transactions — B. Related Party Transactions — Pre-IPO Organizational Transactions” and “— Registration Rights Agreement.”</w:t>
      </w:r>
    </w:p>
    <w:p>
      <w:pPr>
        <w:spacing w:after="0" w:line="166" w:lineRule="exact"/>
        <w:rPr>
          <w:sz w:val="20"/>
          <w:szCs w:val="20"/>
          <w:color w:val="auto"/>
        </w:rPr>
      </w:pPr>
    </w:p>
    <w:p>
      <w:pPr>
        <w:ind w:left="120" w:right="360" w:firstLine="991"/>
        <w:spacing w:after="0" w:line="259" w:lineRule="auto"/>
        <w:rPr>
          <w:sz w:val="20"/>
          <w:szCs w:val="20"/>
          <w:color w:val="auto"/>
        </w:rPr>
      </w:pPr>
      <w:r>
        <w:rPr>
          <w:rFonts w:ascii="Arial" w:cs="Arial" w:eastAsia="Arial" w:hAnsi="Arial"/>
          <w:sz w:val="18"/>
          <w:szCs w:val="18"/>
          <w:color w:val="auto"/>
        </w:rPr>
        <w:t>In addition, certain funds managed by Silver Point Capital, L.P., as of December 31, 2020, beneficially owned 61,570,720 Class A ordinary shares in the form of ADSs, representing 16.6% of our outstanding Class A ordinary shares, while Melco International beneficially owned 243,020,416 Class A ordinary shares, representing 65.6%, of our outstanding Class A ordinary shares. See “Item 7. Major Shareholders and Related Party Transactions — A. Major Shareholders.”</w:t>
      </w:r>
    </w:p>
    <w:p>
      <w:pPr>
        <w:spacing w:after="0" w:line="187"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Sales of substantial amounts of our ADSs in the public market, including upon the exchange of all or part of the Participation Interest by New Cotai or its permitted transferees, or the perception that these sales could occur, could adversely affect the market price of our ADSs and could materially impair our ability to raise capital through equity offerings in the future. We also cannot predict what effect, if any, market sales of securities held by our significant shareholders or any other shareholder or the availability of these securities fur future sales will have on the market price of our ADSs. ADSs held by holders who are not affiliates of our company will be freely tradeable without restriction or further registration under the Securities Act, and shares and ADSs held by our affiliates (in each case, to the extent such holders are deemed to be affiliates of the Company) may also be sold in the public market subject to the restrictions in Rule 144 and Rule 701 under the Securities Act and any applicable lock-up agreements. The ADSs represent interests in our Class A ordinary shares. We would, subject to market forces, expect there to be a close correlation in the price of our ADSs and the price of the Class A ordinary shares and any factors contributing to a decline in one market is likely to result to a similar decline in another.</w:t>
      </w:r>
    </w:p>
    <w:p>
      <w:pPr>
        <w:spacing w:after="0" w:line="27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62" w:lineRule="exact"/>
        <w:rPr>
          <w:sz w:val="20"/>
          <w:szCs w:val="20"/>
          <w:color w:val="auto"/>
        </w:rPr>
      </w:pPr>
    </w:p>
    <w:p>
      <w:pPr>
        <w:ind w:left="120" w:right="780" w:firstLine="991"/>
        <w:spacing w:after="0" w:line="277" w:lineRule="auto"/>
        <w:rPr>
          <w:sz w:val="20"/>
          <w:szCs w:val="20"/>
          <w:color w:val="auto"/>
        </w:rPr>
      </w:pPr>
      <w:r>
        <w:rPr>
          <w:rFonts w:ascii="Arial" w:cs="Arial" w:eastAsia="Arial" w:hAnsi="Arial"/>
          <w:sz w:val="18"/>
          <w:szCs w:val="18"/>
          <w:color w:val="auto"/>
        </w:rPr>
        <w:t>Under the deposit agreement for our ADSs, the depositary will give us a discretionary proxy to vote our Class A ordinary shares underlying your ADSs at shareholders’ meetings if you do not give voting instructions to the depositary, unless:</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our notice of meeting and related voting materials;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voting at the meeting is made on a show of hands.</w:t>
      </w:r>
    </w:p>
    <w:p>
      <w:pPr>
        <w:spacing w:after="0" w:line="225" w:lineRule="exact"/>
        <w:rPr>
          <w:sz w:val="20"/>
          <w:szCs w:val="20"/>
          <w:color w:val="auto"/>
        </w:rPr>
      </w:pPr>
    </w:p>
    <w:p>
      <w:pPr>
        <w:ind w:left="120" w:right="320" w:firstLine="991"/>
        <w:spacing w:after="0" w:line="286" w:lineRule="auto"/>
        <w:rPr>
          <w:sz w:val="20"/>
          <w:szCs w:val="20"/>
          <w:color w:val="auto"/>
        </w:rPr>
      </w:pPr>
      <w:r>
        <w:rPr>
          <w:rFonts w:ascii="Arial" w:cs="Arial" w:eastAsia="Arial" w:hAnsi="Arial"/>
          <w:sz w:val="17"/>
          <w:szCs w:val="17"/>
          <w:color w:val="auto"/>
        </w:rPr>
        <w:t>The effect of this discretionary proxy is that, if you fail to give voting instructions to the depositary, you cannot prevent our Class A ordinary shares underlying your ADSs from being voted, absent the situations described above, and it may make it more difficult for shareholders to influence our management. Holders of our Class A ordinary shares are not subject to this discretionary proxy.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Because we do not expect to pay dividends in the foreseeable future, you must rely on price appreciation of our ADSs for return on your investment.</w:t>
      </w:r>
    </w:p>
    <w:p>
      <w:pPr>
        <w:spacing w:after="0" w:line="152" w:lineRule="exact"/>
        <w:rPr>
          <w:sz w:val="20"/>
          <w:szCs w:val="20"/>
          <w:color w:val="auto"/>
        </w:rPr>
      </w:pPr>
    </w:p>
    <w:p>
      <w:pPr>
        <w:ind w:left="120" w:right="100" w:firstLine="991"/>
        <w:spacing w:after="0" w:line="279" w:lineRule="auto"/>
        <w:rPr>
          <w:sz w:val="20"/>
          <w:szCs w:val="20"/>
          <w:color w:val="auto"/>
        </w:rPr>
      </w:pPr>
      <w:r>
        <w:rPr>
          <w:rFonts w:ascii="Arial" w:cs="Arial" w:eastAsia="Arial" w:hAnsi="Arial"/>
          <w:sz w:val="17"/>
          <w:szCs w:val="17"/>
          <w:color w:val="auto"/>
        </w:rPr>
        <w:t>We currently intend to retain most, if not all, of our available funds and any future earnings to fund the development and growth of our business. As a result, we do not expect to pay any cash dividends in the foreseeable future. See “Item 8. Financial Information — A. Consolidated Statements and Other Financial Information — Dividend Policy” and note 17 to the consolidated financial statements included elsewhere in this annual report. Therefore, you should not rely on an investment in our ADSs as a source for any future dividend income.</w:t>
      </w:r>
    </w:p>
    <w:p>
      <w:pPr>
        <w:spacing w:after="0" w:line="171"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7"/>
          <w:szCs w:val="17"/>
          <w:color w:val="auto"/>
        </w:rPr>
        <w:t>Our board of directors has complete discretion as to whether to distribute dividends, subject to certain requirements of the laws of the Cayman Islands. Under the laws of the Cayman Islands,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w:t>
      </w:r>
    </w:p>
    <w:p>
      <w:pPr>
        <w:spacing w:after="0" w:line="117"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have difficulty enforcing judgments obtained against us.</w:t>
      </w:r>
    </w:p>
    <w:p>
      <w:pPr>
        <w:spacing w:after="0" w:line="117"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We are a company incorporated under the laws of the Cayman Islands and substantially all of our assets are located outside the United States. All of our current operations are conducted in Macau. As a result, it may be difficult or impossible for you to bring an action against us in the United States in the event that you believe that your rights have been infringed under the U.S. federal securities laws or otherwise. It may also be difficult for you to enforce in the Cayman Islands and Macau courts judgments obtained in U.S. courts based on the civil liability provisions of the U.S. federal securities laws against us and our directors and executive officers. In addition, there is uncertainty as to whether the courts of the Cayman Islands and Macau would recognize or enforce judgments of U.S. courts against us or such individuals predicated upon the civil liability provisions of the securities laws of the United States or any state. It is also uncertain whether such Cayman Islands and Macau courts would be competent to hear original actions brought in the Cayman Islands and Macau against us or such individuals predicated upon the securities laws of the United States or any state. For more information regarding the relevant laws of the Cayman Islands and Macau.</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Securities Exchange Act of 1934, or the Exchange Act, and as such we are exempt from certain provisions applicable to domestic public companies in the United States.</w:t>
      </w:r>
    </w:p>
    <w:p>
      <w:pPr>
        <w:spacing w:after="0" w:line="62" w:lineRule="exact"/>
        <w:rPr>
          <w:sz w:val="20"/>
          <w:szCs w:val="20"/>
          <w:color w:val="auto"/>
        </w:rPr>
      </w:pPr>
    </w:p>
    <w:p>
      <w:pPr>
        <w:ind w:left="120" w:right="40" w:firstLine="991"/>
        <w:spacing w:after="0" w:line="273" w:lineRule="auto"/>
        <w:rPr>
          <w:sz w:val="20"/>
          <w:szCs w:val="20"/>
          <w:color w:val="auto"/>
        </w:rPr>
      </w:pPr>
      <w:r>
        <w:rPr>
          <w:rFonts w:ascii="Arial" w:cs="Arial" w:eastAsia="Arial" w:hAnsi="Arial"/>
          <w:sz w:val="17"/>
          <w:szCs w:val="17"/>
          <w:color w:val="auto"/>
        </w:rPr>
        <w:t>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78"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currently publish our results on a quarterly basis through press releases, distributed pursuant to the rules and regulations of the New York Stock Exchange. Press releases relating to financial results and material events will be furnished to the SEC on Form 6-K. However, the information we are required to file with or furnish to the SEC will be less extensive and less timely compared to that required to be filed with the SEC by U.S. domestic issuers.</w:t>
      </w:r>
    </w:p>
    <w:p>
      <w:pPr>
        <w:spacing w:after="0" w:line="157"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As a foreign private issuer, we are subject to New York Stock Exchange corporate governance listing standards. However, the New York Stock Exchange rules permit a foreign private issuer like us to follow the corporate governance practices of its home country, including with respect to board and committee composition and shareholder approval requirements with respect to issuances of equity securities. Certain corporate governance practices in the Cayman Islands, which is our home country, may differ significantly from New York Stock Exchange corporate governance listing standards. For instance, 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In addition, we rely on this “home country practice” exception and do not have a majority of independent directors serving on our board and we are not required to obtain shareholder approval prior to issuances of ordinary shares or ADSs under New York Stock Exchange rules. This may make it more difficult for you to obtain the information needed to establish any facts necessary for a shareholder motion or to solicit proxies from other shareholders in connection with a proxy contest.</w:t>
      </w:r>
    </w:p>
    <w:p>
      <w:pPr>
        <w:spacing w:after="0" w:line="182"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As a “controlled company” within the meaning of the New York Stock Exchange corporate governance rules, we are eligible to, and, in the event we no longer qualify as a foreign private issuer, we intend to elect not to comply with certain of the New York Stock Exchange corporate governance standards, including the requirement that a majority of directors on our board of directors be independent directors.</w:t>
      </w:r>
    </w:p>
    <w:p>
      <w:pPr>
        <w:spacing w:after="0" w:line="165"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incur increased costs as a result of being a public company.</w:t>
      </w:r>
    </w:p>
    <w:p>
      <w:pPr>
        <w:spacing w:after="0" w:line="117"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The Sarbanes-Oxley Act of 2002, as well as rules subsequently implemented by the SEC and the New York Stock Exchange, impose various requirements on the corporate governance practices of public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86"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companies. These rules and regulations have increased our legal and financial compliance costs and have made some corporate activities more time-consuming and costly. We have also incurred significant expenses and devote substantial management effort toward ensuring compliance with the requirements of Section 404 of the Sarbanes-Oxley Act of 2002 and the other rules and regulations of the SEC. For example, as a result of becoming a public company, we have increased the number of independent directors and adopted policies regarding internal controls and disclosure controls and procedures. As a public company, it may be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w:t>
      </w:r>
    </w:p>
    <w:p>
      <w:pPr>
        <w:spacing w:after="0" w:line="286"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16" w:lineRule="exact"/>
        <w:rPr>
          <w:sz w:val="20"/>
          <w:szCs w:val="20"/>
          <w:color w:val="auto"/>
        </w:rPr>
      </w:pPr>
    </w:p>
    <w:p>
      <w:pPr>
        <w:ind w:left="120" w:firstLine="991"/>
        <w:spacing w:after="0" w:line="288"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Act (as amended) of the Cayman Islands, or Companies Act,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68" w:lineRule="exact"/>
        <w:rPr>
          <w:sz w:val="20"/>
          <w:szCs w:val="20"/>
          <w:color w:val="auto"/>
        </w:rPr>
      </w:pPr>
    </w:p>
    <w:p>
      <w:pPr>
        <w:ind w:left="120" w:right="140" w:firstLine="991"/>
        <w:spacing w:after="0" w:line="296"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1"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differences between the provisions of the Companies Act (as amended) of the Cayman Islands and the laws applicable to companies incorporated in the United States and their shareholders, see “Item 10. Additional Information — B. Memorandum and Articles of Association — Differences in Corporate Law.”</w:t>
      </w:r>
    </w:p>
    <w:p>
      <w:pPr>
        <w:spacing w:after="0" w:line="29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we are a passive foreign investment company for United States federal income tax purposes for any taxable year, United States holders of our ADSs could be subject to adverse United States federal income tax consequences.</w:t>
      </w:r>
    </w:p>
    <w:p>
      <w:pPr>
        <w:spacing w:after="0" w:line="62"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A non-United States corporation will be a passive foreign investment company, or PFIC, for United States federal income tax purposes for any taxable year if either (i) at least 75% of its gross income for such taxable year is passive income or (ii) at least 50% of the value of its assets (based on an average of the quarterly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86"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values) during such year is attributable to assets that produce or are held for the production of passive income. Based on the value of our assets and the composition of our income and assets, we do not believe we were a PFIC for United States federal income tax purposes for our taxable year ended December 31, 2020. However, the determination of whether or not we are a PFIC according to the PFIC rules is made on an annual basis and will depend on the composition of our income and assets and the value of our assets from time to time. Therefore, changes in the composition of our income or assets or the value of our assets may cause us to become a PFIC. The determination of the value of our assets (including goodwill not reflected on our balance sheet) may be based, in part, on the quarterly market value of our ADSs, which is subject to change and may be volatile.</w:t>
      </w:r>
    </w:p>
    <w:p>
      <w:pPr>
        <w:spacing w:after="0" w:line="164" w:lineRule="exact"/>
        <w:rPr>
          <w:sz w:val="20"/>
          <w:szCs w:val="20"/>
          <w:color w:val="auto"/>
        </w:rPr>
      </w:pPr>
    </w:p>
    <w:p>
      <w:pPr>
        <w:ind w:left="120" w:right="60" w:firstLine="991"/>
        <w:spacing w:after="0" w:line="275" w:lineRule="auto"/>
        <w:rPr>
          <w:sz w:val="20"/>
          <w:szCs w:val="20"/>
          <w:color w:val="auto"/>
        </w:rPr>
      </w:pPr>
      <w:r>
        <w:rPr>
          <w:rFonts w:ascii="Arial" w:cs="Arial" w:eastAsia="Arial" w:hAnsi="Arial"/>
          <w:sz w:val="17"/>
          <w:szCs w:val="17"/>
          <w:color w:val="auto"/>
        </w:rPr>
        <w:t>The classification of certain of our income as active or passive, and certain of our assets as producing active or passive income, and hence whether we are or will become a PFIC, depends on the interpretation of certain United States Treasury Regulations as well as certain IRS guidance relating to the classification of assets as producing active or passive income. Such regulations and guidance are potentially subject to different interpretations. If due to different interpretations of such regulations and guidance the percentage of our passive income or the percentage of our assets treated as producing passive income increases, we may be a PFIC in one or more taxable years.</w:t>
      </w:r>
    </w:p>
    <w:p>
      <w:pPr>
        <w:spacing w:after="0" w:line="176"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If we are a PFIC for any taxable year during which a United States person holds ADSs, certain adverse United States federal income tax consequences could apply to such United States person. See “Item 10. Additional Information — E. Taxation — United States Federal Income Taxation — Passive Foreign Investment Company.”</w:t>
      </w:r>
    </w:p>
    <w:p>
      <w:pPr>
        <w:spacing w:after="0" w:line="292" w:lineRule="exact"/>
        <w:rPr>
          <w:sz w:val="20"/>
          <w:szCs w:val="20"/>
          <w:color w:val="auto"/>
        </w:rPr>
      </w:pPr>
    </w:p>
    <w:p>
      <w:pPr>
        <w:ind w:left="120" w:right="98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shares, such holder may be subject to adverse U.S. federal income tax consequences.</w:t>
      </w:r>
    </w:p>
    <w:p>
      <w:pPr>
        <w:spacing w:after="0" w:line="62" w:lineRule="exact"/>
        <w:rPr>
          <w:sz w:val="20"/>
          <w:szCs w:val="20"/>
          <w:color w:val="auto"/>
        </w:rPr>
      </w:pPr>
    </w:p>
    <w:p>
      <w:pPr>
        <w:ind w:left="120" w:right="60" w:firstLine="991"/>
        <w:spacing w:after="0" w:line="287" w:lineRule="auto"/>
        <w:rPr>
          <w:sz w:val="20"/>
          <w:szCs w:val="20"/>
          <w:color w:val="auto"/>
        </w:rPr>
      </w:pPr>
      <w:r>
        <w:rPr>
          <w:rFonts w:ascii="Arial" w:cs="Arial" w:eastAsia="Arial" w:hAnsi="Arial"/>
          <w:sz w:val="16"/>
          <w:szCs w:val="16"/>
          <w:color w:val="auto"/>
        </w:rPr>
        <w:t>If a United States person is treated as owning (directly, indirectly or constructively) at least 10% of the value or voting power of our stock (including our ordinary shares and ADSs), such person may be treated as a “United States shareholder” with respect to us.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 limitations with respect to your U.S. federal income tax return for the year for which reporting was due from starting. We cannot provide any assurances that we will assist investors in determining whether we are a controlled foreign corporation or whether such investor is treated as a United States shareholder with respect to us or furnish to any United States shareholders information that may be necessary to comply with the aforementioned reporting and tax paying obligations. A United States investor should consult its advisors regarding the potential application of these rules to an investment in the stock.</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86"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9"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We were established as an international business company, limited by shares, under the laws of the British Virgin Islands as CYBER ONE AGENTS LIMITED on August 2, 2000 and subsequently re-registered as a business company, limited by shares, under the British Virgin Islands Business Companies Act, 2004. New Cotai acquired a 40% equity interest in us on December 6, 2006. MCO Cotai acquired a 60% equity interest in us on July 27, 2011. Melco Resorts is an exempted company incorporated with limited liability under the Companies Act (as amended) of the Cayman Islands and its American Depositary Shares are listed on the Nasdaq Global Select Market in the United States. On January 17, 2012, our name was changed from CYBER ONE AGENTS LIMITED to STUDIO CITY INTERNATIONAL HOLDINGS LIMITED.</w:t>
      </w:r>
    </w:p>
    <w:p>
      <w:pPr>
        <w:spacing w:after="0" w:line="178" w:lineRule="exact"/>
        <w:rPr>
          <w:sz w:val="20"/>
          <w:szCs w:val="20"/>
          <w:color w:val="auto"/>
        </w:rPr>
      </w:pPr>
    </w:p>
    <w:p>
      <w:pPr>
        <w:ind w:left="120" w:right="120" w:firstLine="991"/>
        <w:spacing w:after="0" w:line="279" w:lineRule="auto"/>
        <w:rPr>
          <w:sz w:val="20"/>
          <w:szCs w:val="20"/>
          <w:color w:val="auto"/>
        </w:rPr>
      </w:pPr>
      <w:r>
        <w:rPr>
          <w:rFonts w:ascii="Arial" w:cs="Arial" w:eastAsia="Arial" w:hAnsi="Arial"/>
          <w:sz w:val="17"/>
          <w:szCs w:val="17"/>
          <w:color w:val="auto"/>
        </w:rPr>
        <w:t>In October 2001, we were granted a land concession in Cotai by the Macau government for the development of Studio City, a cinematically-themed integrated resort. Studio City commenced operations on October 27, 2015. We conduct our principal activities through our subsidiaries, which are primarily located in Macau. We currently operate the non-gaming operations of Studio City. The Gaming Operator operates the Studio City Casino. See “Item 7. Major Shareholders and Related Party Transactions — B. Related Party Transactions.”</w:t>
      </w:r>
    </w:p>
    <w:p>
      <w:pPr>
        <w:spacing w:after="0" w:line="17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Prior to the completion of our initial public offering, we engaged in a series of organizational transactions, or the Organizational Transactions, through which substantially all of our assets and liabilities were contributed to our subsidiary, MSC Cotai, a business company limited by shares incorporated in the British Virgin Islands, in exchange for newly-issued shares of MSC Cotai. For more information on the Organizational Transactions, see “Item 7. Major Shareholders and Related Party Transactions — B. Related Party Transactions — Pre-IPO Organizational Transactions.” In connection with such Organizational Transactions, we redomiciled by way of continuation as an exempted company incorporated with limited liability under the laws of the Cayman Islands on October 15, 2018.</w:t>
      </w:r>
    </w:p>
    <w:p>
      <w:pPr>
        <w:spacing w:after="0" w:line="192"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In October 2018, we completed the initial public offering of our ADSs, each of which represents four Class A ordinary shares, and listed our ADSs on The New York Stock Exchange under the symbol “MSC.” For more information on our corporate structure, see “— C. Organizational Structure.”</w:t>
      </w:r>
    </w:p>
    <w:p>
      <w:pPr>
        <w:spacing w:after="0" w:line="184"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For a description of our principal capital expenditures for the years ended December 31, 2020, 2019, and 2018, see “Item 5. Operating and Financial Review and Prospects — B. Liquidity and Capital Resources.”</w:t>
      </w:r>
    </w:p>
    <w:p>
      <w:pPr>
        <w:spacing w:after="0" w:line="170" w:lineRule="exact"/>
        <w:rPr>
          <w:sz w:val="20"/>
          <w:szCs w:val="20"/>
          <w:color w:val="auto"/>
        </w:rPr>
      </w:pPr>
    </w:p>
    <w:p>
      <w:pPr>
        <w:jc w:val="both"/>
        <w:ind w:left="120" w:right="80" w:firstLine="991"/>
        <w:spacing w:after="0" w:line="263" w:lineRule="auto"/>
        <w:rPr>
          <w:sz w:val="20"/>
          <w:szCs w:val="20"/>
          <w:color w:val="auto"/>
        </w:rPr>
      </w:pPr>
      <w:r>
        <w:rPr>
          <w:rFonts w:ascii="Arial" w:cs="Arial" w:eastAsia="Arial" w:hAnsi="Arial"/>
          <w:sz w:val="18"/>
          <w:szCs w:val="18"/>
          <w:color w:val="auto"/>
        </w:rPr>
        <w:t>Our principal executive offices are located at 36th Floor, The Centrium, 60 Wyndham Street, Central, Hong Kong. Our telephone number at this address is 852-2598-3600 and our fax number is 852-2537-3618. Our website is www.studiocity-macau.com. The information contained on our website is not part of this annual report on Form 20-F.</w:t>
      </w:r>
    </w:p>
    <w:p>
      <w:pPr>
        <w:spacing w:after="0" w:line="184"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Studio City is a world-class integrated resort located in Cotai, Macau and its principal operating activities are the provision of gaming related services and the hospitality business in Macau. Studio City Casino has 250 mass market gaming tables and, in 2019, approximately 947 gaming machines, which we believe provide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8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higher margins and attractive long-term growth opportunities. The mass market focus of Studio City Casino is currently complemented with junket and premium direct VIP rolling chip operations, which include up to 45 tables authorized for VIP rolling chip operations. In 2020, excluding gaming tables and gaming machines that were not in operation due to government-mandated closures or social distancing measures in relation to the COVID-19 outbreak, Studio City Casino had an average of approximately 282 gaming tables and 586 gaming machines in operation. Our cinematically-themed integrated resort is designed to attract a wide range of customers by providing highly differentiated non-gaming attractions, including the world’s first figure-8 Ferris wheel, a Batman flying theater ride, a deluxe night club and karaoke and a 5,000-seat live performance arena. Studio City features approximately 1,600 luxury hotel rooms, diverse food and beverage establishments and approximately 25,000 square meters of complementary retail space. Studio City was named Casino/Integrated Resort of the Year in 2016 by the International Gaming Awards.</w:t>
      </w:r>
    </w:p>
    <w:p>
      <w:pPr>
        <w:spacing w:after="0" w:line="178"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Studio City is strategically located in Cotai, as one of the few dedicated Cotai hotel-casino resort stops on the Macau Light Rapid Transit Line, with an access bridge leading to Studio City.</w:t>
      </w:r>
    </w:p>
    <w:p>
      <w:pPr>
        <w:spacing w:after="0" w:line="170"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Studio City has delivered continuous earnings improvement since commencing operations in October 2015 through 2019. We have grown total operating revenues from US$539.8 million in 2017 to US$571.2 million in 2018 and further to US$626.7 million in 2019. We generated net income attributable to Studio City International Holdings Limited of US$33.6 million in 2019 and net losses attributable to Studio City International Holdings Limited of US$76.4 million and US$21.6 million in 2017 and 2018, respectively. We increased our Adjusted EBITDA from US$279.1 million in 2017 to US$314.8 million in 2018 and further to US$361.0 million in 2019, and expanded our Adjusted EBITDA margin from 51.7% to 55.1% and further to 57.6%, respectively, for these periods. However, due to the temporary casino closure and enhanced quarantine and social distancing measures to contain the COVID-19 pandemic in 2020, our total operating revenues decreased from US$626.7 million in 2019 to US$49.2 million in 2020 and we generated net loss attributable to Studio City International Holdings Limited of US$321.6 million in 2020 compared to a net income attributable to Studio City International Holdings Limited of US$33.6 million in 2019.</w:t>
      </w:r>
    </w:p>
    <w:p>
      <w:pPr>
        <w:spacing w:after="0" w:line="181"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Studio City Casino is operated by the Gaming Operator, one of the subsidiaries of Melco Resorts and a holder of a gaming subconcession, and we operate the non-gaming businesses of Studio City.</w:t>
      </w:r>
    </w:p>
    <w:p>
      <w:pPr>
        <w:spacing w:after="0" w:line="170"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We generated all of our revenues for each of the years ended December 31, 2020, 2019 and 2018 from our operations in Macau, the sole market in which we compete to operate. For further information on the Macau gaming market, see “— Market and Competition — Macau Gaming Market.”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Studio City Casino currently consists of a mass market table gaming area, a gaming machine area and a VIP gaming area, with a total operating gross floor area of 23,745 square meters, located on the first two floors of Studio City. Studio City Casino gaming customers currently include mass market and VIP rolling chip players. Studio City Casino catered exclusively to mass market players until it launched its VIP rolling chip operations in November 2016, including both junket and premium direct VIP offerings. For the years ended December 31, 2020, 2019 and 2018, Studio City Casino’s gross gaming revenues was US$264.4 million, US$1,432.0 million and US$1,583.8 million, respectively.</w:t>
      </w:r>
    </w:p>
    <w:p>
      <w:pPr>
        <w:spacing w:after="0" w:line="176" w:lineRule="exact"/>
        <w:rPr>
          <w:sz w:val="20"/>
          <w:szCs w:val="20"/>
          <w:color w:val="auto"/>
        </w:rPr>
      </w:pPr>
    </w:p>
    <w:p>
      <w:pPr>
        <w:ind w:left="120" w:right="240" w:firstLine="991"/>
        <w:spacing w:after="0" w:line="255" w:lineRule="auto"/>
        <w:rPr>
          <w:sz w:val="20"/>
          <w:szCs w:val="20"/>
          <w:color w:val="auto"/>
        </w:rPr>
      </w:pPr>
      <w:r>
        <w:rPr>
          <w:rFonts w:ascii="Arial" w:cs="Arial" w:eastAsia="Arial" w:hAnsi="Arial"/>
          <w:sz w:val="18"/>
          <w:szCs w:val="18"/>
          <w:color w:val="auto"/>
        </w:rPr>
        <w:t>Studio City Casino currently has 250 mass market gaming tables and, in 2019, approximately 947 gaming machines. In 2020, excluding gaming tables and gaming machines that were not in operation due to government-mandated closures or social distancing measures in relation to the COVID-19 outbreak, Studio City Casino had an average of approximately 282 gaming tables and 586 gaming machines in operation. These gaming tables offer gaming patrons a variety of options including baccarat, three card baccarat, fortune baccarat, blackjack, craps, Caribbean stud poker, roulette, sic bo, fortune 3 card poker and other games. Studio City Casino also offers VIP rolling chip operations, with up to 45 tables authorized for such operations until December 31,</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86"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2021, subject to early termination with 30 days’ prior notice by either the Gaming Operator or Studio City Entertainment. We currently expect our business strategy going forward to continue to focus on cultivating further growth in the premium mass and mass market segments at the Studio City Casino and enhancing our differentiated non-gaming amenities to complement our gaming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Mass Market Segment</w:t>
      </w:r>
    </w:p>
    <w:p>
      <w:pPr>
        <w:spacing w:after="0" w:line="117" w:lineRule="exact"/>
        <w:rPr>
          <w:sz w:val="20"/>
          <w:szCs w:val="20"/>
          <w:color w:val="auto"/>
        </w:rPr>
      </w:pPr>
    </w:p>
    <w:p>
      <w:pPr>
        <w:jc w:val="both"/>
        <w:ind w:left="120" w:right="280" w:firstLine="991"/>
        <w:spacing w:after="0" w:line="311" w:lineRule="auto"/>
        <w:rPr>
          <w:sz w:val="20"/>
          <w:szCs w:val="20"/>
          <w:color w:val="auto"/>
        </w:rPr>
      </w:pPr>
      <w:r>
        <w:rPr>
          <w:rFonts w:ascii="Arial" w:cs="Arial" w:eastAsia="Arial" w:hAnsi="Arial"/>
          <w:sz w:val="16"/>
          <w:szCs w:val="16"/>
          <w:color w:val="auto"/>
        </w:rPr>
        <w:t>The mass market gaming area caters to mass market gaming patrons and offers a full range of games, 24 hours daily. The layout of the gaming floor is organized using the different market segments that Studio City Casino targets, namely the mainstream mass market and the premium mass market. The premium mass market gaming area has decorations and features distinctive from the mainstream mass market gaming area.</w:t>
      </w:r>
    </w:p>
    <w:p>
      <w:pPr>
        <w:spacing w:after="0" w:line="149"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Studio City Casino’s mass market table games drop and hold percentage were US$0.73 billion and 26.6% in 2020, respectively, US$3.49 billion and 29.1% in 2019, respectively, and US$3.27 billion and 26.5% in 2018, respectively. As a result, Studio City Casino had gross gaming revenue from mass market table games of US$193.8 million, US$1,014.2 million and US$868.5 million in 2020, 2019 and 2018, respectively. Studio City Casino’s gaming machine handle and gaming machine win rate were US$0.74 billion and 2.8% in 2020, respectively, US$2.60 billion and 3.1%, respectively, in 2019, and US$2.48 billion and 3.4% in 2018, respectively. As a result, Studio City Casino had gross gaming revenue from gaming machine of US$20.2 million, US$79.5 million and US$83.9 million in 2020, 2019 and 2018, respectively. Average net win per gaming machine per day in 2020, 2019 and 2018 was US$98, US$230 and US$240, respectively.</w:t>
      </w:r>
    </w:p>
    <w:p>
      <w:pPr>
        <w:spacing w:after="0" w:line="177"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Studio City Casino will continue to re-examine the mass market gaming areas to maximize table utilization, to innovate gaming products and to invest in technologies and analytical capability to enhance table productivity and customer retention.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VIP Rolling Chip Segment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 November 2016, Studio City Casino introduced VIP rolling chip operations, including both junket and premium direct VIP offerings,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include up to 45 tables authorized for VIP rolling chip operations. The VIP rolling chip area is comprised of private gaming salons or areas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restricted access to rolling chip patrons and offer more personalized and ultra-premium services than the mainstream and premium mass market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gaming areas. It is also situated at a higher level than the mass market gaming areas with generally higher-end dining and beverage options and special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decorations. The Gaming Operator will continue VIP rolling chip operations at the Studio City Casino until December 31, 2021, subject to early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termination with 30 days’ prior notice by either Studio City Entertainment or the Gaming Operator. Studio City Casino’s VIP rolling chip volume, VIP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rolling chip win rate and VIP rolling chip gross gaming revenue were US$2.21 billion, 2.28% and US$50.4 million, respectively, in 2020,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US$10.99 billion, 3.08% and US$338.3 million, respectively, in 2019 and US$21.24 billion, 2.97% and US$631.4 million, respectively, in 2018.</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Hotel</w:t>
      </w:r>
    </w:p>
    <w:p>
      <w:pPr>
        <w:spacing w:after="0" w:line="117" w:lineRule="exact"/>
        <w:rPr>
          <w:sz w:val="20"/>
          <w:szCs w:val="20"/>
          <w:color w:val="auto"/>
        </w:rPr>
      </w:pPr>
    </w:p>
    <w:p>
      <w:pPr>
        <w:ind w:left="120" w:right="60" w:firstLine="991"/>
        <w:spacing w:after="0" w:line="271" w:lineRule="auto"/>
        <w:rPr>
          <w:sz w:val="20"/>
          <w:szCs w:val="20"/>
          <w:color w:val="auto"/>
        </w:rPr>
      </w:pPr>
      <w:r>
        <w:rPr>
          <w:rFonts w:ascii="Arial" w:cs="Arial" w:eastAsia="Arial" w:hAnsi="Arial"/>
          <w:sz w:val="17"/>
          <w:szCs w:val="17"/>
          <w:color w:val="auto"/>
        </w:rPr>
        <w:t>Studio City includes self-managed luxury hotel facilities with approximately 1,600 hotel rooms, all elegantly furnished and complete with services and amenities to match. The hotel facilities include indoor and outdoor swimming pools, beauty salon, spa, fitness centers and other amenities. The Studio City hotel features two distinct towers, enabling it to provide a variety of accommodation selections to visitors. The premium all-suite Star Tower offers approximately 600 suites complete with lavish facilities and dedicated services for a luxury retreat. There are six types of suites which range in size from the Star Premier King Suite at 62 square meters to the Star Grand Deluxe Suite at 211 square meters which includes a living room, dining room and a separate bedroom. Personalized check-in, private indoor heated pool and health club can be enjoyed by all Star Tower guests. The Celebrity Tower with approximately 1,000 rooms brings a deluxe hotel experience to a board range of travelers, which includes access to all of the entertainment facilities offered by Studio City. It offers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86"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eleven different room packages ranging from the Celebrity King at 42 square meters to the Celebrity Deluxe Suite at 95 square meters. The following table sets forth certain data with respect to our hotel for the years indicated:</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For the Year Ended 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0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3"/>
                <w:szCs w:val="13"/>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(US$)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135</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138</w:t>
            </w:r>
          </w:p>
        </w:tc>
        <w:tc>
          <w:tcPr>
            <w:tcW w:w="2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REVPAR (US$)</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8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135</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138</w:t>
            </w:r>
          </w:p>
        </w:tc>
        <w:tc>
          <w:tcPr>
            <w:tcW w:w="2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Occupancy rate</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28%</w:t>
            </w: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100%</w:t>
            </w:r>
          </w:p>
        </w:tc>
      </w:tr>
    </w:tbl>
    <w:p>
      <w:pPr>
        <w:spacing w:after="0" w:line="202" w:lineRule="exact"/>
        <w:rPr>
          <w:sz w:val="20"/>
          <w:szCs w:val="20"/>
          <w:color w:val="auto"/>
        </w:rPr>
      </w:pPr>
    </w:p>
    <w:p>
      <w:pPr>
        <w:jc w:val="both"/>
        <w:ind w:left="120" w:firstLine="991"/>
        <w:spacing w:after="0" w:line="226" w:lineRule="auto"/>
        <w:rPr>
          <w:sz w:val="20"/>
          <w:szCs w:val="20"/>
          <w:color w:val="auto"/>
        </w:rPr>
      </w:pPr>
      <w:r>
        <w:rPr>
          <w:rFonts w:ascii="Arial" w:cs="Arial" w:eastAsia="Arial" w:hAnsi="Arial"/>
          <w:sz w:val="18"/>
          <w:szCs w:val="18"/>
          <w:color w:val="auto"/>
        </w:rPr>
        <w:t>Studio City garnered the Forbes Travel Guide Five-Star recognition for its hotel, spa and restaurant for two consecutive years in 2020. Its Star Tower achieved the Sharecare Health Security VERIFIED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Forbes Travel Guide certification in 2020, recognizing its commitment to creating a culture of accountability and following global best practices to heighten health security.</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Dining</w:t>
      </w:r>
    </w:p>
    <w:p>
      <w:pPr>
        <w:spacing w:after="0" w:line="117"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 xml:space="preserve">We believe that our selection of dining options that include restaurants, bars and lounges offering a diverse selection of local, regional and international cuisine attracts more visitors to Studio City. Studio City offers both high-end and casual dining restaurants, cafes, bars and lounges to cater to the tastes and preferences of our patrons. A wide range of food and beverage outlets are located throughout Studio City, including traditional Cantonese, northern Chinese, South East Asian, Japanese, Italian and other western and international cuisines as well as local Macau cuisine. Studio City offers gourmet dining with a range of signature restaurants including one Michelin-starred </w:t>
      </w:r>
      <w:r>
        <w:rPr>
          <w:rFonts w:ascii="Arial" w:cs="Arial" w:eastAsia="Arial" w:hAnsi="Arial"/>
          <w:sz w:val="17"/>
          <w:szCs w:val="17"/>
          <w:i w:val="1"/>
          <w:iCs w:val="1"/>
          <w:color w:val="auto"/>
        </w:rPr>
        <w:t>Pearl Dragon</w:t>
      </w:r>
      <w:r>
        <w:rPr>
          <w:rFonts w:ascii="Arial" w:cs="Arial" w:eastAsia="Arial" w:hAnsi="Arial"/>
          <w:sz w:val="17"/>
          <w:szCs w:val="17"/>
          <w:color w:val="auto"/>
        </w:rPr>
        <w: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Retail</w:t>
      </w:r>
    </w:p>
    <w:p>
      <w:pPr>
        <w:spacing w:after="0" w:line="117"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Studio City has approximately 25,000 square meters of themed and innovative retail space at the lower levels of the property. It has a net leasable area of approximately 23,000 square meters. The retail mall showcases a variety of shops and food and beverage offerings including a small portion of our self-operated retail outlets.</w:t>
      </w:r>
    </w:p>
    <w:p>
      <w:pPr>
        <w:spacing w:after="0" w:line="184" w:lineRule="exact"/>
        <w:rPr>
          <w:sz w:val="20"/>
          <w:szCs w:val="20"/>
          <w:color w:val="auto"/>
        </w:rPr>
      </w:pPr>
    </w:p>
    <w:p>
      <w:pPr>
        <w:jc w:val="both"/>
        <w:ind w:left="120" w:right="240" w:firstLine="991"/>
        <w:spacing w:after="0" w:line="311" w:lineRule="auto"/>
        <w:rPr>
          <w:sz w:val="20"/>
          <w:szCs w:val="20"/>
          <w:color w:val="auto"/>
        </w:rPr>
      </w:pPr>
      <w:r>
        <w:rPr>
          <w:rFonts w:ascii="Arial" w:cs="Arial" w:eastAsia="Arial" w:hAnsi="Arial"/>
          <w:sz w:val="16"/>
          <w:szCs w:val="16"/>
          <w:color w:val="auto"/>
        </w:rPr>
        <w:t>The Boulevard at Studio City provides a unique retail experience to visitors. The immersive retail entertainment environment at Studio City enables visitors to shop in a streetscape environment with featured streets and squares inspired by iconic shopping and entertainment locations, including New York’s Times Square. Studio City’s retail space offers a mix of fashion-forward labels and internationally-renowned brands.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Entertainment</w:t>
      </w:r>
    </w:p>
    <w:p>
      <w:pPr>
        <w:spacing w:after="0" w:line="117" w:lineRule="exact"/>
        <w:rPr>
          <w:sz w:val="20"/>
          <w:szCs w:val="20"/>
          <w:color w:val="auto"/>
        </w:rPr>
      </w:pPr>
    </w:p>
    <w:p>
      <w:pPr>
        <w:ind w:left="120" w:right="80" w:firstLine="991"/>
        <w:spacing w:after="0" w:line="301" w:lineRule="auto"/>
        <w:rPr>
          <w:sz w:val="20"/>
          <w:szCs w:val="20"/>
          <w:color w:val="auto"/>
        </w:rPr>
      </w:pPr>
      <w:r>
        <w:rPr>
          <w:rFonts w:ascii="Arial" w:cs="Arial" w:eastAsia="Arial" w:hAnsi="Arial"/>
          <w:sz w:val="16"/>
          <w:szCs w:val="16"/>
          <w:color w:val="auto"/>
        </w:rPr>
        <w:t>Macau is an increasingly popular tourist destination and in order to attract more tourists and locals, Studio City incorporated many entertainment themes and elements which appeal to the mainstream mass consumer. Our diverse, immersive and entertainment-driven experiences and innovative venues cater to a wide range of demographic groups, including young professionals and families with children. As a major tourist attraction in Macau, Studio City’s premier entertainment offerings help to drive visitation to our property. Studio City’s entertainment offerings include:</w:t>
      </w:r>
    </w:p>
    <w:p>
      <w:pPr>
        <w:spacing w:after="0" w:line="63" w:lineRule="exact"/>
        <w:rPr>
          <w:sz w:val="20"/>
          <w:szCs w:val="20"/>
          <w:color w:val="auto"/>
        </w:rPr>
      </w:pPr>
    </w:p>
    <w:p>
      <w:pPr>
        <w:ind w:left="1080" w:right="36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Golden Reel </w:t>
      </w:r>
      <w:r>
        <w:rPr>
          <w:rFonts w:ascii="Arial" w:cs="Arial" w:eastAsia="Arial" w:hAnsi="Arial"/>
          <w:sz w:val="18"/>
          <w:szCs w:val="18"/>
          <w:color w:val="auto"/>
        </w:rPr>
        <w:t>— an iconic landmark of Macau, it is the world’s first figure-8 and Asia’s highest Ferris wheel. The Golden Reel rises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130 meters high between Studio City’s Art Deco-inspired twin hotel towers. The iconic landmark features 17 spacious Steampunk-themed cabins that can each accommodate up to ten passengers.</w:t>
      </w:r>
    </w:p>
    <w:p>
      <w:pPr>
        <w:spacing w:after="0" w:line="89"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Batman Dark Flight </w:t>
      </w:r>
      <w:r>
        <w:rPr>
          <w:rFonts w:ascii="Arial" w:cs="Arial" w:eastAsia="Arial" w:hAnsi="Arial"/>
          <w:sz w:val="18"/>
          <w:szCs w:val="18"/>
          <w:color w:val="auto"/>
        </w:rPr>
        <w:t>— the world’s first flight simulation ride based on the “Batman” franchise. Enhanced with the latest in flight</w:t>
      </w:r>
      <w:r>
        <w:rPr>
          <w:rFonts w:ascii="Arial" w:cs="Arial" w:eastAsia="Arial" w:hAnsi="Arial"/>
          <w:sz w:val="18"/>
          <w:szCs w:val="18"/>
          <w:i w:val="1"/>
          <w:iCs w:val="1"/>
          <w:color w:val="auto"/>
        </w:rPr>
        <w:t xml:space="preserve"> </w:t>
      </w:r>
      <w:r>
        <w:rPr>
          <w:rFonts w:ascii="Arial" w:cs="Arial" w:eastAsia="Arial" w:hAnsi="Arial"/>
          <w:sz w:val="18"/>
          <w:szCs w:val="18"/>
          <w:color w:val="auto"/>
        </w:rPr>
        <w:t>simulation technology and the very best in audio design and visual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86"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0"/>
        <w:spacing w:after="0" w:line="277" w:lineRule="auto"/>
        <w:rPr>
          <w:sz w:val="20"/>
          <w:szCs w:val="20"/>
          <w:color w:val="auto"/>
        </w:rPr>
      </w:pPr>
      <w:r>
        <w:rPr>
          <w:rFonts w:ascii="Arial" w:cs="Arial" w:eastAsia="Arial" w:hAnsi="Arial"/>
          <w:sz w:val="18"/>
          <w:szCs w:val="18"/>
          <w:color w:val="auto"/>
        </w:rPr>
        <w:t>graphics, this immersive flying theater ride provides thrill-seekers with a dynamic flying experience based on a multi-sensory, action-packed, digitally-animated Batman storyline with Batman’s heart-stopping encounters.</w:t>
      </w:r>
    </w:p>
    <w:p>
      <w:pPr>
        <w:spacing w:after="0" w:line="76" w:lineRule="exact"/>
        <w:rPr>
          <w:sz w:val="20"/>
          <w:szCs w:val="20"/>
          <w:color w:val="auto"/>
        </w:rPr>
      </w:pPr>
    </w:p>
    <w:p>
      <w:pPr>
        <w:ind w:left="1080" w:right="60" w:hanging="424"/>
        <w:spacing w:after="0" w:line="275"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Studio City Event Center </w:t>
      </w:r>
      <w:r>
        <w:rPr>
          <w:rFonts w:ascii="Arial" w:cs="Arial" w:eastAsia="Arial" w:hAnsi="Arial"/>
          <w:sz w:val="17"/>
          <w:szCs w:val="17"/>
          <w:color w:val="auto"/>
        </w:rPr>
        <w:t>— a 5,000-seat multi-purpose arena representing the centerpiece of Studio City’s live entertainment offerings.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complex has a first-class premium seating level offering 16 private VIP suites, in addition to approximately 242 luxury club seats and a deluxe club lounge. Each VIP suite is spacious and elegantly designed, coming fully equipped with stylish furnishings and a flat-screen TV. Playing host to concerts, theatrical shows, sporting events, family shows, award ceremonies and more, the Studio City Event Center is the next generation in versatile, innovative, premier and live entertainment venues.</w:t>
      </w:r>
    </w:p>
    <w:p>
      <w:pPr>
        <w:spacing w:after="0" w:line="81" w:lineRule="exact"/>
        <w:rPr>
          <w:rFonts w:ascii="Arial" w:cs="Arial" w:eastAsia="Arial" w:hAnsi="Arial"/>
          <w:sz w:val="17"/>
          <w:szCs w:val="17"/>
          <w:color w:val="auto"/>
        </w:rPr>
      </w:pPr>
    </w:p>
    <w:p>
      <w:pPr>
        <w:ind w:left="1080" w:right="40" w:hanging="424"/>
        <w:spacing w:after="0" w:line="255"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Studio City Water Park </w:t>
      </w:r>
      <w:r>
        <w:rPr>
          <w:rFonts w:ascii="Arial" w:cs="Arial" w:eastAsia="Arial" w:hAnsi="Arial"/>
          <w:sz w:val="18"/>
          <w:szCs w:val="18"/>
          <w:color w:val="auto"/>
        </w:rPr>
        <w:t>(opening in 2021) — a water park featuring several high-thrill and family-focused attractions, including the High</w:t>
      </w:r>
      <w:r>
        <w:rPr>
          <w:rFonts w:ascii="Arial" w:cs="Arial" w:eastAsia="Arial" w:hAnsi="Arial"/>
          <w:sz w:val="18"/>
          <w:szCs w:val="18"/>
          <w:i w:val="1"/>
          <w:iCs w:val="1"/>
          <w:color w:val="auto"/>
        </w:rPr>
        <w:t xml:space="preserve"> </w:t>
      </w:r>
      <w:r>
        <w:rPr>
          <w:rFonts w:ascii="Arial" w:cs="Arial" w:eastAsia="Arial" w:hAnsi="Arial"/>
          <w:sz w:val="18"/>
          <w:szCs w:val="18"/>
          <w:color w:val="auto"/>
        </w:rPr>
        <w:t>Point Twister, a 20-meter tall slide tower with waterslides for individuals and small families alike, and the Golden Bucket, a massive water play structure with a classic tipping bucket, four slides and over 60 water features. For small children, the Studio City Water Park includes the Little Lagoon with four slides for kids of all ages and their parents. Finally, the Studio City Water Park also includes Studio City’s Riverscape, a jungle-themed action river that is over 450 meters long which offers three routes of differing lengths, three white-sand beaches and 16 water features throughout the guest’s journey.</w:t>
      </w:r>
    </w:p>
    <w:p>
      <w:pPr>
        <w:spacing w:after="0" w:line="97"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Macau EStadium </w:t>
      </w:r>
      <w:r>
        <w:rPr>
          <w:rFonts w:ascii="Arial" w:cs="Arial" w:eastAsia="Arial" w:hAnsi="Arial"/>
          <w:sz w:val="18"/>
          <w:szCs w:val="18"/>
          <w:color w:val="auto"/>
        </w:rPr>
        <w:t>— a high-performance e-Sports venue that can seat approximately 220 guests. Macau EStadium is equipped with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non-casino gaming facilities and cutting-edge technology capable of hosting an array of e-Sports events, including top multiplayer gaming tournaments and live-streaming of e-Sports events from other parts of the world.</w:t>
      </w:r>
    </w:p>
    <w:p>
      <w:pPr>
        <w:spacing w:after="0" w:line="89"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Legend Heroes PVRk </w:t>
      </w:r>
      <w:r>
        <w:rPr>
          <w:rFonts w:ascii="Arial" w:cs="Arial" w:eastAsia="Arial" w:hAnsi="Arial"/>
          <w:sz w:val="18"/>
          <w:szCs w:val="18"/>
          <w:color w:val="auto"/>
        </w:rPr>
        <w:t>— a technology-based entertainment park which combines virtual technology with the physical world to deliver an</w:t>
      </w:r>
      <w:r>
        <w:rPr>
          <w:rFonts w:ascii="Arial" w:cs="Arial" w:eastAsia="Arial" w:hAnsi="Arial"/>
          <w:sz w:val="18"/>
          <w:szCs w:val="18"/>
          <w:i w:val="1"/>
          <w:iCs w:val="1"/>
          <w:color w:val="auto"/>
        </w:rPr>
        <w:t xml:space="preserve"> </w:t>
      </w:r>
      <w:r>
        <w:rPr>
          <w:rFonts w:ascii="Arial" w:cs="Arial" w:eastAsia="Arial" w:hAnsi="Arial"/>
          <w:sz w:val="18"/>
          <w:szCs w:val="18"/>
          <w:color w:val="auto"/>
        </w:rPr>
        <w:t>immersive user experience. Legend Heroes PVRk features flight simulation, VR simulations, Bowling Alleys, a free arcade, trendy retail, and a high-tech café featuring Macau’s only Robot Barista.</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Studio 88 KTV </w:t>
      </w:r>
      <w:r>
        <w:rPr>
          <w:rFonts w:ascii="Arial" w:cs="Arial" w:eastAsia="Arial" w:hAnsi="Arial"/>
          <w:sz w:val="18"/>
          <w:szCs w:val="18"/>
          <w:color w:val="auto"/>
        </w:rPr>
        <w:t>— a deluxe night club and karaoke.</w:t>
      </w:r>
    </w:p>
    <w:p>
      <w:pPr>
        <w:spacing w:after="0" w:line="130"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Studio 8 </w:t>
      </w:r>
      <w:r>
        <w:rPr>
          <w:rFonts w:ascii="Arial" w:cs="Arial" w:eastAsia="Arial" w:hAnsi="Arial"/>
          <w:sz w:val="18"/>
          <w:szCs w:val="18"/>
          <w:color w:val="auto"/>
        </w:rPr>
        <w:t>— the only TV studio facility in Macau to provide open access to “plug-in and play” facilities to create a fully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recording and broadcast studio. Studio 8 is a state-of-the-art studio facility with all the best-in-class infrastructure to support portable specialist equipment required for world-class TV production.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Meetings, Incentives, Conventions and Exhibitions</w:t>
      </w:r>
    </w:p>
    <w:p>
      <w:pPr>
        <w:spacing w:after="0" w:line="117"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Studio City offers over 4,000 square meters of indoor event space with flexible configurations and customization options, which can accommodate a variety of events from an exclusive banquet to an international conference. The Grand Ballroom space of 1,820 square meters can be configured into three separate ballrooms with a banquet capacity of 1,200 seats or a cocktail reception for 1,500 people. Eight individual salons, together with the Grand Ballroom, provide a banquet seating capacity of up to 1,300 seats or meeting and break-out spaces with extensive pre-function areas for up to 1,800 people. Many of the salons offer views of the pool deck and have private outdoor terraces for coffee and lunch breaks.</w:t>
      </w:r>
    </w:p>
    <w:p>
      <w:pPr>
        <w:spacing w:after="0" w:line="161" w:lineRule="exact"/>
        <w:rPr>
          <w:sz w:val="20"/>
          <w:szCs w:val="20"/>
          <w:color w:val="auto"/>
        </w:rPr>
      </w:pPr>
    </w:p>
    <w:p>
      <w:pPr>
        <w:ind w:left="120" w:right="80" w:firstLine="991"/>
        <w:spacing w:after="0" w:line="221" w:lineRule="exact"/>
        <w:rPr>
          <w:sz w:val="20"/>
          <w:szCs w:val="20"/>
          <w:color w:val="auto"/>
        </w:rPr>
      </w:pPr>
      <w:r>
        <w:rPr>
          <w:rFonts w:ascii="Arial" w:cs="Arial" w:eastAsia="Arial" w:hAnsi="Arial"/>
          <w:sz w:val="16"/>
          <w:szCs w:val="16"/>
          <w:color w:val="auto"/>
        </w:rPr>
        <w:t>MICE events typically take place on weekdays, thereby drawing traffic during the portion of the week when hotels and casinos in Macau normally experience lower demand relative to weekends and holidays when occupancy and room rates are typically at their peak due to leisure travel. Since its opening, events held at Studio City included live concerts from headline acts such as Madonna, four time Grammy Awards nominee FLO RIDA, Aaron Kwok (</w:t>
      </w:r>
      <w:r>
        <w:rPr>
          <w:rFonts w:ascii="PMingLiU" w:cs="PMingLiU" w:eastAsia="PMingLiU" w:hAnsi="PMingLiU"/>
          <w:sz w:val="14"/>
          <w:szCs w:val="14"/>
          <w:color w:val="auto"/>
        </w:rPr>
        <w:t>郭富城</w:t>
      </w:r>
      <w:r>
        <w:rPr>
          <w:rFonts w:ascii="Arial" w:cs="Arial" w:eastAsia="Arial" w:hAnsi="Arial"/>
          <w:sz w:val="16"/>
          <w:szCs w:val="16"/>
          <w:color w:val="auto"/>
        </w:rPr>
        <w:t>), Han Hong (</w:t>
      </w:r>
      <w:r>
        <w:rPr>
          <w:rFonts w:ascii="PMingLiU" w:cs="PMingLiU" w:eastAsia="PMingLiU" w:hAnsi="PMingLiU"/>
          <w:sz w:val="14"/>
          <w:szCs w:val="14"/>
          <w:color w:val="auto"/>
        </w:rPr>
        <w:t>韓紅</w:t>
      </w:r>
      <w:r>
        <w:rPr>
          <w:rFonts w:ascii="Arial" w:cs="Arial" w:eastAsia="Arial" w:hAnsi="Arial"/>
          <w:sz w:val="16"/>
          <w:szCs w:val="16"/>
          <w:color w:val="auto"/>
        </w:rPr>
        <w:t>), Kenny G, A-mei (</w:t>
      </w:r>
      <w:r>
        <w:rPr>
          <w:rFonts w:ascii="PMingLiU" w:cs="PMingLiU" w:eastAsia="PMingLiU" w:hAnsi="PMingLiU"/>
          <w:sz w:val="14"/>
          <w:szCs w:val="14"/>
          <w:color w:val="auto"/>
        </w:rPr>
        <w:t>張惠妹</w:t>
      </w:r>
      <w:r>
        <w:rPr>
          <w:rFonts w:ascii="Arial" w:cs="Arial" w:eastAsia="Arial" w:hAnsi="Arial"/>
          <w:sz w:val="16"/>
          <w:szCs w:val="16"/>
          <w:color w:val="auto"/>
        </w:rPr>
        <w:t>) and Jam Hsiao (</w:t>
      </w:r>
      <w:r>
        <w:rPr>
          <w:rFonts w:ascii="PMingLiU" w:cs="PMingLiU" w:eastAsia="PMingLiU" w:hAnsi="PMingLiU"/>
          <w:sz w:val="14"/>
          <w:szCs w:val="14"/>
          <w:color w:val="auto"/>
        </w:rPr>
        <w:t>蕭敬騰</w:t>
      </w:r>
      <w:r>
        <w:rPr>
          <w:rFonts w:ascii="Arial" w:cs="Arial" w:eastAsia="Arial" w:hAnsi="Arial"/>
          <w:sz w:val="16"/>
          <w:szCs w:val="16"/>
          <w:color w:val="auto"/>
        </w:rPr>
        <w:t>) as well as themed events such as a three-day Wedding Showcase (featuring dream wedding venue set-ups, tableware demonstrations, wedding gown catwalk shows and instrumental performances), a Chinese New Year’s Promo, Shakemas Campaign for Christmas, Michelin Guide Street Food Festival and The Super 8 basketball tournament.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86"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120" w:right="60" w:firstLine="991"/>
        <w:spacing w:after="0" w:line="270" w:lineRule="auto"/>
        <w:rPr>
          <w:sz w:val="20"/>
          <w:szCs w:val="20"/>
          <w:color w:val="auto"/>
        </w:rPr>
      </w:pPr>
      <w:r>
        <w:rPr>
          <w:rFonts w:ascii="Arial" w:cs="Arial" w:eastAsia="Arial" w:hAnsi="Arial"/>
          <w:sz w:val="17"/>
          <w:szCs w:val="17"/>
          <w:color w:val="auto"/>
        </w:rPr>
        <w:t>We seek to cater to a broad range of customers with a focus on mass market players through the diverse gaming and non-gaming facilities and amenities at Studio City. The loyalty program, which is operated by the Gaming Operator jointly with other Gaming Operator casinos, at Studio City ensures that each customer segment is specifically recognized and incentivized in accordance with their revenue contribution. The loyalty program is segmented into several tiers. Members earn points for their gaming spending which may be redeemed for a range of retail gifts and complimentary vouchers to be used in our restaurants, bars, shows, hotel and Studio City Casino. Members also receive other benefits such as discounts, parking entitlement and invitations to member-only promotional events. Dedicated customer hosting programs provide service to our most valuable customers and these customers enjoy exclusive access to private luxury gaming salons. In addition, we utilize sophisticated analytical programs and capabilities to track the behavior and spending patterns of our patrons. We believe these tools will help deepen our understanding of our customers to optimize yields and make continued improvements to our Studio City property.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Gaming Patrons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Gaming patrons currently include mass market players and VIP rolling chip players.</w:t>
      </w:r>
    </w:p>
    <w:p>
      <w:pPr>
        <w:spacing w:after="0" w:line="225"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Mass market players are non-VIP rolling chip players that come to Studio City Casino for a variety of reasons, including our brand, the quality and comfort of the mass market gaming offerings. Mass market players are classified as mainstream mass market and premium mass market players. Our premium mass market players generally do not take advantage of our luxury amenities to the same degree as VIP rolling chip players, but they are offered a variety of premium mass market amenities and loyalty programs, such as reserved space on the regular gaming floor and various other services, that are generally unavailable to mainstream mass market players. Mass market players play table games and gaming machines for cash stakes that are typically lower than those of VIP rolling chip players.</w:t>
      </w:r>
    </w:p>
    <w:p>
      <w:pPr>
        <w:spacing w:after="0" w:line="178" w:lineRule="exact"/>
        <w:rPr>
          <w:sz w:val="20"/>
          <w:szCs w:val="20"/>
          <w:color w:val="auto"/>
        </w:rPr>
      </w:pPr>
    </w:p>
    <w:p>
      <w:pPr>
        <w:ind w:left="120" w:right="20" w:firstLine="991"/>
        <w:spacing w:after="0" w:line="296" w:lineRule="auto"/>
        <w:rPr>
          <w:sz w:val="20"/>
          <w:szCs w:val="20"/>
          <w:color w:val="auto"/>
        </w:rPr>
      </w:pPr>
      <w:r>
        <w:rPr>
          <w:rFonts w:ascii="Arial" w:cs="Arial" w:eastAsia="Arial" w:hAnsi="Arial"/>
          <w:sz w:val="16"/>
          <w:szCs w:val="16"/>
          <w:color w:val="auto"/>
        </w:rPr>
        <w:t>VIP rolling chip players are patrons who participate in Studio City Casino’s in-house rolling chip programs or in the rolling chip programs of the gaming promoters at the dedicated VIP gaming areas. These patrons include premium direct players sourced through the marketing efforts of the Gaming Operator, and junket players sourced by the gaming promoters. VIP rolling chip players can earn a variety of gaming related cash commissions and complimentary products and services, such as rooms, food and beverage and retail products provided by the Gaming Operator. The gaming promoters typically offer similar complimentary products or services and extend credit to the junket players sourced by them.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Non-Gaming Patrons</w:t>
      </w:r>
    </w:p>
    <w:p>
      <w:pPr>
        <w:spacing w:after="0" w:line="117"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We provide non-gaming patrons with a broad array of accommodations and leisure and entertainment offerings featured at Studio City, including interactive attractions, rides and attractive retail offerings and food and beverage selections.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assess and evaluate our focus on different market segments from time to time and adjust our operations accordingly.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Promoters</w:t>
      </w:r>
    </w:p>
    <w:p>
      <w:pPr>
        <w:spacing w:after="0" w:line="121" w:lineRule="exact"/>
        <w:rPr>
          <w:sz w:val="20"/>
          <w:szCs w:val="20"/>
          <w:color w:val="auto"/>
        </w:rPr>
      </w:pPr>
    </w:p>
    <w:p>
      <w:pPr>
        <w:ind w:left="120" w:right="140" w:firstLine="991"/>
        <w:spacing w:after="0" w:line="311" w:lineRule="auto"/>
        <w:rPr>
          <w:sz w:val="20"/>
          <w:szCs w:val="20"/>
          <w:color w:val="auto"/>
        </w:rPr>
      </w:pPr>
      <w:r>
        <w:rPr>
          <w:rFonts w:ascii="Arial" w:cs="Arial" w:eastAsia="Arial" w:hAnsi="Arial"/>
          <w:sz w:val="16"/>
          <w:szCs w:val="16"/>
          <w:color w:val="auto"/>
        </w:rPr>
        <w:t>Gaming promoters in Macau are independent third parties that include both individuals and corporate entities, all of which are officially required to be licensed by the DICJ. The Gaming Operator has procedures to screen prospective gaming promoters prior to their engagement and conducts periodic checks that are designed to ensure that the gaming promoters with whom the Gaming Operator associates meet suitability standards.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86"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The gaming promoters are compensated through commission arrangements that are calculated on a monthly or a per trip basis. Commission is calculated either by reference to revenue share or monthly rolling chip volume. The gaming promoters may also receive complimentary allowances for food and beverage, hotel accommodation and transportation.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and Marketing</w:t>
      </w:r>
    </w:p>
    <w:p>
      <w:pPr>
        <w:spacing w:after="0" w:line="121" w:lineRule="exact"/>
        <w:rPr>
          <w:sz w:val="20"/>
          <w:szCs w:val="20"/>
          <w:color w:val="auto"/>
        </w:rPr>
      </w:pPr>
    </w:p>
    <w:p>
      <w:pPr>
        <w:jc w:val="both"/>
        <w:ind w:left="120" w:right="80" w:firstLine="991"/>
        <w:spacing w:after="0" w:line="311" w:lineRule="auto"/>
        <w:rPr>
          <w:sz w:val="20"/>
          <w:szCs w:val="20"/>
          <w:color w:val="auto"/>
        </w:rPr>
      </w:pPr>
      <w:r>
        <w:rPr>
          <w:rFonts w:ascii="Arial" w:cs="Arial" w:eastAsia="Arial" w:hAnsi="Arial"/>
          <w:sz w:val="16"/>
          <w:szCs w:val="16"/>
          <w:color w:val="auto"/>
        </w:rPr>
        <w:t>In order to be competitive in the Macau gaming environment, the Gaming Operator holds various promotions and special events at Studio City and operates a loyalty program for patrons. In addition, Studio City participates in cross marketing and sales campaigns developed by the Gaming Operator. We believe this arrangement helps reduce marketing costs through scale synergies and enhances cross-revenue opportunities.</w:t>
      </w:r>
    </w:p>
    <w:p>
      <w:pPr>
        <w:spacing w:after="0" w:line="149"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Moreover, we seek to attract customers to Studio City and to grow our customer base over time by undertaking a variety of advertising and marketing activities.</w:t>
      </w:r>
    </w:p>
    <w:p>
      <w:pPr>
        <w:spacing w:after="0" w:line="170" w:lineRule="exact"/>
        <w:rPr>
          <w:sz w:val="20"/>
          <w:szCs w:val="20"/>
          <w:color w:val="auto"/>
        </w:rPr>
      </w:pPr>
    </w:p>
    <w:p>
      <w:pPr>
        <w:ind w:left="120" w:right="220" w:firstLine="991"/>
        <w:spacing w:after="0" w:line="275" w:lineRule="auto"/>
        <w:rPr>
          <w:sz w:val="20"/>
          <w:szCs w:val="20"/>
          <w:color w:val="auto"/>
        </w:rPr>
      </w:pPr>
      <w:r>
        <w:rPr>
          <w:rFonts w:ascii="Arial" w:cs="Arial" w:eastAsia="Arial" w:hAnsi="Arial"/>
          <w:sz w:val="17"/>
          <w:szCs w:val="17"/>
          <w:color w:val="auto"/>
        </w:rPr>
        <w:t>There are public relations and marketing and branding teams dedicated to Studio City that cultivate media relationships, promote Studio City’s brands and directly liaise with customers within target Asian and other countries in order to explore media opportunities in various markets. Advertising activities at Studio City are rolled out through a variety of local and regional media platforms, including digital, social media, print, television, online, outdoor as well as collateral and direct mail pieces. We also engage celebrities for marketing activities. We believe that these marketing and incentive programs will increase our brand awareness and drive further visitation to Studio City.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left="120" w:firstLine="991"/>
        <w:spacing w:after="0" w:line="259" w:lineRule="auto"/>
        <w:rPr>
          <w:sz w:val="20"/>
          <w:szCs w:val="20"/>
          <w:color w:val="auto"/>
        </w:rPr>
      </w:pPr>
      <w:r>
        <w:rPr>
          <w:rFonts w:ascii="Arial" w:cs="Arial" w:eastAsia="Arial" w:hAnsi="Arial"/>
          <w:sz w:val="17"/>
          <w:szCs w:val="17"/>
          <w:color w:val="auto"/>
        </w:rPr>
        <w:t>In recognition of Studio City’s facilities, games, customer service, atmosphere, style and design, Studio City was awarded the International Five Star Standard, Best Large Hotel Macau, Best City Hotel Macau, Best Resort Hotel Macau and Best Convention Hotel Macau in the International Hotel Awards 2017-18. Studio City was the Global Winner in the “Luxury Casino Hotel” category and the Regional Winner (East Asia) in the “Luxury Family Hotel” category of the 2017 World Luxury Hotel Awards. The property was also awarded the “Casino/Integrated Resort of the Year” in the International Gaming Awards in 2016 and honored as “Asia’s Leading New Resort” in World Travel Awards in 2016. Studio City’s Star Tower received the Forbes Travel Guide Five-Star recognition the fourth consecutive year in 2021 and achieved the Sharecare Health Security VERIFIED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with Forbes Travel Guide certification in 2020, recognizing its commitment to creating a culture of accountability and following global best practices to heighten health security. Zensa Spa was awarded the Forbes Travel Guide Five-Star recognition for the third time in 2021 and was named “World’s Most Luxurious Spa” by the Guide in 2018. Studio City’s signature Cantonese restaurant, </w:t>
      </w:r>
      <w:r>
        <w:rPr>
          <w:rFonts w:ascii="Arial" w:cs="Arial" w:eastAsia="Arial" w:hAnsi="Arial"/>
          <w:sz w:val="17"/>
          <w:szCs w:val="17"/>
          <w:i w:val="1"/>
          <w:iCs w:val="1"/>
          <w:color w:val="auto"/>
        </w:rPr>
        <w:t>Pearl Dragon</w:t>
      </w:r>
      <w:r>
        <w:rPr>
          <w:rFonts w:ascii="Arial" w:cs="Arial" w:eastAsia="Arial" w:hAnsi="Arial"/>
          <w:sz w:val="17"/>
          <w:szCs w:val="17"/>
          <w:color w:val="auto"/>
        </w:rPr>
        <w:t xml:space="preserve">, received its third Forbes Travel Guide Five-Star recognition in 2021 and was selected as a Regional Winner in the “Chinese Cuisine” category at the 2020 World Luxury Restaurant Award. It received one-Michelin-starred establishment rank for the fifth consecutive year in the Michelin Guide Hong Kong Macau 2021, while Bi Ying has once again been recommended in the guidebook. In addition, </w:t>
      </w:r>
      <w:r>
        <w:rPr>
          <w:rFonts w:ascii="Arial" w:cs="Arial" w:eastAsia="Arial" w:hAnsi="Arial"/>
          <w:sz w:val="17"/>
          <w:szCs w:val="17"/>
          <w:i w:val="1"/>
          <w:iCs w:val="1"/>
          <w:color w:val="auto"/>
        </w:rPr>
        <w:t>Pearl Dragon</w:t>
      </w:r>
      <w:r>
        <w:rPr>
          <w:rFonts w:ascii="Arial" w:cs="Arial" w:eastAsia="Arial" w:hAnsi="Arial"/>
          <w:sz w:val="17"/>
          <w:szCs w:val="17"/>
          <w:color w:val="auto"/>
        </w:rPr>
        <w:t xml:space="preserve"> and </w:t>
      </w:r>
      <w:r>
        <w:rPr>
          <w:rFonts w:ascii="Arial" w:cs="Arial" w:eastAsia="Arial" w:hAnsi="Arial"/>
          <w:sz w:val="17"/>
          <w:szCs w:val="17"/>
          <w:i w:val="1"/>
          <w:iCs w:val="1"/>
          <w:color w:val="auto"/>
        </w:rPr>
        <w:t>Bi Ying</w:t>
      </w:r>
      <w:r>
        <w:rPr>
          <w:rFonts w:ascii="Arial" w:cs="Arial" w:eastAsia="Arial" w:hAnsi="Arial"/>
          <w:sz w:val="17"/>
          <w:szCs w:val="17"/>
          <w:color w:val="auto"/>
        </w:rPr>
        <w:t xml:space="preserve"> were included in the list of Hong Kong Tatler’s Best Restaurants guide in 2017.</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Competition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Macau Gaming Market</w:t>
      </w:r>
    </w:p>
    <w:p>
      <w:pPr>
        <w:spacing w:after="0" w:line="117"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Gaming in Macau is administered through government-sanctioned concessions awarded to three different concessionaires: SJM, Galaxy and Wynn Resorts Macau.</w:t>
      </w:r>
    </w:p>
    <w:p>
      <w:pPr>
        <w:spacing w:after="0" w:line="170" w:lineRule="exact"/>
        <w:rPr>
          <w:sz w:val="20"/>
          <w:szCs w:val="20"/>
          <w:color w:val="auto"/>
        </w:rPr>
      </w:pPr>
    </w:p>
    <w:p>
      <w:pPr>
        <w:ind w:left="120" w:right="1020" w:firstLine="991"/>
        <w:spacing w:after="0" w:line="277" w:lineRule="auto"/>
        <w:rPr>
          <w:sz w:val="20"/>
          <w:szCs w:val="20"/>
          <w:color w:val="auto"/>
        </w:rPr>
      </w:pPr>
      <w:r>
        <w:rPr>
          <w:rFonts w:ascii="Arial" w:cs="Arial" w:eastAsia="Arial" w:hAnsi="Arial"/>
          <w:sz w:val="18"/>
          <w:szCs w:val="18"/>
          <w:color w:val="auto"/>
        </w:rPr>
        <w:t>SJM is a subsidiary of SJM Holdings Ltd., a company listed on the Hong Kong Stock Exchange in which family members of Mr. Lawrence Ho, the chairman of our company and the chairman and chief executive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86"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officer of Melco Resorts, have shareholding interests. SJM currently operates multiple casinos throughout Macau. SJM (through its predecessor Tourism and Entertainment Company of Macau Limited) commenced its gaming operations in Macau in 1962 and is developing its project in Cotai, which is currently expected to open in the first half of 2021.</w:t>
      </w:r>
    </w:p>
    <w:p>
      <w:pPr>
        <w:spacing w:after="0" w:line="184"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SJM has granted a subconcession to MGM Grand. MGM Grand is listed on the Hong Kong Stock Exchange and was originally formed as a joint venture by MGM-Mirage and Ms. Pansy Ho, sister of Mr. Lawrence Ho. MGM Grand opened MGM Macau on the Macau Peninsula in December 2007 and MGM Cotai in February 2018.</w:t>
      </w:r>
    </w:p>
    <w:p>
      <w:pPr>
        <w:spacing w:after="0" w:line="184" w:lineRule="exact"/>
        <w:rPr>
          <w:sz w:val="20"/>
          <w:szCs w:val="20"/>
          <w:color w:val="auto"/>
        </w:rPr>
      </w:pPr>
    </w:p>
    <w:p>
      <w:pPr>
        <w:ind w:left="120" w:right="80" w:firstLine="991"/>
        <w:spacing w:after="0" w:line="279" w:lineRule="auto"/>
        <w:rPr>
          <w:sz w:val="20"/>
          <w:szCs w:val="20"/>
          <w:color w:val="auto"/>
        </w:rPr>
      </w:pPr>
      <w:r>
        <w:rPr>
          <w:rFonts w:ascii="Arial" w:cs="Arial" w:eastAsia="Arial" w:hAnsi="Arial"/>
          <w:sz w:val="17"/>
          <w:szCs w:val="17"/>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is currently developing phase 3 of the Galaxy Macau Resort, which is currently expected to be completed and fully operational in the first half of 2022, while phase 4 is expected to be completed and operational within a few years after the completion of Phase 3.</w:t>
      </w:r>
    </w:p>
    <w:p>
      <w:pPr>
        <w:spacing w:after="0" w:line="171" w:lineRule="exact"/>
        <w:rPr>
          <w:sz w:val="20"/>
          <w:szCs w:val="20"/>
          <w:color w:val="auto"/>
        </w:rPr>
      </w:pPr>
    </w:p>
    <w:p>
      <w:pPr>
        <w:ind w:left="120" w:right="100" w:firstLine="991"/>
        <w:spacing w:after="0" w:line="293" w:lineRule="auto"/>
        <w:rPr>
          <w:sz w:val="20"/>
          <w:szCs w:val="20"/>
          <w:color w:val="auto"/>
        </w:rPr>
      </w:pPr>
      <w:r>
        <w:rPr>
          <w:rFonts w:ascii="Arial" w:cs="Arial" w:eastAsia="Arial" w:hAnsi="Arial"/>
          <w:sz w:val="16"/>
          <w:szCs w:val="16"/>
          <w:color w:val="auto"/>
        </w:rPr>
        <w:t>Galaxy has granted a subconcession to Venetian Macau Limited, a subsidiary of Las Vegas Sands Corporation and Sands China Limited, which are listed on the New York Stock Exchange and the Hong Kong Stock Exchange, respectively. Las Vegas Sands Corporation is the developer of Sands Macao, The Venetian Macau, Sands Cotai Central and Parisian Macao. Venetian Macau Limited, with a subconcession under Galaxy’s concession, operates Sands Macao on the Macau peninsula, together with The Venetian Macau and the Plaza Casino at The Four Seasons Hotel Macao, which are located in Cotai. Venetian Macau Limited also operated Sands Cotai Central in Cotai, which has been rebranded and redeveloped into The Londoner Macau, which opened in February 2021. Sands China Ltd. opened the Parisian Macao in Cotai in September 2016.</w:t>
      </w:r>
    </w:p>
    <w:p>
      <w:pPr>
        <w:spacing w:after="0" w:line="164" w:lineRule="exact"/>
        <w:rPr>
          <w:sz w:val="20"/>
          <w:szCs w:val="20"/>
          <w:color w:val="auto"/>
        </w:rPr>
      </w:pPr>
    </w:p>
    <w:p>
      <w:pPr>
        <w:ind w:left="120" w:right="140" w:firstLine="991"/>
        <w:spacing w:after="0" w:line="255" w:lineRule="auto"/>
        <w:rPr>
          <w:sz w:val="20"/>
          <w:szCs w:val="20"/>
          <w:color w:val="auto"/>
        </w:rPr>
      </w:pPr>
      <w:r>
        <w:rPr>
          <w:rFonts w:ascii="Arial" w:cs="Arial" w:eastAsia="Arial" w:hAnsi="Arial"/>
          <w:sz w:val="18"/>
          <w:szCs w:val="18"/>
          <w:color w:val="auto"/>
        </w:rPr>
        <w:t>Wynn Resorts Macau, is a subsidiary of Wynn Macau, Limited, which is listed on the Hong Kong Stock Exchange, and of Wynn Resorts Limited, which is listed on the Nasdaq Global Select Market. Wynn Resorts Macau opened Wynn Macau in September 2006 on the Macau Peninsula and an extension called Encore in 2010. In August 2016, Wynn Resorts Macau opened Wynn Palace, in Cotai. Melco Resorts Macau obtained its subconcession from Wynn Resorts Macau. Melco Resorts Macau, in addition to Studio City Casino, also operates Mocha Clubs, Altira Macau (located in Taipa Island), which opened in May 2007, and City of Dreams located in Cotai, which opened in June 2009. Phase 3 of City of Dreams, which includes the Morpheus Hotel, opened in June 2018.</w:t>
      </w:r>
    </w:p>
    <w:p>
      <w:pPr>
        <w:spacing w:after="0" w:line="192"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The existing concessions and subconcessions do not place any limit on the number of gaming facilities that may be operated. In addition to facing competition from existing operations of these concessionaires and subconcessionaires, we will face increased competition when any of them constructs new or renovates pre-existing casinos in Macau or enters into leasing, services or other arrangements with hotel owners, developers or other parties for the operation of casinos and gaming activities in new or renovated properties. Each of these concessionaires was permitted to grant one subconcession. The Macau government is currently considering the process of renewal, extension or grant of gaming concessions or subconcessions expiring in 2022. The Macau government further announced that the number of gaming tables in Macau should not exceed 5,500 until the end of the first quarter of 2013 and that, thereafter, for a period of ten years, the total number of gaming tables to be authorized will be limited to an average annual increase of 3%. These restrictions are not legislated or enacted into laws or regulations and, as such, different policies, including the policy on the annual increase rate in the number of gaming tables, may be adopted at any time by the relevant Macau government authorities. According to the DICJ, the number of gaming tables operating in Macau as of December 31, 2020 was 6,080. The Macau government has reiterated further that it does not intend to authorize the operation of any new casino or gaming area that was not previously authorized by the Macau government, or permit tables authorized for mass market gaming operations to be utilized for VIP gaming operations or authorize the expansion of existing casinos or gaming areas. However, the policies and laws of the Macau government may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color w:val="auto"/>
        </w:rPr>
        <w:t>change and permit the Macau government to grant additional gaming concessions or subconcessions. Such change in policies may also result in a change in the number of gaming tables and casinos that the Macau government is prepared to authorize for operation.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Regional Markets</w:t>
      </w:r>
    </w:p>
    <w:p>
      <w:pPr>
        <w:spacing w:after="0" w:line="117"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Studio City may also face competition from casinos and gaming resorts in other regions such as Singapore, Malaysia, South Korea, the Philippines, Vietnam, Cambodia, Australia, New Zealand and Japan. Casinos and integrated gaming resorts are becoming increasingly popular in Asia, giving rise to more opportunities for industry participants and increasing regional competition.</w:t>
      </w:r>
    </w:p>
    <w:p>
      <w:pPr>
        <w:spacing w:after="0" w:line="184"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Singapore legalized casino gaming in 2006. Genting Singapore PLC opened its resort, Resorts World Sentosa, in Sentosa, Singapore in February 2010 and Las Vegas Sands Corporation opened its casino at Marina Bay Sands in Singapore in April 2010. In December 2016, a law which conceptually enables the development of integrated resorts in Japan took effect, with corresponding legislation providing a legislative framework for the development and implementation of integrated resorts in Japan taking effect in July 2018. In addition, several other Asian countries are considering or are in the process of legalizing gambling and establishing casino-based entertainment complexes.</w:t>
      </w:r>
    </w:p>
    <w:p>
      <w:pPr>
        <w:spacing w:after="0" w:line="176"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We may also face competition from hotels and resorts, including many of the largest gaming, hospitality, leisure and resort companies in the world. These include Travellers International Hotel Group, Inc., Bloomberry Resorts Corporation, Tiger Resorts Leisure and Entertainment Inc., Melco Resorts Leisure (PHP) Corporation as well as Philippine Amusement and Gaming Corporation.</w:t>
      </w:r>
    </w:p>
    <w:p>
      <w:pPr>
        <w:spacing w:after="0" w:line="184"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Genting Highlands is a popular international gaming resort in Malaysia, approximately a one-hour drive from Kuala Lumpur. We believe that the Genting Highlands caters to a different market than Macau, in large part because of the distance and travel times from the Greater China population centers from which Macau is expected to draw its principal traffic.</w:t>
      </w:r>
    </w:p>
    <w:p>
      <w:pPr>
        <w:spacing w:after="0" w:line="184" w:lineRule="exact"/>
        <w:rPr>
          <w:sz w:val="20"/>
          <w:szCs w:val="20"/>
          <w:color w:val="auto"/>
        </w:rPr>
      </w:pPr>
    </w:p>
    <w:p>
      <w:pPr>
        <w:ind w:left="120" w:right="20" w:firstLine="991"/>
        <w:spacing w:after="0" w:line="342" w:lineRule="auto"/>
        <w:rPr>
          <w:sz w:val="20"/>
          <w:szCs w:val="20"/>
          <w:color w:val="auto"/>
        </w:rPr>
      </w:pPr>
      <w:r>
        <w:rPr>
          <w:rFonts w:ascii="Arial" w:cs="Arial" w:eastAsia="Arial" w:hAnsi="Arial"/>
          <w:sz w:val="16"/>
          <w:szCs w:val="16"/>
          <w:color w:val="auto"/>
        </w:rPr>
        <w:t>South Korea has allowed casinos for foreigners for some time including Seven Luck Casino and Paradise Walker Hill Casino in Seoul and Paradise Casinos in Busan and Incheon. Kangwon Land Casino operates the only casino in the country that is open to Korean nationals.</w:t>
      </w:r>
    </w:p>
    <w:p>
      <w:pPr>
        <w:spacing w:after="0" w:line="124"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Star Cruises (Hong Kong) Ltd., or Star Cruises, is a leading cruise line in the Asia Pacific and is one of the largest cruise line operators in the world. Worldwide, Star Cruises presently operates a combined fleet of approximately 20 ships with more than 26,000 lower berths. Star Cruises vessels in Asia Pacific offer extensive gaming activities to their passengers. These cruise vessels may compete for Asian-based patrons with Studio City Casino gaming operations in Macau.</w:t>
      </w:r>
    </w:p>
    <w:p>
      <w:pPr>
        <w:spacing w:after="0" w:line="187"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There are a number of casino complexes in certain tourist destinations in Cambodia such as Dailin, Bavet, Poipet, Sihanoukville and Koh Kong, but they are relatively small compared to those in Macau.</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addition, there are major gaming facilities in Australia located in Melbourne, Perth, Sydney and the Gold Coast.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80" w:firstLine="991"/>
        <w:spacing w:after="0" w:line="311" w:lineRule="auto"/>
        <w:rPr>
          <w:sz w:val="20"/>
          <w:szCs w:val="20"/>
          <w:color w:val="auto"/>
        </w:rPr>
      </w:pPr>
      <w:r>
        <w:rPr>
          <w:rFonts w:ascii="Arial" w:cs="Arial" w:eastAsia="Arial" w:hAnsi="Arial"/>
          <w:sz w:val="16"/>
          <w:szCs w:val="16"/>
          <w:color w:val="auto"/>
        </w:rPr>
        <w:t>Macau, which is our principal market of operation, experiences many peaks and seasonal effects. The “Golden Week” and “Chinese New Year” holidays are generally the key periods where business and visitation increase considerably in Macau. While we may experience fluctuations in revenues and cash flows from month to month, we do not believe that our business is materially impacted by seasonality.</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8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Land and Properties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Land Concession</w:t>
      </w:r>
    </w:p>
    <w:p>
      <w:pPr>
        <w:spacing w:after="0" w:line="117"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In October 2001, we entered into a land concession contract with the Macau government for the land on which Studio City is located. The contract was subsequently amended in 2012 and 2015.</w:t>
      </w:r>
    </w:p>
    <w:p>
      <w:pPr>
        <w:spacing w:after="0" w:line="170" w:lineRule="exact"/>
        <w:rPr>
          <w:sz w:val="20"/>
          <w:szCs w:val="20"/>
          <w:color w:val="auto"/>
        </w:rPr>
      </w:pPr>
    </w:p>
    <w:p>
      <w:pPr>
        <w:ind w:left="120" w:right="120" w:firstLine="991"/>
        <w:spacing w:after="0" w:line="342" w:lineRule="auto"/>
        <w:rPr>
          <w:sz w:val="20"/>
          <w:szCs w:val="20"/>
          <w:color w:val="auto"/>
        </w:rPr>
      </w:pPr>
      <w:r>
        <w:rPr>
          <w:rFonts w:ascii="Arial" w:cs="Arial" w:eastAsia="Arial" w:hAnsi="Arial"/>
          <w:sz w:val="16"/>
          <w:szCs w:val="16"/>
          <w:color w:val="auto"/>
        </w:rPr>
        <w:t>The granted land is located in Cotai, Macau, with a total area of approximately 130,789 square meters. The gross construction area of our granted land is approximately 707,078 square meters. Currently, the gross floor area of Studio City is approximately 457,462 square meters.</w:t>
      </w:r>
    </w:p>
    <w:p>
      <w:pPr>
        <w:spacing w:after="0" w:line="124"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The land concession contract has a term of 25 years commencing on October 2001 and is renewable for further consecutive periods of ten years, subject to applicable legislation in Macau. Under the land concession contract, the Macau government may exercise its termination rights under certain conditions.</w:t>
      </w:r>
    </w:p>
    <w:p>
      <w:pPr>
        <w:spacing w:after="0" w:line="184"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Pursuant to our land concession and the extension granted by the Macau government, our granted land, including the remaining project, must be fully developed by May 31, 2022. See “Item 3. Key Information — D. Risk Factors — Risks Relating to Our Business — We are developing the remaining project for Studio City under the terms of a land concession which currently require us to fully develop the land on which Studio City is located by May 31, 2022. Any extension of the development period is subject to Macau government review and approval at its discretion. In the event of any failure to complete the remaining project, we could be forced to forfeit all or part of our investment in Studio City, along with our interest in the land on which Studio City is located and the building and structures on such land.”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 of Our Remaining Project</w:t>
      </w:r>
    </w:p>
    <w:p>
      <w:pPr>
        <w:spacing w:after="0" w:line="117"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7"/>
          <w:szCs w:val="17"/>
          <w:color w:val="auto"/>
        </w:rPr>
        <w:t>Under our current plan for the remaining project, the remaining project is expected to consist of two hotel towers with approximately 900 rooms and suites and a gaming area. In addition, we currently envision the remaining project to also contain a waterpark with indoor and outdoor areas. Other attractions expected to be part of the remaining project include MICE space, retail and food and beverage outlets and a cineplex. As of December 31, 2020, we have incurred approximately US$256.2 million of aggregate costs relating to the development of our remaining project, primarily related to the initial design and planning costs. Based on our current plan for the remaining project, we currently expect a project budget of approximately US$1.25 billion to US$1.30 billion for the development of the remaining project (exclusive of any pre-opening costs and financing costs). With the disruptions from the COVID-19 outbreak, the construction period has been delayed and is expected to extend beyond the estimated approximately 32 months and the current development period. The extension of the relevant development period is subject to Macau government review and approval at its discretion.</w:t>
      </w:r>
    </w:p>
    <w:p>
      <w:pPr>
        <w:spacing w:after="0" w:line="181" w:lineRule="exact"/>
        <w:rPr>
          <w:sz w:val="20"/>
          <w:szCs w:val="20"/>
          <w:color w:val="auto"/>
        </w:rPr>
      </w:pPr>
    </w:p>
    <w:p>
      <w:pPr>
        <w:ind w:left="120" w:right="80" w:firstLine="991"/>
        <w:spacing w:after="0" w:line="253" w:lineRule="auto"/>
        <w:rPr>
          <w:sz w:val="20"/>
          <w:szCs w:val="20"/>
          <w:color w:val="auto"/>
        </w:rPr>
      </w:pPr>
      <w:r>
        <w:rPr>
          <w:rFonts w:ascii="Arial" w:cs="Arial" w:eastAsia="Arial" w:hAnsi="Arial"/>
          <w:sz w:val="18"/>
          <w:szCs w:val="18"/>
          <w:color w:val="auto"/>
        </w:rPr>
        <w:t xml:space="preserve">Our plan for the remaining project may be subject to further revision and change and detailed design elements remain subject to further refinement and development. See </w:t>
      </w:r>
      <w:r>
        <w:rPr>
          <w:rFonts w:ascii="Arial" w:cs="Arial" w:eastAsia="Arial" w:hAnsi="Arial"/>
          <w:sz w:val="18"/>
          <w:szCs w:val="18"/>
          <w:i w:val="1"/>
          <w:iCs w:val="1"/>
          <w:color w:val="auto"/>
        </w:rPr>
        <w:t>“</w:t>
      </w:r>
      <w:r>
        <w:rPr>
          <w:rFonts w:ascii="Arial" w:cs="Arial" w:eastAsia="Arial" w:hAnsi="Arial"/>
          <w:sz w:val="18"/>
          <w:szCs w:val="18"/>
          <w:color w:val="auto"/>
        </w:rPr>
        <w:t>Item 3. Key Information — D. Risk Factors — Risks Relating to Our Business — We are developing the remaining project for Studio City under the terms of a land concession which currently require us to fully develop the land on which Studio City is located by May 31, 2022. Any extension of the development period is subject to Macau government review and approval at its discretion. In the event of any failure to complete the remaining project, we could be forced to forfeit all or part of our investment in Studio City, along with our interest in the land on which Studio City is located and the building and structures on such land,” “Item 3. Key Information — D. Risk Factors — Risks Relating to Our Business — Future development of the remaining project is subject to significant risks and uncertainties,” and “Item 3. Key Information — D. Risk Factors — Risks Relating to Our Business — We may not be able to obtain adequate financing on satisfactory terms for our existing business and/or remaining project, or at all.”</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Apart from the property site for Studio City, we do not own or lease any other properties.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However, our current and any future trademarks are subject to expiration and we cannot guarantee that we will be able to renew all of them upon expiration.</w:t>
      </w:r>
    </w:p>
    <w:p>
      <w:pPr>
        <w:spacing w:after="0" w:line="187"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Our trademarks and other intellectual property rights distinguish our services and products from those of our competitors and contribute to our ability to compete in our target markets. To protect our intellectual property, we rely on a combination of trademark, copyright and trade secret laws. To protect our intellectual property rights, we monitor any infringement or misappropriation of our intellectual property rights, and staff working at Studio City are generally subject to confidentiality obligations. For our license agreements that are required for our operations, see “Item 5. Operating and Financial Review and Prospects — C. Research and Development, Patents and Licenses, etc.”</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120" w:right="440" w:firstLine="991"/>
        <w:spacing w:after="0" w:line="272" w:lineRule="auto"/>
        <w:rPr>
          <w:sz w:val="20"/>
          <w:szCs w:val="20"/>
          <w:color w:val="auto"/>
        </w:rPr>
      </w:pPr>
      <w:r>
        <w:rPr>
          <w:rFonts w:ascii="Arial" w:cs="Arial" w:eastAsia="Arial" w:hAnsi="Arial"/>
          <w:sz w:val="17"/>
          <w:szCs w:val="17"/>
          <w:color w:val="auto"/>
        </w:rPr>
        <w:t>We maintain and benefit from, and expect to continue to maintain and benefit from, insurance of the types and in amounts that are customary in the industry and which we believe will reasonably protect our interests. This includes commercial general liability (including product liability and accidental pollution liability), automobile liability, workers compensation, property damage and machinery breakdown and business interruption insurances. We also require certain contractors who may perform work on Studio City, as well as other vendors, to maintain certain insurances. In each case, all such insurances are subject to various caps on liability, both on a per claim and aggregate basis, as well as certain deductibles and other terms and conditions. We do not maintain key-man life insurance. See “Item 3. Key Information — D. Risk Factors — Risks Relating to Our Business — We may not have sufficient insurance coverage.”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We are committed to environmental awareness and have developed built-in innovative and energy saving green technologies for operations at Studio City. Currently, we are not aware of any material environmental complaints having been made against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Internal Control Policies</w:t>
      </w:r>
    </w:p>
    <w:p>
      <w:pPr>
        <w:spacing w:after="0" w:line="121"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We have adopted our own governance policies and internal control measures in order to achieve operations in a professional manner in compliance with its, and Melco Resorts’, internal control requirements and applicable laws.</w:t>
      </w:r>
    </w:p>
    <w:p>
      <w:pPr>
        <w:spacing w:after="0" w:line="170"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The Foreign Corrupt Practices Act, or the FCPA, and Macau laws prohibit us and the staff and agents participating in the operations in Studio City from offering or giving money or any other item of value to win or retain business or to influence any act or decision of any government official. The Code of Business Conduct and Ethics, or the Code, includes provisions relating to compliance of all applicable anti-corruption laws including FCPA and the relevant Macau laws. The Ethical Business Practices Program covers corruption in both public and private sectors. It also covers the activities of our shareholders (to the extent they act or take actions on our behalf), directors, officers, employees and dedicated staff members performing services solely at Studio City.</w:t>
      </w:r>
    </w:p>
    <w:p>
      <w:pPr>
        <w:spacing w:after="0" w:line="192"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Studio City Casino is managed and operated by the Gaming Operator guided by requirements under the Subconcession Contract and applicable laws and Melco Resorts’ governance policies, including a set of anti-money laundering policies and procedures, or AML Policy, approved by the DICJ, addressing requirements issued by the DICJ and the DICJ’s instructions on anti-money laundering, counter-terrorist financing and other applicable laws and regulations in Macau.</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86"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There are training programs in place with the aim that all relevant staff involved in gaming operations managed by the Gaming Operator understand such AML Policy and the related procedures. The Gaming Operator also uses an integrated IT system to track and automatically generate significant cash transaction reports and, if permitted by the DICJ and the Finance Information Bureau, has the capability to submit those reports electronically.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Regulations</w:t>
      </w:r>
    </w:p>
    <w:p>
      <w:pPr>
        <w:spacing w:after="0" w:line="121" w:lineRule="exact"/>
        <w:rPr>
          <w:sz w:val="20"/>
          <w:szCs w:val="20"/>
          <w:color w:val="auto"/>
        </w:rPr>
      </w:pPr>
    </w:p>
    <w:p>
      <w:pPr>
        <w:ind w:left="120" w:right="280" w:firstLine="991"/>
        <w:spacing w:after="0" w:line="286" w:lineRule="auto"/>
        <w:rPr>
          <w:sz w:val="20"/>
          <w:szCs w:val="20"/>
          <w:color w:val="auto"/>
        </w:rPr>
      </w:pPr>
      <w:r>
        <w:rPr>
          <w:rFonts w:ascii="Arial" w:cs="Arial" w:eastAsia="Arial" w:hAnsi="Arial"/>
          <w:sz w:val="17"/>
          <w:szCs w:val="17"/>
          <w:color w:val="auto"/>
        </w:rPr>
        <w:t>The ownership and operation of casino gaming facilities in Macau are subject to the general civil and commercial laws and specific gaming laws, in particular, Law No. 16/2001, or the Macau Gaming Law. Macau’s gaming operations are also subject to the grant of a concession or subconcession by, and regulatory control of, the Macau government. See “— The Gaming Operator’s Subconcession.”</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DICJ is the supervisory authority and regulator of the gaming industry in Macau. The core functions of the DICJ are:</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collaborate in the definition of gaming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supervise and monitor the activities of the concessionaires and subconcessionaires;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investigate and monitor the continuing suitability and financial capacity requirements of concessionaires, subconcessionaires and gaming promoters;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issue licenses to gaming promoters;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license and certify gaming equipment;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issue directives and recommend practices with respect to the ordinary operation of casinos.</w:t>
      </w:r>
    </w:p>
    <w:p>
      <w:pPr>
        <w:spacing w:after="0" w:line="225"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Below are the main features of the Macau Gaming Law, as supplemented by Administrative Regulation no. 26/2001, that are applicable to the gaming business.</w:t>
      </w:r>
    </w:p>
    <w:p>
      <w:pPr>
        <w:spacing w:after="0" w:line="76" w:lineRule="exact"/>
        <w:rPr>
          <w:sz w:val="20"/>
          <w:szCs w:val="20"/>
          <w:color w:val="auto"/>
        </w:rPr>
      </w:pPr>
    </w:p>
    <w:p>
      <w:pPr>
        <w:ind w:left="1080" w:hanging="424"/>
        <w:spacing w:after="0" w:line="290"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Gaming Operator violates the Macau Gaming Law, the Gaming Operator’s subconcession could be limited, conditioned, suspended, revoked, or subject to compliance with certain statutory and regulatory procedures. In addition, the Gaming Operator, and the persons involved, could be subject to substantial fines for each separate violation of the Macau Gaming Law or of the Subconcession Contract at the discretion of the Macau government. Further, if the Gaming Operator terminates or suspends the operation of all or a part of its gaming operations without permission for reasons not due to force majeure, or in the event of the insufficiency of the gaming facilities and equipment which may affect the normal operation of its gaming business, the Macau government would be entitled to replace the Gaming Operator during such disruption and to ensure the continued operation of the gaming business. Under such circumstances, the Gaming Operator would bear the expenses required for maintaining the normal operation of the gaming business.</w:t>
      </w:r>
    </w:p>
    <w:p>
      <w:pPr>
        <w:spacing w:after="0" w:line="70" w:lineRule="exact"/>
        <w:rPr>
          <w:rFonts w:ascii="Arial" w:cs="Arial" w:eastAsia="Arial" w:hAnsi="Arial"/>
          <w:sz w:val="16"/>
          <w:szCs w:val="16"/>
          <w:color w:val="auto"/>
        </w:rPr>
      </w:pPr>
    </w:p>
    <w:p>
      <w:pPr>
        <w:ind w:left="1080" w:right="180" w:hanging="424"/>
        <w:spacing w:after="0" w:line="308"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Macau government also has the power to supervise concessionaires and subconcessionaires in order to assure financial stability and capability. See “— The Gaming Operator’s Subconcession — The Subconcession Contract” below for more details.</w:t>
      </w:r>
    </w:p>
    <w:p>
      <w:pPr>
        <w:spacing w:after="0" w:line="51" w:lineRule="exact"/>
        <w:rPr>
          <w:rFonts w:ascii="Arial" w:cs="Arial" w:eastAsia="Arial" w:hAnsi="Arial"/>
          <w:sz w:val="17"/>
          <w:szCs w:val="17"/>
          <w:color w:val="auto"/>
        </w:rPr>
      </w:pPr>
    </w:p>
    <w:p>
      <w:pPr>
        <w:ind w:left="1080" w:right="60" w:hanging="424"/>
        <w:spacing w:after="0" w:line="293"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person who fails or refuses to apply for a finding of suitability after being ordered to do so by the Macau government may be found unsuitable. Any shareholder of a concessionaire or subconcessionaire holding shares equal to or in excess of 5% of such concessionaire’s or subconcessionaire’s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or subconcessionaire. The Gaming Operator will be subject to disciplinary action if, after it receives notice that a person is unsuitable to be a shareholder or to have any other relationship with it, the Gaming Operator:</w:t>
      </w:r>
    </w:p>
    <w:p>
      <w:pPr>
        <w:spacing w:after="0" w:line="69" w:lineRule="exact"/>
        <w:rPr>
          <w:rFonts w:ascii="Arial" w:cs="Arial" w:eastAsia="Arial" w:hAnsi="Arial"/>
          <w:sz w:val="16"/>
          <w:szCs w:val="16"/>
          <w:color w:val="auto"/>
        </w:rPr>
      </w:pPr>
    </w:p>
    <w:p>
      <w:pPr>
        <w:ind w:left="1540" w:hanging="331"/>
        <w:spacing w:after="0"/>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pays that person any dividend or interest upon its shares;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8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conferred through shares held by that person;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fails to pursue all lawful efforts to require that unsuitable person to relinquish his or her shares.</w:t>
      </w:r>
    </w:p>
    <w:p>
      <w:pPr>
        <w:spacing w:after="0" w:line="130" w:lineRule="exact"/>
        <w:rPr>
          <w:rFonts w:ascii="Arial" w:cs="Arial" w:eastAsia="Arial" w:hAnsi="Arial"/>
          <w:sz w:val="18"/>
          <w:szCs w:val="18"/>
          <w:color w:val="auto"/>
        </w:rPr>
      </w:pPr>
    </w:p>
    <w:p>
      <w:pPr>
        <w:jc w:val="both"/>
        <w:ind w:left="1080" w:right="42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Macau government also requires prior approval for the creation of a lien over shares or property comprising a casino and gaming equipment and utensils of a concession or subconcession holder. In addition, the creation of restrictions on its shares in respect of any public offering requires the approval of the Macau government to be effective.</w:t>
      </w:r>
    </w:p>
    <w:p>
      <w:pPr>
        <w:spacing w:after="0" w:line="89" w:lineRule="exact"/>
        <w:rPr>
          <w:rFonts w:ascii="Arial" w:cs="Arial" w:eastAsia="Arial" w:hAnsi="Arial"/>
          <w:sz w:val="18"/>
          <w:szCs w:val="18"/>
          <w:color w:val="auto"/>
        </w:rPr>
      </w:pPr>
    </w:p>
    <w:p>
      <w:pPr>
        <w:ind w:left="1080" w:hanging="424"/>
        <w:spacing w:after="0" w:line="296"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Macau government must give its prior approval to changes in control through a merger, consolidation, shares acquisition, or any act or conduct by any person whereby such person obtains control of the Gaming Operator. Entities seeking to acquire control of a concessionaire or subconcessionaire must satisfy the Macau government with regards to a variety of stringent standards prior to assuming control. The Macau government may also require controlling shareholders, officers, directors and other persons having a material relationship or involvement with the entity proposing to acquire control, to be investigated for suitability as part of the approval process of the transaction.</w:t>
      </w:r>
    </w:p>
    <w:p>
      <w:pPr>
        <w:spacing w:after="0" w:line="161"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Non-compliance with these obligations could lead to the revocation of the Gaming Operator’s subconcession and could materially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adversely affect its gaming operations.</w:t>
      </w:r>
    </w:p>
    <w:p>
      <w:pPr>
        <w:spacing w:after="0" w:line="211" w:lineRule="exact"/>
        <w:rPr>
          <w:sz w:val="20"/>
          <w:szCs w:val="20"/>
          <w:color w:val="auto"/>
        </w:rPr>
      </w:pPr>
    </w:p>
    <w:p>
      <w:pPr>
        <w:ind w:left="120" w:right="120" w:firstLine="991"/>
        <w:spacing w:after="0" w:line="254" w:lineRule="auto"/>
        <w:rPr>
          <w:sz w:val="20"/>
          <w:szCs w:val="20"/>
          <w:color w:val="auto"/>
        </w:rPr>
      </w:pPr>
      <w:r>
        <w:rPr>
          <w:rFonts w:ascii="Arial" w:cs="Arial" w:eastAsia="Arial" w:hAnsi="Arial"/>
          <w:sz w:val="18"/>
          <w:szCs w:val="18"/>
          <w:color w:val="auto"/>
        </w:rPr>
        <w:t>The Macau government has also enacted other gaming legislation, rules and policies. Further, it imposed policies, regulations and restrictions that affect the minimum age required for entrance into casinos in Macau, the number of gaming tables that may be operated in Macau, location requirements for sites with gaming machine lounges, supply and requirements of gaming machines, equipment and systems, instruction on responsible gaming, restrictions on the utilization of mass market gaming tables for VIP gaming operations and other matters. In addition, the Macau government may consider enacting new regulations that may adversely affect the Gaming Operator’s gaming operations. The Gaming Operator’s inability to address the requirements or restrictions imposed by the Macau government under such legislation or rules could adversely affect its gaming operations, including Studio City Casino.</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Promoters Regulations</w:t>
      </w:r>
    </w:p>
    <w:p>
      <w:pPr>
        <w:spacing w:after="0" w:line="121" w:lineRule="exact"/>
        <w:rPr>
          <w:sz w:val="20"/>
          <w:szCs w:val="20"/>
          <w:color w:val="auto"/>
        </w:rPr>
      </w:pPr>
    </w:p>
    <w:p>
      <w:pPr>
        <w:ind w:left="120" w:right="160" w:firstLine="991"/>
        <w:spacing w:after="0" w:line="291" w:lineRule="auto"/>
        <w:rPr>
          <w:sz w:val="20"/>
          <w:szCs w:val="20"/>
          <w:color w:val="auto"/>
        </w:rPr>
      </w:pPr>
      <w:r>
        <w:rPr>
          <w:rFonts w:ascii="Arial" w:cs="Arial" w:eastAsia="Arial" w:hAnsi="Arial"/>
          <w:sz w:val="16"/>
          <w:szCs w:val="16"/>
          <w:color w:val="auto"/>
        </w:rPr>
        <w:t>Macau Administrative Regulation no. 6/2002, as amended pursuant to Administrative Regulation no. 27/2009, or the Gaming Promoters Regulation, regulates licensing of gaming promoters and the operations of gaming promotion business by gaming promoters. Applications to the DICJ by those seeking to become licensed gaming promoters must be sponsored by a concessionaire or subconcessionaire. Such concessionaire or subconcessionaire must confirm that it may contract the applicant’s services subject to the latter being licensed. Licenses are subject to annual renewal and a list of licensed gaming promoters is published every year in the Macau Official Gazette. The DICJ monitors each gaming promoter and its staff and collaborators. In October 2015, the DICJ issued specific accounting related instructions applicable to gaming promoters and their operations. Any failure by gaming promoters to comply with such instructions may impact their license and ability to operate in Macau.</w:t>
      </w:r>
    </w:p>
    <w:p>
      <w:pPr>
        <w:spacing w:after="0" w:line="166" w:lineRule="exact"/>
        <w:rPr>
          <w:sz w:val="20"/>
          <w:szCs w:val="20"/>
          <w:color w:val="auto"/>
        </w:rPr>
      </w:pPr>
    </w:p>
    <w:p>
      <w:pPr>
        <w:ind w:left="120" w:right="100" w:firstLine="991"/>
        <w:spacing w:after="0" w:line="296" w:lineRule="auto"/>
        <w:rPr>
          <w:sz w:val="20"/>
          <w:szCs w:val="20"/>
          <w:color w:val="auto"/>
        </w:rPr>
      </w:pPr>
      <w:r>
        <w:rPr>
          <w:rFonts w:ascii="Arial" w:cs="Arial" w:eastAsia="Arial" w:hAnsi="Arial"/>
          <w:sz w:val="16"/>
          <w:szCs w:val="16"/>
          <w:color w:val="auto"/>
        </w:rPr>
        <w:t>In addition, concessionaires and subconcessionaires are jointly liable for the activities of their gaming promoters and collaborators within their casinos. In addition to the licensing and suitability assessment process performed by the DICJ, all of the Gaming Operator’s gaming promoters undergo a thorough internal vetting procedures. The Gaming Operator conducts background checks and also conducts periodic reviews of the activities of each gaming promoter, its employees and its collaborators for possible non-compliance with Macau legal and regulatory requirements. Such reviews generally include investigations into compliance with applicable anti-money laundering laws and regulations as well as tax withholding requirements.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86"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87" w:lineRule="auto"/>
        <w:rPr>
          <w:sz w:val="20"/>
          <w:szCs w:val="20"/>
          <w:color w:val="auto"/>
        </w:rPr>
      </w:pPr>
      <w:r>
        <w:rPr>
          <w:rFonts w:ascii="Arial" w:cs="Arial" w:eastAsia="Arial" w:hAnsi="Arial"/>
          <w:sz w:val="16"/>
          <w:szCs w:val="16"/>
          <w:color w:val="auto"/>
        </w:rPr>
        <w:t>Concessionaires and subconcessionaires are required to report periodically on commissions and other remunerations paid to their gaming promoters. A 5% tax must be withheld on commissions and other remunerations paid by a concessionaire or subconcessionaire to its gaming promoters. Under the Gaming Promoters Regulation and in accordance with the Secretary for Economy and Finance Dispatch no. 83/2009, effective as of September 11, 2009, a commission cap of 1.25% of net rolling has been in effect. Any bonuses, gifts, services or other advantages which are subject to monetary valuation and which are granted, directly or indirectly, inside or outside of Macau by any concessionaire or subconcessionaires or any company of their respective group to any gaming promoter shall be considered a commission. The commission cap regulations impose fines, ranging from MOP100,000 (US$12,523) up to MOP500,000 (US$62,614), on gaming operators that do not comply with the cap and other fines, ranging from MOP50,000 (US$6,261) up to MOP250,000 (US$31,307) on gaming operators that do not comply with their reporting obligations regarding commission payments. If breached, the legislation on commission caps has a sanction enabling the relevant government authority to make public a government decision imposing a fine on a concessionaire and subconcessionaire by publishing such decision on the DICJ website and in two Macau newspapers (in Chinese and Portuguese respectively). We believe the Gaming Operator has implemented the necessary internal control systems to ensure compliance with the commission cap and reporting obligations in accordance with applicable rules and regulations.</w:t>
      </w:r>
    </w:p>
    <w:p>
      <w:pPr>
        <w:spacing w:after="0" w:line="168" w:lineRule="exact"/>
        <w:rPr>
          <w:sz w:val="20"/>
          <w:szCs w:val="20"/>
          <w:color w:val="auto"/>
        </w:rPr>
      </w:pPr>
    </w:p>
    <w:p>
      <w:pPr>
        <w:jc w:val="both"/>
        <w:ind w:left="120" w:right="200" w:firstLine="991"/>
        <w:spacing w:after="0" w:line="263" w:lineRule="auto"/>
        <w:rPr>
          <w:sz w:val="20"/>
          <w:szCs w:val="20"/>
          <w:color w:val="auto"/>
        </w:rPr>
      </w:pPr>
      <w:r>
        <w:rPr>
          <w:rFonts w:ascii="Arial" w:cs="Arial" w:eastAsia="Arial" w:hAnsi="Arial"/>
          <w:sz w:val="18"/>
          <w:szCs w:val="18"/>
          <w:color w:val="auto"/>
        </w:rPr>
        <w:t>The Macau government is currently considering amending the Macau Administrative Regulation no. 6/2002. The Macau government is, among other things, proposing that the licensing requirements for gaming promoters be more stringent and restrictive, the imposition of new penalties and the increase of the amounts of current fines.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Credit Regulations</w:t>
      </w:r>
    </w:p>
    <w:p>
      <w:pPr>
        <w:spacing w:after="0" w:line="121"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Macau Law no. 5/2004 has legalized the extension of gaming credit to patrons or gaming promoters by concessionaires and subconcessionaires. Gaming promoters may also extend credit to patrons upon obtaining an authorization by a concessionaire or subconcessionaire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 to Casinos and Gaming Areas Regulations</w:t>
      </w:r>
    </w:p>
    <w:p>
      <w:pPr>
        <w:spacing w:after="0" w:line="121" w:lineRule="exact"/>
        <w:rPr>
          <w:sz w:val="20"/>
          <w:szCs w:val="20"/>
          <w:color w:val="auto"/>
        </w:rPr>
      </w:pPr>
    </w:p>
    <w:p>
      <w:pPr>
        <w:ind w:left="120" w:right="120" w:firstLine="991"/>
        <w:spacing w:after="0" w:line="301" w:lineRule="auto"/>
        <w:rPr>
          <w:sz w:val="20"/>
          <w:szCs w:val="20"/>
          <w:color w:val="auto"/>
        </w:rPr>
      </w:pPr>
      <w:r>
        <w:rPr>
          <w:rFonts w:ascii="Arial" w:cs="Arial" w:eastAsia="Arial" w:hAnsi="Arial"/>
          <w:sz w:val="16"/>
          <w:szCs w:val="16"/>
          <w:color w:val="auto"/>
        </w:rPr>
        <w:t>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gaming operators and gaming promoters may not, starting from December 2019, access any casinos or gaming areas, except during the Chinese New Year festive season or under specific circumstances.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Smoking Regulations</w:t>
      </w:r>
    </w:p>
    <w:p>
      <w:pPr>
        <w:spacing w:after="0" w:line="12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Under the Smoking Prevention and Tobacco Control Law, as amended pursuant to Law no. 9/2017, from January 1, 2019, smoking on casino premises is only be permitted in authorized segregated smoking lounges with no gaming activities and such smoking lounges are required to meet certain standards determined by the Macau government.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Anti-Money Laundering and Terrorism Financing Regulations</w:t>
      </w:r>
    </w:p>
    <w:p>
      <w:pPr>
        <w:spacing w:after="0" w:line="121"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In conjunction with current gaming laws and regulations, we are required to comply with the laws and regulations relating to anti-money laundering activities in Macau. Law no. 2/2006 (as amended pursuant to Law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86"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no. 3/2017), the Administrative Regulation no. 7/2006 (as amended pursuant to Administrative Regulation no. 17/2017) and the DICJ Instruction no. 1/2016 in effect from May 13, 2016 (as amended pursuant to DICJ Instruction no. 1/2019), govern compliance requirements with respect to identifying, reporting and preventing anti-money laundering and terrorism financing crimes at casinos in Macau. Under these laws and regulations, the Gaming Operator is required to:</w:t>
      </w:r>
    </w:p>
    <w:p>
      <w:pPr>
        <w:spacing w:after="0" w:line="92" w:lineRule="exact"/>
        <w:rPr>
          <w:sz w:val="20"/>
          <w:szCs w:val="20"/>
          <w:color w:val="auto"/>
        </w:rPr>
      </w:pPr>
    </w:p>
    <w:p>
      <w:pPr>
        <w:ind w:left="1080" w:right="4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implement internal procedures and rules governing the prevention of anti-money laundering and terrorism financing crimes which are subject to prior approval from DICJ;</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 and evaluate the money laundering and terrorism financing risk inherent to gaming activities;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 any customer who is in a stable business relationship with the Gaming Operator, who is a politically exposed person or any customer or transaction where there is a sign of money laundering or financing of terrorism or which involves significant sums of money in the context of the transaction, even if any sign of money laundering is absent;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refuse to deal with any customers who fail to provide any information requested by the Gaming Operator;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keep records on the identification of a customer for a period of five years;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 regime for electronic transfers;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keep individual records of all transactions related to gaming which involve credit securities;</w:t>
      </w:r>
    </w:p>
    <w:p>
      <w:pPr>
        <w:spacing w:after="0" w:line="130"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keep records of all electronic transactions for amounts equal to or exceeding MOP8,000 (US$1,002) in cases of occasional transactions and MOP120,000 (US$15,027) in cases of transactions that arose in the context of a continuous business relationship;</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notify the Finance Information Bureau if there is any sign of money laundering or financing of terrorism;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adopt a compliance function and appoint compliance officers; and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cooperate with the Macau government by providing all required information and documentation requested in relation to anti-money laundering activities.</w:t>
      </w:r>
    </w:p>
    <w:p>
      <w:pPr>
        <w:spacing w:after="0" w:line="170"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Under Article 2 of Administrative Regulation no. 7/2006 (as amended pursuant to Administrative Regulation no. 17/2017) and the DICJ Instruction no. 1/2016 (as amended pursuant to DICJ Instruction no. 1/2019), the Gaming Operator is required to track and report transactions and granting of credit that are MOP500,000 (US$62,614) or above. Pursuant to the legal requirements above, if the customer provides all required information, after submitting the reports, the Gaming Operator may continue to deal with those customers that were reported to the DICJ and, in case of suspicious transactions, to the Finance Information Bureau.</w:t>
      </w:r>
    </w:p>
    <w:p>
      <w:pPr>
        <w:spacing w:after="0" w:line="188" w:lineRule="exact"/>
        <w:rPr>
          <w:sz w:val="20"/>
          <w:szCs w:val="20"/>
          <w:color w:val="auto"/>
        </w:rPr>
      </w:pPr>
    </w:p>
    <w:p>
      <w:pPr>
        <w:jc w:val="both"/>
        <w:ind w:left="120" w:right="40" w:firstLine="991"/>
        <w:spacing w:after="0" w:line="286" w:lineRule="auto"/>
        <w:rPr>
          <w:sz w:val="20"/>
          <w:szCs w:val="20"/>
          <w:color w:val="auto"/>
        </w:rPr>
      </w:pPr>
      <w:r>
        <w:rPr>
          <w:rFonts w:ascii="Arial" w:cs="Arial" w:eastAsia="Arial" w:hAnsi="Arial"/>
          <w:sz w:val="17"/>
          <w:szCs w:val="17"/>
          <w:color w:val="auto"/>
        </w:rPr>
        <w:t>The Gaming Operator employs internal controls and procedures designed to help ensure that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Subconcession Contract.</w:t>
      </w:r>
    </w:p>
    <w:p>
      <w:pPr>
        <w:spacing w:after="0" w:line="165" w:lineRule="exact"/>
        <w:rPr>
          <w:sz w:val="20"/>
          <w:szCs w:val="20"/>
          <w:color w:val="auto"/>
        </w:rPr>
      </w:pPr>
    </w:p>
    <w:p>
      <w:pPr>
        <w:ind w:left="120" w:right="260" w:firstLine="991"/>
        <w:spacing w:after="0" w:line="301" w:lineRule="auto"/>
        <w:rPr>
          <w:sz w:val="20"/>
          <w:szCs w:val="20"/>
          <w:color w:val="auto"/>
        </w:rPr>
      </w:pPr>
      <w:r>
        <w:rPr>
          <w:rFonts w:ascii="Arial" w:cs="Arial" w:eastAsia="Arial" w:hAnsi="Arial"/>
          <w:sz w:val="16"/>
          <w:szCs w:val="16"/>
          <w:color w:val="auto"/>
        </w:rPr>
        <w:t>The Gaming Operator has developed a comprehensive anti-money laundering policy and related procedures covering its anti-money laundering responsibilities, which have been approved by the DICJ, and have training programs in place to ensure that all relevant employees understand such anti-money laundering policy and procedures. The Gaming Operator also uses an integrated IT system to track and automatically generate significant cash transaction reports and, if permitted by the DICJ and the Finance Information Bureau, to submit those reports electronically.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86"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Responsible Gaming Regulations</w:t>
      </w:r>
    </w:p>
    <w:p>
      <w:pPr>
        <w:spacing w:after="0" w:line="121"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On October 18, 2019, the DICJ issued Instruction no. 4/2019, which came into effect on December 27, 2019, setting out measures for the implementation of responsible gaming principles. Under this instruction, concessionaires and subconcessionaires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self-exclusion and exclusion at third party request procedures, off-duty gaming related employees entry restriction procedures, physical entry requirements, preventive measures for restricted access by persons under 21 years of age; public exhibition of time; creation and training of teams and a coordinator responsible for promoting responsible gambling.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 of Cross-border Transportation of Cash Regulations</w:t>
      </w:r>
    </w:p>
    <w:p>
      <w:pPr>
        <w:spacing w:after="0" w:line="12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(US$15,027)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(US$125) and not exceeding MOP500,000 (US$62,614).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Prevention and Suppression of Corruption in External Trade Regulations</w:t>
      </w:r>
    </w:p>
    <w:p>
      <w:pPr>
        <w:spacing w:after="0" w:line="121" w:lineRule="exact"/>
        <w:rPr>
          <w:sz w:val="20"/>
          <w:szCs w:val="20"/>
          <w:color w:val="auto"/>
        </w:rPr>
      </w:pPr>
    </w:p>
    <w:p>
      <w:pPr>
        <w:ind w:left="120" w:right="360" w:firstLine="991"/>
        <w:spacing w:after="0" w:line="286" w:lineRule="auto"/>
        <w:rPr>
          <w:sz w:val="20"/>
          <w:szCs w:val="20"/>
          <w:color w:val="auto"/>
        </w:rPr>
      </w:pPr>
      <w:r>
        <w:rPr>
          <w:rFonts w:ascii="Arial" w:cs="Arial" w:eastAsia="Arial" w:hAnsi="Arial"/>
          <w:sz w:val="17"/>
          <w:szCs w:val="17"/>
          <w:color w:val="auto"/>
        </w:rPr>
        <w:t>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Melco Resorts’ internal policies, which we follow, address this issue.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 Freezing Enforcement Regulations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of Macau in all technical aspects of such enforcement. Among other entities, gaming operators are subject to certain obligations and duties regarding the freezing of assets ordered by the United Nations Security Council sanctions resolutions, including reporting and cooperation obligations.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Regulations</w:t>
      </w:r>
    </w:p>
    <w:p>
      <w:pPr>
        <w:spacing w:after="0" w:line="121" w:lineRule="exact"/>
        <w:rPr>
          <w:sz w:val="20"/>
          <w:szCs w:val="20"/>
          <w:color w:val="auto"/>
        </w:rPr>
      </w:pPr>
    </w:p>
    <w:p>
      <w:pPr>
        <w:ind w:left="120" w:right="60" w:firstLine="991"/>
        <w:spacing w:after="0" w:line="279" w:lineRule="auto"/>
        <w:rPr>
          <w:sz w:val="20"/>
          <w:szCs w:val="20"/>
          <w:color w:val="auto"/>
        </w:rPr>
      </w:pPr>
      <w:r>
        <w:rPr>
          <w:rFonts w:ascii="Arial" w:cs="Arial" w:eastAsia="Arial" w:hAnsi="Arial"/>
          <w:sz w:val="17"/>
          <w:szCs w:val="17"/>
          <w:color w:val="auto"/>
        </w:rPr>
        <w:t>Gaming operators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86"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Rights Regulations</w:t>
      </w:r>
    </w:p>
    <w:p>
      <w:pPr>
        <w:spacing w:after="0" w:line="121"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Our subsidiaries incorporated in Macau are subject to local intellectual property regulations. Intellectual property protection in Macau is supervised by the Intellectual Property Department of the Economic Services Bureau of the Macau government.</w:t>
      </w:r>
    </w:p>
    <w:p>
      <w:pPr>
        <w:spacing w:after="0" w:line="170" w:lineRule="exact"/>
        <w:rPr>
          <w:sz w:val="20"/>
          <w:szCs w:val="20"/>
          <w:color w:val="auto"/>
        </w:rPr>
      </w:pPr>
    </w:p>
    <w:p>
      <w:pPr>
        <w:ind w:left="120" w:right="140" w:firstLine="991"/>
        <w:spacing w:after="0" w:line="257" w:lineRule="auto"/>
        <w:rPr>
          <w:sz w:val="20"/>
          <w:szCs w:val="20"/>
          <w:color w:val="auto"/>
        </w:rPr>
      </w:pPr>
      <w:r>
        <w:rPr>
          <w:rFonts w:ascii="Arial" w:cs="Arial" w:eastAsia="Arial" w:hAnsi="Arial"/>
          <w:sz w:val="18"/>
          <w:szCs w:val="18"/>
          <w:color w:val="auto"/>
        </w:rPr>
        <w:t>The applicable regime in Macau with regard to intellectual property rights is defined by two main laws. The Industrial Property Code (Decree-Law no. 97/99/M, as amended pursuant to Law no. 11/2001), covers (i) inventions meeting the patentability requirements; (ii) 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 Data Regulations</w:t>
      </w:r>
    </w:p>
    <w:p>
      <w:pPr>
        <w:spacing w:after="0" w:line="121"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Processing of personal data by our subsidiaries in Macau is subject to compliance with the Personal Data Protection Act (Law no. 8/2005) and, in the case of the Gaming Operator, any instructions issued by the DICJ from time to time. The Office for Personal Data Protection, or GPDP, is the regulatory authority in Macau in charge of supervising and enforcing the Personal Data Protection Act. Breaches are subject to civil liability, administrative and criminal sanctions.</w:t>
      </w:r>
    </w:p>
    <w:p>
      <w:pPr>
        <w:spacing w:after="0" w:line="187"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The legal framework and the instructions issued by the DICJ require that certain procedures must be adopted before collecting, processing and/or transferring personal data, including obtaining consent from the data subject and/or notifying or requesting authorization from the GPDP and/or DICJ, as applicable, prior to processing personal data.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 Regulations</w:t>
      </w:r>
    </w:p>
    <w:p>
      <w:pPr>
        <w:spacing w:after="0" w:line="121" w:lineRule="exact"/>
        <w:rPr>
          <w:sz w:val="20"/>
          <w:szCs w:val="20"/>
          <w:color w:val="auto"/>
        </w:rPr>
      </w:pPr>
    </w:p>
    <w:p>
      <w:pPr>
        <w:ind w:left="120" w:right="100" w:firstLine="991"/>
        <w:spacing w:after="0" w:line="342" w:lineRule="auto"/>
        <w:rPr>
          <w:sz w:val="20"/>
          <w:szCs w:val="20"/>
          <w:color w:val="auto"/>
        </w:rPr>
      </w:pPr>
      <w:r>
        <w:rPr>
          <w:rFonts w:ascii="Arial" w:cs="Arial" w:eastAsia="Arial" w:hAnsi="Arial"/>
          <w:sz w:val="16"/>
          <w:szCs w:val="16"/>
          <w:color w:val="auto"/>
        </w:rPr>
        <w:t>Law no. 13/2019, the Cybersecurity Law came into effect on December 21, 2019 and is intended to protect networks, systems and data of public and private operators of critical infra-structures, among which operators of games of fortune and chance or other games in casinos are included.</w:t>
      </w:r>
    </w:p>
    <w:p>
      <w:pPr>
        <w:spacing w:after="0" w:line="124"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The cybersecurity system is composed of a Cybersecurity Commission, a Cybersecurity Alert and Response Incident Centre, or CARIC, and cybersecurity supervisory entities.</w:t>
      </w:r>
    </w:p>
    <w:p>
      <w:pPr>
        <w:spacing w:after="0" w:line="170"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Among other duties, private infra-structures operators are required to appoint a suitable and experienced person to be responsible for handling its cybersecurity and to be permanently reachable by the CARIC, create a cybersecurity department, implement adequate internal cybersecurity procedures, conduct evaluations of its networks’ security and risks, submit annual reports to their supervisory entity and inform the CARIC and the respective supervisory entity of any cybersecurity incidents.</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Additional regulations have been enacted to further determine and detail how the above-mentioned obligations are to be fulfilled.</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Labor Quotas Regulations</w:t>
      </w:r>
    </w:p>
    <w:p>
      <w:pPr>
        <w:spacing w:after="0" w:line="121"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All businesses in Macau must apply to the Labor Affairs Bureau for labor quotas to import non-resident unskilled workers from China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Melco Resorts has, through its subsidiaries, two main groups of labor quotas in Macau, one to import non-skilled workers from China and the other to import non-skilled workers from all other countries. Gaming operators (the Gaming Operator included) are not currently allowed to hire non-Macau resident dealers and supervisors under the Macau government’s policy.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91"/>
        <w:spacing w:after="0" w:line="286" w:lineRule="auto"/>
        <w:rPr>
          <w:sz w:val="20"/>
          <w:szCs w:val="20"/>
          <w:color w:val="auto"/>
        </w:rPr>
      </w:pPr>
      <w:r>
        <w:rPr>
          <w:rFonts w:ascii="Arial" w:cs="Arial" w:eastAsia="Arial" w:hAnsi="Arial"/>
          <w:sz w:val="17"/>
          <w:szCs w:val="17"/>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illnesses for all employees.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Minimum Salary Regulations</w:t>
      </w:r>
    </w:p>
    <w:p>
      <w:pPr>
        <w:spacing w:after="0" w:line="121"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On April 27, 2020, Law no. 5/2020, with respect to minimum salary, was enacted. Such law came into effect on November 1, 2020. In accordance with such law, the monthly minimum salary in Macau is MOP6,656 (US$834) per month (excluding overtime, night and shift allowances and regular bonus related payments). The minimum salary requirement applies to all workers in Macau except domestic helpers and special needs workers.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Land Regulations</w:t>
      </w:r>
    </w:p>
    <w:p>
      <w:pPr>
        <w:spacing w:after="0" w:line="121"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Land in Macau is legally divided into plots. In most cases, private interests in real property located in Macau are obtained through long-term leases from the Macau government.</w:t>
      </w:r>
    </w:p>
    <w:p>
      <w:pPr>
        <w:spacing w:after="0" w:line="170"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We have entered into a land concession contract for the land on which Studio City is located. The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71" w:lineRule="exact"/>
        <w:rPr>
          <w:sz w:val="20"/>
          <w:szCs w:val="20"/>
          <w:color w:val="auto"/>
        </w:rPr>
      </w:pPr>
    </w:p>
    <w:p>
      <w:pPr>
        <w:ind w:left="120" w:firstLine="991"/>
        <w:spacing w:after="0" w:line="308" w:lineRule="auto"/>
        <w:rPr>
          <w:sz w:val="20"/>
          <w:szCs w:val="20"/>
          <w:color w:val="auto"/>
        </w:rPr>
      </w:pPr>
      <w:r>
        <w:rPr>
          <w:rFonts w:ascii="Arial" w:cs="Arial" w:eastAsia="Arial" w:hAnsi="Arial"/>
          <w:sz w:val="17"/>
          <w:szCs w:val="17"/>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Distribution of Profits Regulations</w:t>
      </w:r>
    </w:p>
    <w:p>
      <w:pPr>
        <w:spacing w:after="0" w:line="121" w:lineRule="exact"/>
        <w:rPr>
          <w:sz w:val="20"/>
          <w:szCs w:val="20"/>
          <w:color w:val="auto"/>
        </w:rPr>
      </w:pPr>
    </w:p>
    <w:p>
      <w:pPr>
        <w:ind w:left="120" w:right="200" w:firstLine="991"/>
        <w:spacing w:after="0" w:line="257" w:lineRule="auto"/>
        <w:rPr>
          <w:sz w:val="20"/>
          <w:szCs w:val="20"/>
          <w:color w:val="auto"/>
        </w:rPr>
      </w:pPr>
      <w:r>
        <w:rPr>
          <w:rFonts w:ascii="Arial" w:cs="Arial" w:eastAsia="Arial" w:hAnsi="Arial"/>
          <w:sz w:val="18"/>
          <w:szCs w:val="18"/>
          <w:color w:val="auto"/>
        </w:rPr>
        <w:t>All 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shareholders of the relevant subsidiaries.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FCPA</w:t>
      </w:r>
    </w:p>
    <w:p>
      <w:pPr>
        <w:spacing w:after="0" w:line="121" w:lineRule="exact"/>
        <w:rPr>
          <w:sz w:val="20"/>
          <w:szCs w:val="20"/>
          <w:color w:val="auto"/>
        </w:rPr>
      </w:pPr>
    </w:p>
    <w:p>
      <w:pPr>
        <w:ind w:left="120" w:right="260" w:firstLine="991"/>
        <w:spacing w:after="0" w:line="342" w:lineRule="auto"/>
        <w:rPr>
          <w:sz w:val="20"/>
          <w:szCs w:val="20"/>
          <w:color w:val="auto"/>
        </w:rPr>
      </w:pPr>
      <w:r>
        <w:rPr>
          <w:rFonts w:ascii="Arial" w:cs="Arial" w:eastAsia="Arial" w:hAnsi="Arial"/>
          <w:sz w:val="16"/>
          <w:szCs w:val="16"/>
          <w:color w:val="auto"/>
        </w:rPr>
        <w:t>The FCPA prohibits us and our staff and agents from offering or giving money or any other item of value to win or retain business or to influence any act or decision of any foreign official. The Code includes specific FCPA-related provisions. See “— Our Internal Control Policies.”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Gaming Operator’s Subconcession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Concession Regime</w:t>
      </w:r>
    </w:p>
    <w:p>
      <w:pPr>
        <w:spacing w:after="0" w:line="117" w:lineRule="exact"/>
        <w:rPr>
          <w:sz w:val="20"/>
          <w:szCs w:val="20"/>
          <w:color w:val="auto"/>
        </w:rPr>
      </w:pPr>
    </w:p>
    <w:p>
      <w:pPr>
        <w:ind w:left="120" w:right="140" w:firstLine="991"/>
        <w:spacing w:after="0" w:line="301" w:lineRule="auto"/>
        <w:rPr>
          <w:sz w:val="20"/>
          <w:szCs w:val="20"/>
          <w:color w:val="auto"/>
        </w:rPr>
      </w:pPr>
      <w:r>
        <w:rPr>
          <w:rFonts w:ascii="Arial" w:cs="Arial" w:eastAsia="Arial" w:hAnsi="Arial"/>
          <w:sz w:val="16"/>
          <w:szCs w:val="16"/>
          <w:color w:val="auto"/>
        </w:rPr>
        <w:t>The Macau government conducted an international tender process for gaming concessions in Macau in 2001, and granted three gaming concessions to SJM, Galaxy and Wynn Resorts Macau, respectively. Upon authorization by the Macau government, each of SJM, Galaxy and Wynn Resorts Macau subsequently entered into subconcession contracts with their respective subconcessionaires to operate casino games and other games of chance in Macau. No further granting of subconcessions is permitted unless specifically authorized by the Macau government.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86"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Though there are no restrictions on the number of casinos or gaming areas that may be operated under each concession or subconcession, Macau government approval is required for the commencement of operations of any casino or gaming area.</w:t>
      </w:r>
    </w:p>
    <w:p>
      <w:pPr>
        <w:spacing w:after="0" w:line="170" w:lineRule="exact"/>
        <w:rPr>
          <w:sz w:val="20"/>
          <w:szCs w:val="20"/>
          <w:color w:val="auto"/>
        </w:rPr>
      </w:pPr>
    </w:p>
    <w:p>
      <w:pPr>
        <w:jc w:val="both"/>
        <w:ind w:left="120" w:firstLine="991"/>
        <w:spacing w:after="0" w:line="311" w:lineRule="auto"/>
        <w:rPr>
          <w:sz w:val="20"/>
          <w:szCs w:val="20"/>
          <w:color w:val="auto"/>
        </w:rPr>
      </w:pPr>
      <w:r>
        <w:rPr>
          <w:rFonts w:ascii="Arial" w:cs="Arial" w:eastAsia="Arial" w:hAnsi="Arial"/>
          <w:sz w:val="16"/>
          <w:szCs w:val="16"/>
          <w:color w:val="auto"/>
        </w:rPr>
        <w:t>The subconcessionaires that entered into subconcession contracts with SJM, Galaxy and Wynn Resorts Macau, are MGM Grand, Venetian Macau and the Gaming Operator, respectively. The Gaming Operator executed the Subconcession Contract with Wynn Resorts Macau on September 8, 2006. Wynn Resorts Macau will continue to develop and run hotel operations and casino projects independent of the Gaming Operator.</w:t>
      </w:r>
    </w:p>
    <w:p>
      <w:pPr>
        <w:spacing w:after="0" w:line="149" w:lineRule="exact"/>
        <w:rPr>
          <w:sz w:val="20"/>
          <w:szCs w:val="20"/>
          <w:color w:val="auto"/>
        </w:rPr>
      </w:pPr>
    </w:p>
    <w:p>
      <w:pPr>
        <w:ind w:left="120" w:right="520" w:firstLine="991"/>
        <w:spacing w:after="0" w:line="277" w:lineRule="auto"/>
        <w:rPr>
          <w:sz w:val="20"/>
          <w:szCs w:val="20"/>
          <w:color w:val="auto"/>
        </w:rPr>
      </w:pPr>
      <w:r>
        <w:rPr>
          <w:rFonts w:ascii="Arial" w:cs="Arial" w:eastAsia="Arial" w:hAnsi="Arial"/>
          <w:sz w:val="18"/>
          <w:szCs w:val="18"/>
          <w:color w:val="auto"/>
        </w:rPr>
        <w:t>All concessionaires and subconcessionaires must pay a special gaming tax of 35% of gross gaming revenues, defined as all gaming revenues derived from casino or gaming areas, plus an annual gaming premium of:</w:t>
      </w:r>
    </w:p>
    <w:p>
      <w:pPr>
        <w:spacing w:after="0" w:line="76"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MOP30 million (equivalent to approximately US$3.8 million) per annum fixed premium;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MOP300,000 (equivalent to approximately US$37,569) per annum per VIP gaming table;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MOP150,000 (equivalent to approximately US$18,784) per annum per mass market gaming table;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MOP1,000 (equivalent to approximately US$125) per annum per electric or mechanical gaming.</w:t>
      </w:r>
    </w:p>
    <w:p>
      <w:pPr>
        <w:spacing w:after="0" w:line="225"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The Macau government has been considering the extension, renewal or the grant of new concessions and subconcessions. As part of such efforts, in May 2016, the Macau government conducted a mid-term review to analyze the impact of the gaming industry on the local economy, business environment of small and medium enterprises, local population and gaming and non-gaming business sectors and the current status of the gaming promoters.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Subconcession Contract</w:t>
      </w:r>
    </w:p>
    <w:p>
      <w:pPr>
        <w:spacing w:after="0" w:line="117" w:lineRule="exact"/>
        <w:rPr>
          <w:sz w:val="20"/>
          <w:szCs w:val="20"/>
          <w:color w:val="auto"/>
        </w:rPr>
      </w:pPr>
    </w:p>
    <w:p>
      <w:pPr>
        <w:jc w:val="both"/>
        <w:ind w:left="120" w:right="20" w:firstLine="991"/>
        <w:spacing w:after="0" w:line="308" w:lineRule="auto"/>
        <w:rPr>
          <w:sz w:val="20"/>
          <w:szCs w:val="20"/>
          <w:color w:val="auto"/>
        </w:rPr>
      </w:pPr>
      <w:r>
        <w:rPr>
          <w:rFonts w:ascii="Arial" w:cs="Arial" w:eastAsia="Arial" w:hAnsi="Arial"/>
          <w:sz w:val="17"/>
          <w:szCs w:val="17"/>
          <w:color w:val="auto"/>
        </w:rPr>
        <w:t>The Subconcession Contract provides for the terms and conditions of the subconcession granted to the Gaming Operator by Wynn Resorts Macau. The Gaming Operator does not have the right to further grant a subconcession or transfer the operation to third parties.</w:t>
      </w:r>
    </w:p>
    <w:p>
      <w:pPr>
        <w:spacing w:after="0" w:line="146" w:lineRule="exact"/>
        <w:rPr>
          <w:sz w:val="20"/>
          <w:szCs w:val="20"/>
          <w:color w:val="auto"/>
        </w:rPr>
      </w:pPr>
    </w:p>
    <w:p>
      <w:pPr>
        <w:jc w:val="both"/>
        <w:ind w:left="120" w:right="40" w:firstLine="991"/>
        <w:spacing w:after="0" w:line="311" w:lineRule="auto"/>
        <w:rPr>
          <w:sz w:val="20"/>
          <w:szCs w:val="20"/>
          <w:color w:val="auto"/>
        </w:rPr>
      </w:pPr>
      <w:r>
        <w:rPr>
          <w:rFonts w:ascii="Arial" w:cs="Arial" w:eastAsia="Arial" w:hAnsi="Arial"/>
          <w:sz w:val="16"/>
          <w:szCs w:val="16"/>
          <w:color w:val="auto"/>
        </w:rPr>
        <w:t>The Gaming Operator paid a consideration of US$900 million to Wynn Resorts Macau. On September 8, 2006, the Gaming Operator was granted the right to operate games of fortune and chance or other games in casinos in Macau until the expiration of the subconcession on June 26, 2022. No further payments need to be made to Wynn Resorts Macau in future operations during the subconcession period.</w:t>
      </w:r>
    </w:p>
    <w:p>
      <w:pPr>
        <w:spacing w:after="0" w:line="149" w:lineRule="exact"/>
        <w:rPr>
          <w:sz w:val="20"/>
          <w:szCs w:val="20"/>
          <w:color w:val="auto"/>
        </w:rPr>
      </w:pPr>
    </w:p>
    <w:p>
      <w:pPr>
        <w:ind w:left="120" w:right="160" w:firstLine="991"/>
        <w:spacing w:after="0" w:line="287" w:lineRule="auto"/>
        <w:rPr>
          <w:sz w:val="20"/>
          <w:szCs w:val="20"/>
          <w:color w:val="auto"/>
        </w:rPr>
      </w:pPr>
      <w:r>
        <w:rPr>
          <w:rFonts w:ascii="Arial" w:cs="Arial" w:eastAsia="Arial" w:hAnsi="Arial"/>
          <w:sz w:val="16"/>
          <w:szCs w:val="16"/>
          <w:color w:val="auto"/>
        </w:rPr>
        <w:t>The Macau government has confirmed that the subconcession is independent of Wynn Resorts Macau’s concession and that the Gaming Operator does not have any obligations to Wynn Resorts Macau pursuant to the Subconcession Contract. It is thus not affected by any modification, suspension, redemption, termination or rescission of Wynn Resorts Macau’s concession. In addition, an early termination of Wynn Resorts Macau’s concession before June 26, 2022, would not result in the termination of the subconcession. The subconcession was authorized and approved by the Macau government. Absent any change to the Gaming Operator’s legal status, rights, duties and obligations towards the Macau government or any change in applicable law, the Gaming Operator will continue to be validly entitled to operate independently under and pursuant to the subconcession, notwithstanding the termination or rescission of Wynn Resorts Macau’s concession, the insolvency of Wynn Resorts Macau and/or the replacement of Wynn Resorts Macau as concessionaire in the Subconcession Contract. The Macau government has a contractual obligation to the effect that, should Wynn Resorts Macau cease to hold the concession prior to June 26, 2022, the Macau government would replace Wynn Resorts Macau with another entity so as to ensure that the Gaming Operator may continue to operate games of chance and other games in casinos in Macau and the subconcession would at all times be under a concession. Both the Macau government and Wynn Resorts Macau have undertaken to cooperate with the Gaming Operator to ensure all the legal and contractual obligations are met.</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86"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the Key Terms of the Subconcession Contract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summary of the key terms of the Subconcession Contract is as follows:</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Development of Gaming Projects/Financial Obligations</w:t>
      </w:r>
    </w:p>
    <w:p>
      <w:pPr>
        <w:spacing w:after="0" w:line="117" w:lineRule="exact"/>
        <w:rPr>
          <w:sz w:val="20"/>
          <w:szCs w:val="20"/>
          <w:color w:val="auto"/>
        </w:rPr>
      </w:pPr>
    </w:p>
    <w:p>
      <w:pPr>
        <w:ind w:left="120" w:right="420" w:firstLine="991"/>
        <w:spacing w:after="0" w:line="259" w:lineRule="auto"/>
        <w:rPr>
          <w:sz w:val="20"/>
          <w:szCs w:val="20"/>
          <w:color w:val="auto"/>
        </w:rPr>
      </w:pPr>
      <w:r>
        <w:rPr>
          <w:rFonts w:ascii="Arial" w:cs="Arial" w:eastAsia="Arial" w:hAnsi="Arial"/>
          <w:sz w:val="18"/>
          <w:szCs w:val="18"/>
          <w:color w:val="auto"/>
        </w:rPr>
        <w:t>The Subconcession Contract requires the Gaming Operator to make a minimum investment in Macau of MOP4.0 billion (US$500.9 million), including investment in fully developing Altira Macau and the City of Dreams, by December 2010. In June 2010, the Gaming Operator obtained confirmation from the Macau government that as of the date of the confirmation, the Gaming Operator had invested over MOP4.0 billion (US$500.9 million) in these projects in Macau.</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Payments</w:t>
      </w:r>
    </w:p>
    <w:p>
      <w:pPr>
        <w:spacing w:after="0" w:line="117" w:lineRule="exact"/>
        <w:rPr>
          <w:sz w:val="20"/>
          <w:szCs w:val="20"/>
          <w:color w:val="auto"/>
        </w:rPr>
      </w:pPr>
    </w:p>
    <w:p>
      <w:pPr>
        <w:ind w:left="120" w:right="20" w:firstLine="991"/>
        <w:spacing w:after="0" w:line="289" w:lineRule="auto"/>
        <w:rPr>
          <w:sz w:val="20"/>
          <w:szCs w:val="20"/>
          <w:color w:val="auto"/>
        </w:rPr>
      </w:pPr>
      <w:r>
        <w:rPr>
          <w:rFonts w:ascii="Arial" w:cs="Arial" w:eastAsia="Arial" w:hAnsi="Arial"/>
          <w:sz w:val="16"/>
          <w:szCs w:val="16"/>
          <w:color w:val="auto"/>
        </w:rPr>
        <w:t>Subconcession premiums and taxes, computed in various ways depending upon the type of gaming or activity involved, are 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the Gaming Operator is also required to contribute to the Macau government an amount equivalent to 1.6% of the gross revenues of our gaming business. Such contribution must be delivered to a public foundation designated by the Macau government whose goal is to promote, develop or study culture, society, economy, education and science and engage in academic and charitable activities. Furthermore, the Gaming Operator is also obligated to contribute to Macau an amount equivalent to 2.4% of the gross revenues of the gaming business for urban development, tourism promotion and the social security of Macau. The Gaming Operator is required to collect and pay, through withholding, statutory taxes on commissions or other remunerations paid to gaming promoters.</w:t>
      </w:r>
    </w:p>
    <w:p>
      <w:pPr>
        <w:spacing w:after="0" w:line="274"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Termination Rights</w:t>
      </w:r>
    </w:p>
    <w:p>
      <w:pPr>
        <w:spacing w:after="0" w:line="117"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The Macau government has the right, after notifying Wynn Resorts Macau, to unilaterally terminate the Gaming Operator’s subconcession in the event of noncompliance by the Gaming Operator with its basic obligations under the subconcession and applicable Macau laws. Upon termination, all of the Gaming Operator’s casino premises and gaming equipment would revert to the Macau government automatically without compensation and the Gaming Operator would cease to generate any revenues from these operations. In many of these instances, the Subconcession Contract does not provide a specific cure period within which any such events may be cured and, instead, the Gaming Operator may be dependent on consultations and negotiations with the Macau government to enable it to remedy any such default. Neither the Gaming Operator nor Wynn Resorts Macau is granted explicit rights of veto, or of prior consultation. The Macau government may be able to unilaterally rescind the Subconcession Contract upon the following termination events:</w:t>
      </w:r>
    </w:p>
    <w:p>
      <w:pPr>
        <w:spacing w:after="0" w:line="97"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operation of gaming without permission or operation of business which does not fall within the business scope of the subconcession;</w:t>
      </w:r>
    </w:p>
    <w:p>
      <w:pPr>
        <w:spacing w:after="0" w:line="153"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abandonment of approved business or suspension of operations of our gaming business in Macau without reasonable grounds for more than seven consecutive days or more than fourteen non-consecutive days within one calendar year;</w:t>
      </w:r>
    </w:p>
    <w:p>
      <w:pPr>
        <w:spacing w:after="0" w:line="75" w:lineRule="exact"/>
        <w:rPr>
          <w:rFonts w:ascii="Arial" w:cs="Arial" w:eastAsia="Arial" w:hAnsi="Arial"/>
          <w:sz w:val="18"/>
          <w:szCs w:val="18"/>
          <w:color w:val="auto"/>
        </w:rPr>
      </w:pPr>
    </w:p>
    <w:p>
      <w:pPr>
        <w:jc w:val="both"/>
        <w:ind w:left="1080" w:right="560" w:hanging="424"/>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transfer of all or part of the Gaming Operator’s operation in Macau in violation of the relevant laws and administrative regulations governing the operation of games of fortune or chance and other casino games in Macau and without Macau government approval;</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pay taxes, premiums, levies or other amounts payable to the Macau government;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or failure to resume operations following the temporary assumption of operations by the Macau government;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8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hanging="424"/>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repeated opposition to the supervision and inspection by the Macau government and failure to comply with decisions and recommendations of the Macau government, especially those of the DICJ;</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failure to provide or supplement the guarantee deposit or the guarantees specified in the subconcession within the prescribed period;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bankruptcy or insolvency of the Gaming Operator;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fraudulent activity harming public interest;</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serious and repeated violation of the applicable rules for carrying out casino games of chance or games of other forms or damage to the fairness of casino games of chance or games of other forms;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systematic non-compliance with the Macau Gaming Law’s basic obligations;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grant to any other person of any managing power over the gaming business of the Gaming Operator or the grant of a subconcession or entering into any agreement to the same effect; or</w:t>
      </w:r>
    </w:p>
    <w:p>
      <w:pPr>
        <w:spacing w:after="0" w:line="75" w:lineRule="exact"/>
        <w:rPr>
          <w:rFonts w:ascii="Arial" w:cs="Arial" w:eastAsia="Arial" w:hAnsi="Arial"/>
          <w:sz w:val="18"/>
          <w:szCs w:val="18"/>
          <w:color w:val="auto"/>
        </w:rPr>
      </w:pPr>
    </w:p>
    <w:p>
      <w:pPr>
        <w:ind w:left="1080" w:right="180" w:hanging="424"/>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failure by a controlling shareholder in the Gaming Operator to dispose of its interest in the Gaming Operator, within ninety days from the date of the authorization given by the Macau government for such disposal, pursuant to written instructions received from the regulatory authority of a jurisdiction where the said shareholder is licensed to operate, which have had the effect that such controlling shareholder now wishes to dispose of the shares it owns in the Gaming Operator.</w:t>
      </w:r>
    </w:p>
    <w:p>
      <w:pPr>
        <w:spacing w:after="0" w:line="294"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i w:val="1"/>
          <w:iCs w:val="1"/>
          <w:color w:val="auto"/>
        </w:rPr>
        <w:t>Ownership and Capitalization</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Set out below are the key terms in relation to ownership and capitalization under the Subconcession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person who directly acquires voting rights in the Gaming Operator will be subject to authorization from the Macau government;</w:t>
      </w:r>
    </w:p>
    <w:p>
      <w:pPr>
        <w:spacing w:after="0" w:line="142" w:lineRule="exact"/>
        <w:rPr>
          <w:rFonts w:ascii="Arial" w:cs="Arial" w:eastAsia="Arial" w:hAnsi="Arial"/>
          <w:sz w:val="17"/>
          <w:szCs w:val="17"/>
          <w:color w:val="auto"/>
        </w:rPr>
      </w:pPr>
    </w:p>
    <w:p>
      <w:pPr>
        <w:ind w:left="1080" w:right="60" w:hanging="424"/>
        <w:spacing w:after="0" w:line="263"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Gaming Operator will be required to take the necessary measures to ensure that any person who directly or indirectly acquires 5% or more of the shares in the Gaming Operator would be subject to authorization from the Macau government, except when such acquisition is wholly made through the shares of publicly-listed companies tradable at a stock exchange;</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person who directly or indirectly acquires 5% or more of the shares in the Gaming Operator will be required to report the acquisition to the Macau government (except when such acquisition is wholly made through shares tradable on a stock exchange as a publicly-listed company);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Macau government’s prior approval would be required for any recapitalization plan of the Gaming Operator; and</w:t>
      </w:r>
    </w:p>
    <w:p>
      <w:pPr>
        <w:spacing w:after="0" w:line="130" w:lineRule="exact"/>
        <w:rPr>
          <w:rFonts w:ascii="Arial" w:cs="Arial" w:eastAsia="Arial" w:hAnsi="Arial"/>
          <w:sz w:val="18"/>
          <w:szCs w:val="18"/>
          <w:color w:val="auto"/>
        </w:rPr>
      </w:pPr>
    </w:p>
    <w:p>
      <w:pPr>
        <w:ind w:left="1100" w:right="1560" w:hanging="444"/>
        <w:spacing w:after="0" w:line="500" w:lineRule="auto"/>
        <w:tabs>
          <w:tab w:leader="none" w:pos="1081"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the Chief Executive of Macau could require the increase of the Gaming Operator’s share capital, if deemed necessary. </w:t>
      </w:r>
      <w:r>
        <w:rPr>
          <w:rFonts w:ascii="Arial" w:cs="Arial" w:eastAsia="Arial" w:hAnsi="Arial"/>
          <w:sz w:val="18"/>
          <w:szCs w:val="18"/>
          <w:i w:val="1"/>
          <w:iCs w:val="1"/>
          <w:color w:val="auto"/>
        </w:rPr>
        <w:t>Redemption</w:t>
      </w:r>
    </w:p>
    <w:p>
      <w:pPr>
        <w:spacing w:after="0" w:line="2" w:lineRule="exact"/>
        <w:rPr>
          <w:sz w:val="20"/>
          <w:szCs w:val="20"/>
          <w:color w:val="auto"/>
        </w:rPr>
      </w:pPr>
    </w:p>
    <w:p>
      <w:pPr>
        <w:ind w:left="120" w:right="240" w:firstLine="991"/>
        <w:spacing w:after="0" w:line="255" w:lineRule="auto"/>
        <w:rPr>
          <w:sz w:val="20"/>
          <w:szCs w:val="20"/>
          <w:color w:val="auto"/>
        </w:rPr>
      </w:pPr>
      <w:r>
        <w:rPr>
          <w:rFonts w:ascii="Arial" w:cs="Arial" w:eastAsia="Arial" w:hAnsi="Arial"/>
          <w:sz w:val="18"/>
          <w:szCs w:val="18"/>
          <w:color w:val="auto"/>
        </w:rPr>
        <w:t>Under the Subconcession Contract, from 2017, the Macau government has the right to redeem the Subconcession Contract by providing the Gaming Operator with at least one year’s prior notice. In the event the Macau government exercises this redemption right, the Gaming Operator would be entitled to compensation. The standards for the calculation of the amount of such compensation would be determined based on the gross revenues generated by City of Dreams during the tax year immediately prior to the redemption, multiplied by the remaining years of the term of the subconcession. The Gaming Operator or we would not receive any further compensation (including for consideration paid by the Gaming Operator to Wynn Resorts Macau for the subconcession).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86"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Others</w:t>
      </w:r>
    </w:p>
    <w:p>
      <w:pPr>
        <w:spacing w:after="0" w:line="117"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In addition, the Subconcession Contract contains various general covenants and obligations and other provisions, including special duties of cooperation, special duties of information, and execution of our investment obligations.</w:t>
      </w:r>
    </w:p>
    <w:p>
      <w:pPr>
        <w:spacing w:after="0" w:line="170" w:lineRule="exact"/>
        <w:rPr>
          <w:sz w:val="20"/>
          <w:szCs w:val="20"/>
          <w:color w:val="auto"/>
        </w:rPr>
      </w:pPr>
    </w:p>
    <w:p>
      <w:pPr>
        <w:jc w:val="both"/>
        <w:ind w:left="120" w:right="20" w:firstLine="991"/>
        <w:spacing w:after="0" w:line="311" w:lineRule="auto"/>
        <w:rPr>
          <w:sz w:val="20"/>
          <w:szCs w:val="20"/>
          <w:color w:val="auto"/>
        </w:rPr>
      </w:pPr>
      <w:r>
        <w:rPr>
          <w:rFonts w:ascii="Arial" w:cs="Arial" w:eastAsia="Arial" w:hAnsi="Arial"/>
          <w:sz w:val="16"/>
          <w:szCs w:val="16"/>
          <w:color w:val="auto"/>
        </w:rPr>
        <w:t>See “Item 3. Key Information — D. Risk Factors — Risks Relating to Operating in the Gaming Industry in Macau — The Subconcession Contract expires in June 2022 and if the Gaming Operator is unable to secure a new concession or subconcession or an extension of the subconcession in 2022, or if the Macau government were to exercise its redemption right, the Gaming Operator would be unable to operate Studio City Casino.”</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and Right to Use Arrangements Regulatory Requirements</w:t>
      </w:r>
    </w:p>
    <w:p>
      <w:pPr>
        <w:spacing w:after="0" w:line="121" w:lineRule="exact"/>
        <w:rPr>
          <w:sz w:val="20"/>
          <w:szCs w:val="20"/>
          <w:color w:val="auto"/>
        </w:rPr>
      </w:pPr>
    </w:p>
    <w:p>
      <w:pPr>
        <w:ind w:left="120" w:right="360" w:firstLine="991"/>
        <w:spacing w:after="0" w:line="311" w:lineRule="auto"/>
        <w:rPr>
          <w:sz w:val="20"/>
          <w:szCs w:val="20"/>
          <w:color w:val="auto"/>
        </w:rPr>
      </w:pPr>
      <w:r>
        <w:rPr>
          <w:rFonts w:ascii="Arial" w:cs="Arial" w:eastAsia="Arial" w:hAnsi="Arial"/>
          <w:sz w:val="16"/>
          <w:szCs w:val="16"/>
          <w:color w:val="auto"/>
        </w:rPr>
        <w:t>The entry into the Services and Right to Use Arrangements by the Gaming Operator and our subsidiary, Studio City Entertainment, pursuant to which the Studio City Casino is operated, was approved by the Macau government in April 2007, and the supplement and amendments thereto were approved by the Macau government in May 2012. Set out below are the key terms of such approvals which remain in force:</w:t>
      </w:r>
    </w:p>
    <w:p>
      <w:pPr>
        <w:spacing w:after="0" w:line="54" w:lineRule="exact"/>
        <w:rPr>
          <w:sz w:val="20"/>
          <w:szCs w:val="20"/>
          <w:color w:val="auto"/>
        </w:rPr>
      </w:pPr>
    </w:p>
    <w:p>
      <w:pPr>
        <w:ind w:left="108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Studio City Entertainment shall cooperate with the Macau government, making available any documents, information or data requested directly by the Macau government or through the Gaming Operator for the purposes of monitoring its activity, analysis of its accounts and performance of external audits;</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Studio City Entertainment shall have an annual audit conducted by an external entity, independent and previously accepted by the DICJ, for certification of accounting documents and compliance with relevant legal provisions;</w:t>
      </w:r>
    </w:p>
    <w:p>
      <w:pPr>
        <w:spacing w:after="0" w:line="75" w:lineRule="exact"/>
        <w:rPr>
          <w:rFonts w:ascii="Arial" w:cs="Arial" w:eastAsia="Arial" w:hAnsi="Arial"/>
          <w:sz w:val="18"/>
          <w:szCs w:val="18"/>
          <w:color w:val="auto"/>
        </w:rPr>
      </w:pPr>
    </w:p>
    <w:p>
      <w:pPr>
        <w:ind w:left="1080" w:right="220" w:hanging="424"/>
        <w:spacing w:after="0" w:line="279"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Studio City Entertainment accepts to be subject to the legal and contractual supervision of the Macau government applicable to gaming concessionaires and subconcessionaires, to ensure its own suitability and financial capacity, the suitability of its direct or indirect shareholders holding 5% or more of its share capital (except with respect to those shareholders holding shares tradeable on a stock exchange), and of its directors and key employees of the Studio City Casino;</w:t>
      </w:r>
    </w:p>
    <w:p>
      <w:pPr>
        <w:spacing w:after="0" w:line="76"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transfer of any rights under the Services and Right to Use Arrangements shall be subject to the prior authorization from the Macau government;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Gaming Operator and Studio City Entertainment are jointly and severally responsible for compliance with applicable laws, regulations and instructions issued by the Macau government, including those regarding anti-money laundering, anti-financing of terrorist acts, anti-corruption, operation of slot machines and minimum internal control requirements.</w:t>
      </w:r>
    </w:p>
    <w:p>
      <w:pPr>
        <w:spacing w:after="0" w:line="184" w:lineRule="exact"/>
        <w:rPr>
          <w:sz w:val="20"/>
          <w:szCs w:val="20"/>
          <w:color w:val="auto"/>
        </w:rPr>
      </w:pPr>
    </w:p>
    <w:p>
      <w:pPr>
        <w:ind w:left="120" w:right="360" w:firstLine="991"/>
        <w:spacing w:after="0" w:line="277" w:lineRule="auto"/>
        <w:rPr>
          <w:sz w:val="20"/>
          <w:szCs w:val="20"/>
          <w:color w:val="auto"/>
        </w:rPr>
      </w:pPr>
      <w:r>
        <w:rPr>
          <w:rFonts w:ascii="Arial" w:cs="Arial" w:eastAsia="Arial" w:hAnsi="Arial"/>
          <w:sz w:val="18"/>
          <w:szCs w:val="18"/>
          <w:color w:val="auto"/>
        </w:rPr>
        <w:t>In addition, as set out in the Macau government authorization letter for the listing of the Company dated March 5, 2018, the listing is subject to the following conditions:</w:t>
      </w:r>
    </w:p>
    <w:p>
      <w:pPr>
        <w:spacing w:after="0" w:line="76"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continues to hold, directly or indirectly, 100% of the equity interest of its subsidiary, Studio City Entertainment;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Melco Resorts continues to hold, directly or indirectly, at least 50.1% of the equity interest in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Melco International continues to hold, directly or indirectly, the majority of the equity interest in Melco Resorts;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Lawrence Ho, directly or indirectly, continues to hold the majority of the equity interest in Melco International to control such entity.</w:t>
      </w:r>
    </w:p>
    <w:p>
      <w:pPr>
        <w:spacing w:after="0" w:line="248"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Under such authorization, the Gaming Operator is required to annually provide the Macau government with evidence with respect to the compliance with the above conditions. In addition, under such authorization, we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40"/>
          </w:cols>
          <w:pgMar w:left="320" w:top="486" w:right="5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and the Gaming Operator are also required to comply with the conditions imposed by the Macau government in connection with its approval of our entry into the Services and Right to Use Arrangements.</w:t>
      </w:r>
    </w:p>
    <w:p>
      <w:pPr>
        <w:spacing w:after="0" w:line="170"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The Macau government also has the right to revoke such listing authorization if it deems that the listing is contrary to the public interest or in case of any breach of the mentioned conditions. In case of revocation of the listing authorization by the Macau government, we may be required by the Macau government to delist the ADSs from the New York Stock Exchange. Failure to do so could result in the approval of the Services and Right to Use Arrangements being revoked, preventing us from receiving any amounts thereunder, in a closure order being issued with respect to the Studio City Casino or the suspension or termination of the Gaming Operator’s subconcession and consequently we may be unable to offer any gaming facilities at Studio City.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We are domiciled in the Cayman Islands and our primary business operations are conducted through our subsidiaries. Under the current laws of the Cayman Islands, we are not subject to tax on income or capital gains. In addition, dividend payments are not subject to withholding tax in the Cayman Islands.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Our subsidiaries incorporated in Hong Kong and one of our subsidiaries incorporated in the BVI are subject to Hong Kong profits tax on their taxable income earned in or derived from Hong Kong at a uniform tax rate of 16.5%. No provision for Hong Kong profits tax has been made for the years ended December 31, 2020, 2019 and 2018 as there was no taxable income during such periods. Payments of dividends by our subsidiaries to us are not subject to withholding tax in Hong Kong.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Macau</w:t>
      </w:r>
    </w:p>
    <w:p>
      <w:pPr>
        <w:spacing w:after="0" w:line="117" w:lineRule="exact"/>
        <w:rPr>
          <w:sz w:val="20"/>
          <w:szCs w:val="20"/>
          <w:color w:val="auto"/>
        </w:rPr>
      </w:pPr>
    </w:p>
    <w:p>
      <w:pPr>
        <w:ind w:left="120" w:right="100" w:firstLine="991"/>
        <w:spacing w:after="0" w:line="296" w:lineRule="auto"/>
        <w:rPr>
          <w:sz w:val="20"/>
          <w:szCs w:val="20"/>
          <w:color w:val="auto"/>
        </w:rPr>
      </w:pPr>
      <w:r>
        <w:rPr>
          <w:rFonts w:ascii="Arial" w:cs="Arial" w:eastAsia="Arial" w:hAnsi="Arial"/>
          <w:sz w:val="16"/>
          <w:szCs w:val="16"/>
          <w:color w:val="auto"/>
        </w:rPr>
        <w:t>Our subsidiaries incorporated in Macau are subject to Macau complementary tax of 12% on taxable income, as defined in the relevant tax laws. Concessionaires and subconcessionaires are currently subject to a 35% special gaming tax as well as other levies of 4% under the relevant concession or subconcession and may benefit from a corporate tax holiday on profit from their gaming revenues. The Gaming Operator benefits from a corporate tax holiday on gaming generated income which expires at the end of 2021. No provision for Macau complementary tax on profits has been made for the years ended December 31, 2020, 2019 and 2018 as there was no taxable income during such periods.</w:t>
      </w:r>
    </w:p>
    <w:p>
      <w:pPr>
        <w:spacing w:after="0" w:line="161" w:lineRule="exact"/>
        <w:rPr>
          <w:sz w:val="20"/>
          <w:szCs w:val="20"/>
          <w:color w:val="auto"/>
        </w:rPr>
      </w:pPr>
    </w:p>
    <w:p>
      <w:pPr>
        <w:ind w:left="120" w:right="120" w:firstLine="991"/>
        <w:spacing w:after="0" w:line="301" w:lineRule="auto"/>
        <w:rPr>
          <w:sz w:val="20"/>
          <w:szCs w:val="20"/>
          <w:color w:val="auto"/>
        </w:rPr>
      </w:pPr>
      <w:r>
        <w:rPr>
          <w:rFonts w:ascii="Arial" w:cs="Arial" w:eastAsia="Arial" w:hAnsi="Arial"/>
          <w:sz w:val="16"/>
          <w:szCs w:val="16"/>
          <w:color w:val="auto"/>
        </w:rPr>
        <w:t>In January 2017, the Macau government granted an extension of the Macau complementary tax exemption for our subsidiary, Studio City Entertainment, for an additional five years from 2017 to 2021, on profits generated from income received from the Gaming Operator, to the extent that such income results from gaming operations within Studio City Casino and has been subject to gaming tax. Dividend distributions by Studio City Entertainment continue to be subject to Macau complementary tax. We remain subject to Macau complementary tax on our non-gaming related profits.</w:t>
      </w:r>
    </w:p>
    <w:p>
      <w:pPr>
        <w:spacing w:after="0" w:line="157"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Although the Studio City property is owned by Studio City Developments, we believe Studio City Hotels is entitled to such property tax holiday; however, there is no assurance that the Macau government will extend such benefit to Studio City Hotels.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86"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are a holding company for Studio City.</w:t>
      </w:r>
    </w:p>
    <w:p>
      <w:pPr>
        <w:spacing w:after="0" w:line="22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the place of formation, ownership interest and affiliation of our significant subsidiaries, as of March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133985</wp:posOffset>
            </wp:positionV>
            <wp:extent cx="5134610" cy="5606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34610" cy="560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right="140" w:hanging="424"/>
        <w:spacing w:after="0" w:line="277"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747,288 Class A ordinary shares held by Melco International. See “Item 7. Major Shareholders and Related Party Transactions — A. Major Shareholders.”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00"/>
          </w:cols>
          <w:pgMar w:left="320" w:top="486" w:right="6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hanging="424"/>
        <w:spacing w:after="0" w:line="342"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30,774,116 Class A ordinary shares of SCI represented by ADSs. Information regarding beneficial ownership is reported as of December 31, 2020 and is based on the information contained in the Schedule 13G filed by New Cotai, LLC with the SEC on February 16, 2021.</w:t>
      </w:r>
    </w:p>
    <w:p>
      <w:pPr>
        <w:spacing w:after="0" w:line="29" w:lineRule="exact"/>
        <w:rPr>
          <w:rFonts w:ascii="Arial" w:cs="Arial" w:eastAsia="Arial" w:hAnsi="Arial"/>
          <w:sz w:val="16"/>
          <w:szCs w:val="16"/>
          <w:color w:val="auto"/>
        </w:rPr>
      </w:pPr>
    </w:p>
    <w:p>
      <w:pPr>
        <w:ind w:left="540" w:right="20" w:hanging="424"/>
        <w:spacing w:after="0" w:line="273"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New Cotai also has a Participation Interest in MSC Cotai which represents its economic right to receive an amount equal to approximately 20% of the dividends, distributions or other consideration paid to the Company by MSC Cotai, if any, from time to time. New Cotai may exchange all or a portion of its Participation Interest for Class A ordinary shares, subject to certain conditions. See “Item 7. Major Shareholders and Related Party Transactions — B. Related Party Transactions — Pre-IPO Organizational Transactions.” If New Cotai were to exercise its right to exchange all of the Participation Interest for Class A ordinary shares, New Cotai would receive 72,511,760 Class A ordinary shares and the corresponding number of Class B ordinary shares held by New Cotai would be surrendered and canceled.</w:t>
      </w:r>
    </w:p>
    <w:p>
      <w:pPr>
        <w:spacing w:after="0" w:line="83" w:lineRule="exact"/>
        <w:rPr>
          <w:rFonts w:ascii="Arial" w:cs="Arial" w:eastAsia="Arial" w:hAnsi="Arial"/>
          <w:sz w:val="17"/>
          <w:szCs w:val="17"/>
          <w:color w:val="auto"/>
        </w:rPr>
      </w:pPr>
    </w:p>
    <w:p>
      <w:pPr>
        <w:ind w:left="540" w:right="60" w:hanging="424"/>
        <w:spacing w:after="0" w:line="342"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61,570,720 Class A ordinary shares of SCI represented by ADSs. Information regarding beneficial ownership is reported as of December 31, 2020 and is based on the information contained in the Schedule 13G/A filed by Silver Point Capital L.P. with the SEC on February 16, 2021.</w:t>
      </w:r>
    </w:p>
    <w:p>
      <w:pPr>
        <w:spacing w:after="0" w:line="29" w:lineRule="exact"/>
        <w:rPr>
          <w:rFonts w:ascii="Arial" w:cs="Arial" w:eastAsia="Arial" w:hAnsi="Arial"/>
          <w:sz w:val="16"/>
          <w:szCs w:val="16"/>
          <w:color w:val="auto"/>
        </w:rPr>
      </w:pPr>
    </w:p>
    <w:p>
      <w:pPr>
        <w:jc w:val="both"/>
        <w:ind w:left="540" w:hanging="424"/>
        <w:spacing w:after="0" w:line="263"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remaining 50% of the equity interests of these companies are owned by Studio City Holdings Five Limited, a wholly-owned subsidiary of the Company. The 50% interest held by Studio City Holdings Five Limited in various Studio City companies incorporated in the British Virgin Islands is non-voting.</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3.96% and 1% of the equity interests are owned by Studio City Holdings Four Limited and Studio City Holdings Five Limited, respectively.</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3.85% and 3.85% of the equity interests are owned by Studio City Holdings Five Limited and Studio City Holdings Three Limited, respectively.</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0.02% of the equity interests are owned by Studio City Holdings Five Limited.</w:t>
      </w:r>
    </w:p>
    <w:p>
      <w:pPr>
        <w:spacing w:after="0" w:line="225"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See “Item 7. Major Shareholders and Related Party Transactions — A. Major Shareholders” for more information regarding the beneficial ownership in our Company and “Exhibit 8.1 — Significant Subsidiaries of the Registrant.”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jc w:val="both"/>
        <w:ind w:left="120" w:right="220" w:firstLine="991"/>
        <w:spacing w:after="0" w:line="263" w:lineRule="auto"/>
        <w:rPr>
          <w:sz w:val="20"/>
          <w:szCs w:val="20"/>
          <w:color w:val="auto"/>
        </w:rPr>
      </w:pPr>
      <w:r>
        <w:rPr>
          <w:rFonts w:ascii="Arial" w:cs="Arial" w:eastAsia="Arial" w:hAnsi="Arial"/>
          <w:sz w:val="18"/>
          <w:szCs w:val="18"/>
          <w:color w:val="auto"/>
        </w:rPr>
        <w:t>See “Item 4. Information on the Company — B. Business Overview” and “Item 5. Operating and Financial Review and Prospects — A. Operating Results — Critical Accounting Policies and Estimates — Property and Equipment and Other Long-lived Assets” for information regarding our material tangible property, plant and equipment.</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left="120" w:right="440" w:firstLine="991"/>
        <w:spacing w:after="0" w:line="286"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We are a holding company and, through our subsidiaries, operate the non-gaming businesses of Studio City. Studio City Casino is operated by the Gaming Operator, one of the subsidiaries of Melco Resorts and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86"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holder of a gaming subconcession. Our future operating results are subject to significant business, economic, regulatory and competitive uncertainties and risks, many of which are beyond our control. See “Item 3. Key Information — D. Risk Factors — Risks Relating to Our Business.” For detailed information regarding our operations and development projects, see “Item 4. Information on the Company — B. Business Overview.”</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Our principal operating activities are the provision of gaming related services and the hospitality business in Macau. The Company monitors the operations and evaluate earnings by reviewing the assets and operations of Studio City as one operating segment. Accordingly, we do not present separate segment information. As of December 31, 2020, 2019 and 2018, we operated in one geographical area, Macau, where we generated our revenue and where our long-lived assets were located.</w:t>
      </w:r>
    </w:p>
    <w:p>
      <w:pPr>
        <w:spacing w:after="0" w:line="187" w:lineRule="exact"/>
        <w:rPr>
          <w:sz w:val="20"/>
          <w:szCs w:val="20"/>
          <w:color w:val="auto"/>
        </w:rPr>
      </w:pPr>
    </w:p>
    <w:p>
      <w:pPr>
        <w:ind w:left="120" w:right="20" w:firstLine="991"/>
        <w:spacing w:after="0" w:line="301" w:lineRule="auto"/>
        <w:rPr>
          <w:sz w:val="20"/>
          <w:szCs w:val="20"/>
          <w:color w:val="auto"/>
        </w:rPr>
      </w:pPr>
      <w:r>
        <w:rPr>
          <w:rFonts w:ascii="Arial" w:cs="Arial" w:eastAsia="Arial" w:hAnsi="Arial"/>
          <w:sz w:val="16"/>
          <w:szCs w:val="16"/>
          <w:color w:val="auto"/>
        </w:rPr>
        <w:t>Our operations continue to be impacted by significant travel bans, restrictions and quarantine requirements imposed by the governments in Macau, Hong Kong and certain provinces in China on visitors traveling to and from Macau, and such bans, restrictions and requirements have been, and may continue to be, modified by the relevant authorities from time to time as COVID-19 developments unfold. In addition, lifted measures may be reintroduced if there are adverse developments in the COVID-19 situation in Macau and other regions with access to Macau.</w:t>
      </w:r>
    </w:p>
    <w:p>
      <w:pPr>
        <w:spacing w:after="0" w:line="157"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Other than during the 15-day closure mandated by the Macau government in February 2020, the Studio City Casino and our hotel facilities have remained open. The majority of retail outlets in our property are open with reduced operating hours. Operating hours at our dining and entertainment facilities are continuously being adjusted in line with customer visitation and we have closed certain facilities due to low visitation. The timing and manner in which these areas will return to full operation are currently unknown. Furthermore, health-related precautionary measures remain in place at our property, which could continue to impact visitation and customer spending.</w:t>
      </w:r>
    </w:p>
    <w:p>
      <w:pPr>
        <w:spacing w:after="0" w:line="188" w:lineRule="exact"/>
        <w:rPr>
          <w:sz w:val="20"/>
          <w:szCs w:val="20"/>
          <w:color w:val="auto"/>
        </w:rPr>
      </w:pPr>
    </w:p>
    <w:p>
      <w:pPr>
        <w:ind w:left="120" w:right="80" w:firstLine="991"/>
        <w:spacing w:after="0" w:line="275" w:lineRule="auto"/>
        <w:rPr>
          <w:sz w:val="20"/>
          <w:szCs w:val="20"/>
          <w:color w:val="auto"/>
        </w:rPr>
      </w:pPr>
      <w:r>
        <w:rPr>
          <w:rFonts w:ascii="Arial" w:cs="Arial" w:eastAsia="Arial" w:hAnsi="Arial"/>
          <w:sz w:val="17"/>
          <w:szCs w:val="17"/>
          <w:color w:val="auto"/>
        </w:rPr>
        <w:t>The disruptions to our business caused by the COVID-19 pandemic have had a material and adverse effect on our business, financial condition and results of operations and as such disruptions are ongoing, such material and adverse effects will likely continue. We expect that gross gaming revenues in Macau will continue to be negatively impacted by the COVID-19 pandemic. We have taken various mitigating measures to manage through the COVID-19 pandemic challenges, such as implementing a cost reduction program to minimize cash outflow of non-essential items and rationalizing our capital expenditure program with deferrals and reductions which benefits our balance sheet.</w:t>
      </w:r>
    </w:p>
    <w:p>
      <w:pPr>
        <w:spacing w:after="0" w:line="176"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 xml:space="preserve">Given the uncertainty around the extent and duration of the COVID-19 pandemic and around the imposition or relaxation of protective measures, we cannot reasonably estimate the impact to our future results of operations, cash flows and financial condition. Moreover, even if the COVID-19 pandemic subsides, there is no guarantee that travel and consumer sentiment will rebound quickly or at all. See “Item 3. Key Information. — </w:t>
      </w:r>
      <w:r>
        <w:rPr>
          <w:rFonts w:ascii="Arial" w:cs="Arial" w:eastAsia="Arial" w:hAnsi="Arial"/>
          <w:sz w:val="18"/>
          <w:szCs w:val="18"/>
          <w:i w:val="1"/>
          <w:iCs w:val="1"/>
          <w:color w:val="auto"/>
        </w:rPr>
        <w:t>D. Risk Factors — Risks Relating to Our Business — The COVID-19 pandemic has had, and will likely to continue to have, a material and adverse effect on our business, financial condition and results of operations.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Financial Results</w:t>
      </w:r>
    </w:p>
    <w:p>
      <w:pPr>
        <w:spacing w:after="0" w:line="121"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For the year ended December 31, 2020, our total operating revenues were US$49.2 million, a decrease of 92.1% from US$626.7 million of total operating revenues for the year ended December 31, 2019. Net loss attributable to Studio City International Holdings Limited for the year ended December 31, 2020 was US$321.6 million, as compared to a net income attributable to Studio City International Holdings Limited of</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86"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US$33.6 million for the year ended December 31, 2019. The decrease was mainly attributable to the decrease in revenues from the provision of gaming related services and lower non-gaming revenues as a result of the COVID-19 pandemic, which resulted in temporary casino closure and a significant decline in inbound tourism in 2020.</w:t>
      </w:r>
    </w:p>
    <w:p>
      <w:pPr>
        <w:spacing w:after="0" w:line="21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2020</w:t>
            </w:r>
          </w:p>
        </w:tc>
        <w:tc>
          <w:tcPr>
            <w:tcW w:w="17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42"/>
        </w:trPr>
        <w:tc>
          <w:tcPr>
            <w:tcW w:w="5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49,208</w:t>
            </w:r>
          </w:p>
        </w:tc>
        <w:tc>
          <w:tcPr>
            <w:tcW w:w="17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$ 626,733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571,213</w:t>
            </w: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(329,136)</w:t>
            </w:r>
          </w:p>
        </w:tc>
        <w:tc>
          <w:tcPr>
            <w:tcW w:w="1700" w:type="dxa"/>
            <w:vAlign w:val="bottom"/>
          </w:tcPr>
          <w:p>
            <w:pPr>
              <w:jc w:val="right"/>
              <w:ind w:right="358"/>
              <w:spacing w:after="0"/>
              <w:rPr>
                <w:sz w:val="20"/>
                <w:szCs w:val="20"/>
                <w:color w:val="auto"/>
              </w:rPr>
            </w:pPr>
            <w:r>
              <w:rPr>
                <w:rFonts w:ascii="Arial" w:cs="Arial" w:eastAsia="Arial" w:hAnsi="Arial"/>
                <w:sz w:val="18"/>
                <w:szCs w:val="18"/>
                <w:color w:val="auto"/>
              </w:rPr>
              <w:t>(448,737)</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(433,351)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(279,928)</w:t>
            </w:r>
          </w:p>
        </w:tc>
        <w:tc>
          <w:tcPr>
            <w:tcW w:w="17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177,996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137,862</w:t>
            </w:r>
          </w:p>
        </w:tc>
        <w:tc>
          <w:tcPr>
            <w:tcW w:w="120" w:type="dxa"/>
            <w:vAlign w:val="bottom"/>
            <w:shd w:val="clear" w:color="auto" w:fill="CCEEFF"/>
          </w:tcPr>
          <w:p>
            <w:pPr>
              <w:spacing w:after="0"/>
              <w:rPr>
                <w:sz w:val="18"/>
                <w:szCs w:val="18"/>
                <w:color w:val="auto"/>
              </w:rPr>
            </w:pPr>
          </w:p>
        </w:tc>
      </w:tr>
      <w:tr>
        <w:trPr>
          <w:trHeight w:val="202"/>
        </w:trPr>
        <w:tc>
          <w:tcPr>
            <w:tcW w:w="5340" w:type="dxa"/>
            <w:vAlign w:val="bottom"/>
          </w:tcPr>
          <w:p>
            <w:pPr>
              <w:spacing w:after="0" w:line="201" w:lineRule="exact"/>
              <w:rPr>
                <w:sz w:val="20"/>
                <w:szCs w:val="20"/>
                <w:color w:val="auto"/>
              </w:rPr>
            </w:pPr>
            <w:r>
              <w:rPr>
                <w:rFonts w:ascii="Arial" w:cs="Arial" w:eastAsia="Arial" w:hAnsi="Arial"/>
                <w:sz w:val="18"/>
                <w:szCs w:val="18"/>
                <w:color w:val="auto"/>
              </w:rPr>
              <w:t>Net (loss) income attributable to Studio City International Holdings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Limited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8"/>
              </w:rPr>
              <w:t>(321,626)</w:t>
            </w:r>
          </w:p>
        </w:tc>
        <w:tc>
          <w:tcPr>
            <w:tcW w:w="1700" w:type="dxa"/>
            <w:vAlign w:val="bottom"/>
          </w:tcPr>
          <w:p>
            <w:pPr>
              <w:jc w:val="right"/>
              <w:ind w:right="418"/>
              <w:spacing w:after="0"/>
              <w:rPr>
                <w:sz w:val="20"/>
                <w:szCs w:val="20"/>
                <w:color w:val="auto"/>
              </w:rPr>
            </w:pPr>
            <w:r>
              <w:rPr>
                <w:rFonts w:ascii="Arial" w:cs="Arial" w:eastAsia="Arial" w:hAnsi="Arial"/>
                <w:sz w:val="18"/>
                <w:szCs w:val="18"/>
                <w:color w:val="auto"/>
              </w:rPr>
              <w:t>$  33,564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(21,598)</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Indicators (KPIs)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use the following KPIs to evaluate the operations of Studio City Casino, including table games and gaming machines:</w:t>
      </w:r>
    </w:p>
    <w:p>
      <w:pPr>
        <w:spacing w:after="0" w:line="131"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volume: </w:t>
      </w:r>
      <w:r>
        <w:rPr>
          <w:rFonts w:ascii="Arial" w:cs="Arial" w:eastAsia="Arial" w:hAnsi="Arial"/>
          <w:sz w:val="18"/>
          <w:szCs w:val="18"/>
          <w:color w:val="auto"/>
        </w:rPr>
        <w:t>the amount of non-negotiable chips wagered and lost by the rolling chip market segment.</w:t>
      </w:r>
    </w:p>
    <w:p>
      <w:pPr>
        <w:spacing w:after="0" w:line="130"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win rate: </w:t>
      </w:r>
      <w:r>
        <w:rPr>
          <w:rFonts w:ascii="Arial" w:cs="Arial" w:eastAsia="Arial" w:hAnsi="Arial"/>
          <w:sz w:val="18"/>
          <w:szCs w:val="18"/>
          <w:color w:val="auto"/>
        </w:rPr>
        <w:t>rolling chip table games win (calculated before discounts, commissions, non-discretionary incentives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point-loyalty programs) as administered by the Gaming Operator and allocating casino revenues related to goods and services provided to gaming patrons on a complimentary basis) as a percentage of rolling chip volume.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drop: </w:t>
      </w:r>
      <w:r>
        <w:rPr>
          <w:rFonts w:ascii="Arial" w:cs="Arial" w:eastAsia="Arial" w:hAnsi="Arial"/>
          <w:sz w:val="18"/>
          <w:szCs w:val="18"/>
          <w:color w:val="auto"/>
        </w:rPr>
        <w:t>the amount of table games drop in the mass market table games segment.</w:t>
      </w:r>
    </w:p>
    <w:p>
      <w:pPr>
        <w:spacing w:after="0" w:line="130" w:lineRule="exact"/>
        <w:rPr>
          <w:rFonts w:ascii="Arial" w:cs="Arial" w:eastAsia="Arial" w:hAnsi="Arial"/>
          <w:sz w:val="18"/>
          <w:szCs w:val="18"/>
          <w:color w:val="auto"/>
        </w:rPr>
      </w:pPr>
    </w:p>
    <w:p>
      <w:pPr>
        <w:ind w:left="1080" w:right="80" w:hanging="424"/>
        <w:spacing w:after="0" w:line="311"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Mass market table games hold percentage: </w:t>
      </w:r>
      <w:r>
        <w:rPr>
          <w:rFonts w:ascii="Arial" w:cs="Arial" w:eastAsia="Arial" w:hAnsi="Arial"/>
          <w:sz w:val="16"/>
          <w:szCs w:val="16"/>
          <w:color w:val="auto"/>
        </w:rPr>
        <w:t>mass market table games win (calculated before discounts, commissions, non-discretionary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54" w:lineRule="exact"/>
        <w:rPr>
          <w:rFonts w:ascii="Arial" w:cs="Arial" w:eastAsia="Arial" w:hAnsi="Arial"/>
          <w:sz w:val="16"/>
          <w:szCs w:val="16"/>
          <w:color w:val="auto"/>
        </w:rPr>
      </w:pPr>
    </w:p>
    <w:p>
      <w:pPr>
        <w:ind w:left="1080" w:right="260" w:hanging="424"/>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Table games win: </w:t>
      </w:r>
      <w:r>
        <w:rPr>
          <w:rFonts w:ascii="Arial" w:cs="Arial" w:eastAsia="Arial" w:hAnsi="Arial"/>
          <w:sz w:val="18"/>
          <w:szCs w:val="18"/>
          <w:color w:val="auto"/>
        </w:rPr>
        <w:t>the amount of wagers won net of wagers lost on gaming tables that is retained and recorded as casino revenues. Table</w:t>
      </w:r>
      <w:r>
        <w:rPr>
          <w:rFonts w:ascii="Arial" w:cs="Arial" w:eastAsia="Arial" w:hAnsi="Arial"/>
          <w:sz w:val="18"/>
          <w:szCs w:val="18"/>
          <w:i w:val="1"/>
          <w:iCs w:val="1"/>
          <w:color w:val="auto"/>
        </w:rPr>
        <w:t xml:space="preserve"> </w:t>
      </w:r>
      <w:r>
        <w:rPr>
          <w:rFonts w:ascii="Arial" w:cs="Arial" w:eastAsia="Arial" w:hAnsi="Arial"/>
          <w:sz w:val="18"/>
          <w:szCs w:val="18"/>
          <w:color w:val="auto"/>
        </w:rPr>
        <w:t>games win is calculated before discounts, commissions, non-discretionary incentives (including the point-loyalty programs) as administered by the Gaming Operator and allocating casino revenues related to goods and services provided to gaming patrons on a complimentary basis.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handle: </w:t>
      </w:r>
      <w:r>
        <w:rPr>
          <w:rFonts w:ascii="Arial" w:cs="Arial" w:eastAsia="Arial" w:hAnsi="Arial"/>
          <w:sz w:val="18"/>
          <w:szCs w:val="18"/>
          <w:color w:val="auto"/>
        </w:rPr>
        <w:t>the total amount wagered in gaming machines.</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win rate: </w:t>
      </w:r>
      <w:r>
        <w:rPr>
          <w:rFonts w:ascii="Arial" w:cs="Arial" w:eastAsia="Arial" w:hAnsi="Arial"/>
          <w:sz w:val="18"/>
          <w:szCs w:val="18"/>
          <w:color w:val="auto"/>
        </w:rPr>
        <w:t>gaming machine win (calculated before non-discretionary incentives (including the point-loyalty programs) as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administered by the Gaming Operator and allocating casino revenues related to goods and services provided to gaming patrons on a complimentary basis) expressed as a percentage of gaming machine handle.</w:t>
      </w:r>
    </w:p>
    <w:p>
      <w:pPr>
        <w:spacing w:after="0" w:line="184"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86"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Studio City Casino’s expected rolling chip win rate is 2.85% to 3.15%.</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use the following KPIs to evaluate our hotel operations:</w:t>
      </w:r>
    </w:p>
    <w:p>
      <w:pPr>
        <w:spacing w:after="0" w:line="131" w:lineRule="exact"/>
        <w:rPr>
          <w:sz w:val="20"/>
          <w:szCs w:val="20"/>
          <w:color w:val="auto"/>
        </w:rPr>
      </w:pPr>
    </w:p>
    <w:p>
      <w:pPr>
        <w:ind w:left="10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Average daily rate: </w:t>
      </w:r>
      <w:r>
        <w:rPr>
          <w:rFonts w:ascii="Arial" w:cs="Arial" w:eastAsia="Arial" w:hAnsi="Arial"/>
          <w:sz w:val="18"/>
          <w:szCs w:val="18"/>
          <w:color w:val="auto"/>
        </w:rPr>
        <w:t>calculated by dividing total room revenues including complimentary rooms (less service charges, if any) by total rooms</w:t>
      </w:r>
      <w:r>
        <w:rPr>
          <w:rFonts w:ascii="Arial" w:cs="Arial" w:eastAsia="Arial" w:hAnsi="Arial"/>
          <w:sz w:val="18"/>
          <w:szCs w:val="18"/>
          <w:i w:val="1"/>
          <w:iCs w:val="1"/>
          <w:color w:val="auto"/>
        </w:rPr>
        <w:t xml:space="preserve"> </w:t>
      </w:r>
      <w:r>
        <w:rPr>
          <w:rFonts w:ascii="Arial" w:cs="Arial" w:eastAsia="Arial" w:hAnsi="Arial"/>
          <w:sz w:val="18"/>
          <w:szCs w:val="18"/>
          <w:color w:val="auto"/>
        </w:rPr>
        <w:t>occupied, including complimentary rooms, i.e., average price of occupied rooms per day.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Occupancy rate: </w:t>
      </w:r>
      <w:r>
        <w:rPr>
          <w:rFonts w:ascii="Arial" w:cs="Arial" w:eastAsia="Arial" w:hAnsi="Arial"/>
          <w:sz w:val="18"/>
          <w:szCs w:val="18"/>
          <w:color w:val="auto"/>
        </w:rPr>
        <w:t>the average percentage of available hotel rooms occupied, including complimentary rooms, during a period.</w:t>
      </w:r>
    </w:p>
    <w:p>
      <w:pPr>
        <w:spacing w:after="0" w:line="130" w:lineRule="exact"/>
        <w:rPr>
          <w:rFonts w:ascii="Arial" w:cs="Arial" w:eastAsia="Arial" w:hAnsi="Arial"/>
          <w:sz w:val="18"/>
          <w:szCs w:val="18"/>
          <w:color w:val="auto"/>
        </w:rPr>
      </w:pPr>
    </w:p>
    <w:p>
      <w:pPr>
        <w:ind w:left="1080" w:right="620" w:hanging="424"/>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Revenue per available room, or REVPAR: </w:t>
      </w:r>
      <w:r>
        <w:rPr>
          <w:rFonts w:ascii="Arial" w:cs="Arial" w:eastAsia="Arial" w:hAnsi="Arial"/>
          <w:sz w:val="16"/>
          <w:szCs w:val="16"/>
          <w:color w:val="auto"/>
        </w:rPr>
        <w:t>calculated by dividing total room revenues including complimentary rooms (less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charges, if any) by total rooms available, thereby representing a combination of hotel average daily room rates and occupancy.</w:t>
      </w:r>
    </w:p>
    <w:p>
      <w:pPr>
        <w:spacing w:after="0" w:line="124" w:lineRule="exact"/>
        <w:rPr>
          <w:sz w:val="20"/>
          <w:szCs w:val="20"/>
          <w:color w:val="auto"/>
        </w:rPr>
      </w:pPr>
    </w:p>
    <w:p>
      <w:pPr>
        <w:ind w:left="120" w:right="180" w:firstLine="991"/>
        <w:spacing w:after="0" w:line="311" w:lineRule="auto"/>
        <w:rPr>
          <w:sz w:val="20"/>
          <w:szCs w:val="20"/>
          <w:color w:val="auto"/>
        </w:rPr>
      </w:pPr>
      <w:r>
        <w:rPr>
          <w:rFonts w:ascii="Arial" w:cs="Arial" w:eastAsia="Arial" w:hAnsi="Arial"/>
          <w:sz w:val="16"/>
          <w:szCs w:val="16"/>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149" w:lineRule="exact"/>
        <w:rPr>
          <w:sz w:val="20"/>
          <w:szCs w:val="20"/>
          <w:color w:val="auto"/>
        </w:rPr>
      </w:pPr>
    </w:p>
    <w:p>
      <w:pPr>
        <w:ind w:left="120" w:right="280" w:firstLine="991"/>
        <w:spacing w:after="0" w:line="263" w:lineRule="auto"/>
        <w:rPr>
          <w:sz w:val="20"/>
          <w:szCs w:val="20"/>
          <w:color w:val="auto"/>
        </w:rPr>
      </w:pPr>
      <w:r>
        <w:rPr>
          <w:rFonts w:ascii="Arial" w:cs="Arial" w:eastAsia="Arial" w:hAnsi="Arial"/>
          <w:sz w:val="18"/>
          <w:szCs w:val="18"/>
          <w:color w:val="auto"/>
        </w:rPr>
        <w:t>During the year ended December 31, 2020, tables games and gaming machines that were not in operation due to government mandated closures or social distancing measures in relation to the COVID-19 outbreak have been excluded. Room statistics also excluded rooms that were temporarily closed or provided to staff members due to the COVID-19 outbreak.</w:t>
      </w:r>
    </w:p>
    <w:p>
      <w:pPr>
        <w:spacing w:after="0" w:line="292" w:lineRule="exact"/>
        <w:rPr>
          <w:sz w:val="20"/>
          <w:szCs w:val="20"/>
          <w:color w:val="auto"/>
        </w:rPr>
      </w:pPr>
    </w:p>
    <w:p>
      <w:pPr>
        <w:ind w:left="120" w:right="532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2020 Compared to Year Ended December 31, 2019 </w:t>
      </w:r>
      <w:r>
        <w:rPr>
          <w:rFonts w:ascii="Arial" w:cs="Arial" w:eastAsia="Arial" w:hAnsi="Arial"/>
          <w:sz w:val="18"/>
          <w:szCs w:val="18"/>
          <w:i w:val="1"/>
          <w:iCs w:val="1"/>
          <w:color w:val="auto"/>
        </w:rPr>
        <w:t>Revenues</w:t>
      </w:r>
    </w:p>
    <w:p>
      <w:pPr>
        <w:spacing w:after="0" w:line="1" w:lineRule="exact"/>
        <w:rPr>
          <w:sz w:val="20"/>
          <w:szCs w:val="20"/>
          <w:color w:val="auto"/>
        </w:rPr>
      </w:pPr>
    </w:p>
    <w:p>
      <w:pPr>
        <w:jc w:val="both"/>
        <w:ind w:left="120" w:right="140" w:firstLine="991"/>
        <w:spacing w:after="0" w:line="263" w:lineRule="auto"/>
        <w:rPr>
          <w:sz w:val="20"/>
          <w:szCs w:val="20"/>
          <w:color w:val="auto"/>
        </w:rPr>
      </w:pPr>
      <w:r>
        <w:rPr>
          <w:rFonts w:ascii="Arial" w:cs="Arial" w:eastAsia="Arial" w:hAnsi="Arial"/>
          <w:sz w:val="18"/>
          <w:szCs w:val="18"/>
          <w:color w:val="auto"/>
        </w:rPr>
        <w:t>Our total operating revenues decreased by US$577.5 million, or 92.1%, to US$49.2 million in 2020 from US$626.7 million in 2019. The decrease in total operating revenues was due to the decrease in revenues from the provision of gaming related services and lower non-gaming revenues as a result of the COVID-19 pandemic, which resulted in a significant decline in inbound tourism in 2020.</w:t>
      </w:r>
    </w:p>
    <w:p>
      <w:pPr>
        <w:spacing w:after="0" w:line="89" w:lineRule="exact"/>
        <w:rPr>
          <w:sz w:val="20"/>
          <w:szCs w:val="20"/>
          <w:color w:val="auto"/>
        </w:rPr>
      </w:pPr>
    </w:p>
    <w:p>
      <w:pPr>
        <w:ind w:left="1080" w:right="200" w:hanging="424"/>
        <w:spacing w:after="0" w:line="255"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 of gaming related services. Revenues from the provision of gaming related services are derived from the provision of facilities for the operations of Studio City Casino by the Gaming Operator and services related thereto pursuant to the Services and Right to Use Arrangements. Revenues from the provision of gaming related services was negative US$42.7 million in 2020, compared with revenues from provision of gaming related services of US$393.5 million in 2019. The decrease was primarily due to softer performance in the gaming operations at Studio City Casino as a result of the COVID-19 pandemic, which resulted in temporary casino closure and a significant decline in inbound tourism in 2020.</w:t>
      </w:r>
    </w:p>
    <w:p>
      <w:pPr>
        <w:spacing w:after="0" w:line="84" w:lineRule="exact"/>
        <w:rPr>
          <w:rFonts w:ascii="Arial" w:cs="Arial" w:eastAsia="Arial" w:hAnsi="Arial"/>
          <w:sz w:val="18"/>
          <w:szCs w:val="18"/>
          <w:color w:val="auto"/>
        </w:rPr>
      </w:pPr>
    </w:p>
    <w:p>
      <w:pPr>
        <w:ind w:left="1100" w:right="100"/>
        <w:spacing w:after="0" w:line="263" w:lineRule="auto"/>
        <w:rPr>
          <w:rFonts w:ascii="Arial" w:cs="Arial" w:eastAsia="Arial" w:hAnsi="Arial"/>
          <w:sz w:val="18"/>
          <w:szCs w:val="18"/>
          <w:color w:val="auto"/>
        </w:rPr>
      </w:pPr>
      <w:r>
        <w:rPr>
          <w:rFonts w:ascii="Arial" w:cs="Arial" w:eastAsia="Arial" w:hAnsi="Arial"/>
          <w:sz w:val="18"/>
          <w:szCs w:val="18"/>
          <w:color w:val="auto"/>
        </w:rPr>
        <w:t>Studio City Casino generated gross gaming revenues of US$264.4 million and US$1,432.0 million in 2020 and 2019, respectively, before the deduction by the Gaming Operator of gaming taxes and the costs incurred in connection with its operation of Studio City Casino pursuant to the Services and Right to Use Arrangements.</w:t>
      </w:r>
    </w:p>
    <w:p>
      <w:pPr>
        <w:spacing w:after="0" w:line="75" w:lineRule="exact"/>
        <w:rPr>
          <w:rFonts w:ascii="Arial" w:cs="Arial" w:eastAsia="Arial" w:hAnsi="Arial"/>
          <w:sz w:val="18"/>
          <w:szCs w:val="18"/>
          <w:color w:val="auto"/>
        </w:rPr>
      </w:pPr>
    </w:p>
    <w:p>
      <w:pPr>
        <w:ind w:left="1100" w:right="20"/>
        <w:spacing w:after="0" w:line="311" w:lineRule="auto"/>
        <w:rPr>
          <w:rFonts w:ascii="Arial" w:cs="Arial" w:eastAsia="Arial" w:hAnsi="Arial"/>
          <w:sz w:val="18"/>
          <w:szCs w:val="18"/>
          <w:color w:val="auto"/>
        </w:rPr>
      </w:pPr>
      <w:r>
        <w:rPr>
          <w:rFonts w:ascii="Arial" w:cs="Arial" w:eastAsia="Arial" w:hAnsi="Arial"/>
          <w:sz w:val="16"/>
          <w:szCs w:val="16"/>
          <w:color w:val="auto"/>
        </w:rPr>
        <w:t>Mass market table games revenue decreased to US$193.8 million in 2020 from US$1,014.2 million in 2019 due to a decrease in both mass market table games drop and mass market table games hold percentage. Mass market table games drop decreased to US$0.73 billion in 2020 from US$3.49 billion in 2019. Mass market table games hold percentage also decreased to 26.6% in 2020 from 29.1% in 2019.</w:t>
      </w:r>
    </w:p>
    <w:p>
      <w:pPr>
        <w:spacing w:after="0" w:line="40" w:lineRule="exact"/>
        <w:rPr>
          <w:rFonts w:ascii="Arial" w:cs="Arial" w:eastAsia="Arial" w:hAnsi="Arial"/>
          <w:sz w:val="18"/>
          <w:szCs w:val="18"/>
          <w:color w:val="auto"/>
        </w:rPr>
      </w:pPr>
    </w:p>
    <w:p>
      <w:pPr>
        <w:ind w:left="1100" w:right="140"/>
        <w:spacing w:after="0" w:line="277" w:lineRule="auto"/>
        <w:rPr>
          <w:rFonts w:ascii="Arial" w:cs="Arial" w:eastAsia="Arial" w:hAnsi="Arial"/>
          <w:sz w:val="18"/>
          <w:szCs w:val="18"/>
          <w:color w:val="auto"/>
        </w:rPr>
      </w:pPr>
      <w:r>
        <w:rPr>
          <w:rFonts w:ascii="Arial" w:cs="Arial" w:eastAsia="Arial" w:hAnsi="Arial"/>
          <w:sz w:val="18"/>
          <w:szCs w:val="18"/>
          <w:color w:val="auto"/>
        </w:rPr>
        <w:t>Gaming machine revenue decreased to US$20.2 million in 2020 from US$79.5 million in 2019 due to a decrease in gaming machine win rate to 2.8% in 2020 from 3.1% in 2019 and a decrease in gaming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86"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77" w:lineRule="auto"/>
        <w:rPr>
          <w:sz w:val="20"/>
          <w:szCs w:val="20"/>
          <w:color w:val="auto"/>
        </w:rPr>
      </w:pPr>
      <w:r>
        <w:rPr>
          <w:rFonts w:ascii="Arial" w:cs="Arial" w:eastAsia="Arial" w:hAnsi="Arial"/>
          <w:sz w:val="18"/>
          <w:szCs w:val="18"/>
          <w:color w:val="auto"/>
        </w:rPr>
        <w:t>machine handle to US$0.74 billion in 2020 from US$2.60 billion in 2019. Average net win per gaming machine per day was US$98 and US$230 in 2020 and 2019, respectively.</w:t>
      </w:r>
    </w:p>
    <w:p>
      <w:pPr>
        <w:spacing w:after="0" w:line="62" w:lineRule="exact"/>
        <w:rPr>
          <w:sz w:val="20"/>
          <w:szCs w:val="20"/>
          <w:color w:val="auto"/>
        </w:rPr>
      </w:pPr>
    </w:p>
    <w:p>
      <w:pPr>
        <w:ind w:left="1100" w:right="20"/>
        <w:spacing w:after="0" w:line="263" w:lineRule="auto"/>
        <w:rPr>
          <w:sz w:val="20"/>
          <w:szCs w:val="20"/>
          <w:color w:val="auto"/>
        </w:rPr>
      </w:pPr>
      <w:r>
        <w:rPr>
          <w:rFonts w:ascii="Arial" w:cs="Arial" w:eastAsia="Arial" w:hAnsi="Arial"/>
          <w:sz w:val="18"/>
          <w:szCs w:val="18"/>
          <w:color w:val="auto"/>
        </w:rPr>
        <w:t>VIP rolling chip revenue decreased to US$50.4 million in 2020 from US$338.3 million in 2019 due to a decrease in VIP rolling chip volume and VIP rolling chip win rate. Studio City’s VIP rolling chip volume decreased to US$2.21 billion in 2020 from US$10.99 billion in 2019. VIP rolling chip win rate decreased to 2.28% in 2020 from 3.08% in 2019.</w:t>
      </w:r>
    </w:p>
    <w:p>
      <w:pPr>
        <w:spacing w:after="0" w:line="76" w:lineRule="exact"/>
        <w:rPr>
          <w:sz w:val="20"/>
          <w:szCs w:val="20"/>
          <w:color w:val="auto"/>
        </w:rPr>
      </w:pPr>
    </w:p>
    <w:p>
      <w:pPr>
        <w:ind w:left="1100" w:right="20"/>
        <w:spacing w:after="0" w:line="272" w:lineRule="auto"/>
        <w:rPr>
          <w:sz w:val="20"/>
          <w:szCs w:val="20"/>
          <w:color w:val="auto"/>
        </w:rPr>
      </w:pPr>
      <w:r>
        <w:rPr>
          <w:rFonts w:ascii="Arial" w:cs="Arial" w:eastAsia="Arial" w:hAnsi="Arial"/>
          <w:sz w:val="17"/>
          <w:szCs w:val="17"/>
          <w:color w:val="auto"/>
        </w:rPr>
        <w:t>In 2020 and 2019, total gaming taxes and costs incurred in connection with the operation of Studio City Casino deducted from gross gaming revenues were US$307.1 million and US$1,038.5 million, respectively, which included (i) gaming taxes imposed on the gross gaming revenue of US$103.1 million and US$558.5 million, respectively; (ii) the complimentary services provided by us to Studio City Casino’s gaming patrons of US$27.1 million and US$87.0 million, respectively; (iii) shared administrative services and shuttle bus transportation services provided by us to Studio City Casino of US$22.5 million and US$37.0 million, respectively and (iv) remaining costs of US$154.4 million and US$356.0 million, respectively, primarily representing gaming-related staff costs and other gaming-related costs, including costs related to table games operations at Studio City Casino.</w:t>
      </w:r>
    </w:p>
    <w:p>
      <w:pPr>
        <w:spacing w:after="0" w:line="69" w:lineRule="exact"/>
        <w:rPr>
          <w:sz w:val="20"/>
          <w:szCs w:val="20"/>
          <w:color w:val="auto"/>
        </w:rPr>
      </w:pPr>
    </w:p>
    <w:p>
      <w:pPr>
        <w:ind w:left="1100"/>
        <w:spacing w:after="0" w:line="286" w:lineRule="auto"/>
        <w:rPr>
          <w:sz w:val="20"/>
          <w:szCs w:val="20"/>
          <w:color w:val="auto"/>
        </w:rPr>
      </w:pPr>
      <w:r>
        <w:rPr>
          <w:rFonts w:ascii="Arial" w:cs="Arial" w:eastAsia="Arial" w:hAnsi="Arial"/>
          <w:sz w:val="17"/>
          <w:szCs w:val="17"/>
          <w:color w:val="auto"/>
        </w:rPr>
        <w:t>Revenues from the provision of gaming related services were negative US$42.7 million and US$393.5 million in 2020 and 2019, respectively. Revenues from the provision of gaming related services are net of gaming taxes and the costs incurred in connection with the operation of Studio City Casino deducted by the Gaming Operator pursuant to the Services and Right to Use Arrangements.</w:t>
      </w:r>
    </w:p>
    <w:p>
      <w:pPr>
        <w:spacing w:after="0" w:line="71" w:lineRule="exact"/>
        <w:rPr>
          <w:sz w:val="20"/>
          <w:szCs w:val="20"/>
          <w:color w:val="auto"/>
        </w:rPr>
      </w:pPr>
    </w:p>
    <w:p>
      <w:pPr>
        <w:ind w:left="1080" w:hanging="424"/>
        <w:spacing w:after="0" w:line="275"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Rooms. We generate room revenues from Studio City hotel consisting of Celebrity Tower and all-suite Star Tower. Our room revenues decreased by US$64.0 million, or 74.4%, to US$22.0 million in 2020 from US$86.0 million in 2019. The decrease was primarily due to a decreased occupancy rate as a result of the COVID-19 pandemic, which resulted in temporary casino closure and a significant decline in inbound tourism during 2020. Studio City’s average daily rate, occupancy rate and REVPAR were US$128, 28% and US$36, respectively, in 2020, as compared to US$135, 100% and US$135, respectively, in 2019.</w:t>
      </w:r>
    </w:p>
    <w:p>
      <w:pPr>
        <w:spacing w:after="0" w:line="81" w:lineRule="exact"/>
        <w:rPr>
          <w:rFonts w:ascii="Arial" w:cs="Arial" w:eastAsia="Arial" w:hAnsi="Arial"/>
          <w:sz w:val="17"/>
          <w:szCs w:val="17"/>
          <w:color w:val="auto"/>
        </w:rPr>
      </w:pPr>
    </w:p>
    <w:p>
      <w:pPr>
        <w:ind w:left="1080" w:right="160" w:hanging="424"/>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Food and beverage, entertainment, mall and retail and other. Our revenues generated from food and beverage, entertainment, mall and retail and other decreased by US$64.0 million, or 59.4%, to US$43.7 million in 2020 from US$107.8 million in 2019. The decrease was primarily due to decrease in business activities as a result of the COVID-19 pandemic, which resulted in temporary casino closure and a significant decline in inbound tourism during 2020.</w:t>
      </w:r>
    </w:p>
    <w:p>
      <w:pPr>
        <w:spacing w:after="0" w:line="92"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Services fee. Our services fee revenues, which primarily consist of certain shared administrative services and shuttle bus transportation services to Studio City Casino, decreased by US$13.3 million, or 33.7%, to US$26.2 million in 2020 from US$39.5 million in 2019.</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Costs and Expenses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total operating costs and expenses decreased by US$119.6 million, or 26.7%, to US$329.1 million in 2020 from US$448.7 million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116" w:lineRule="exact"/>
        <w:rPr>
          <w:sz w:val="20"/>
          <w:szCs w:val="20"/>
          <w:color w:val="auto"/>
        </w:rPr>
      </w:pPr>
    </w:p>
    <w:p>
      <w:pPr>
        <w:ind w:left="1080" w:right="160" w:hanging="424"/>
        <w:spacing w:after="0" w:line="291"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Provision of gaming related services. Provision of gaming related services expenses, which mainly represent (1) services fees for shared corporate services provided by the Master Service Providers pursuant to the Management and Shared Services Arrangements and</w:t>
      </w:r>
    </w:p>
    <w:p>
      <w:pPr>
        <w:ind w:left="1080" w:right="40"/>
        <w:spacing w:after="0" w:line="260" w:lineRule="auto"/>
        <w:rPr>
          <w:rFonts w:ascii="Arial" w:cs="Arial" w:eastAsia="Arial" w:hAnsi="Arial"/>
          <w:sz w:val="16"/>
          <w:szCs w:val="16"/>
          <w:color w:val="auto"/>
        </w:rPr>
      </w:pPr>
      <w:r>
        <w:rPr>
          <w:rFonts w:ascii="Arial" w:cs="Arial" w:eastAsia="Arial" w:hAnsi="Arial"/>
          <w:sz w:val="18"/>
          <w:szCs w:val="18"/>
          <w:color w:val="auto"/>
        </w:rPr>
        <w:t>(2) management payroll expenses, are relatively fixed in nature and amounted to US$27.0 million and US$24.2 million in 2020 and 2019, respectively.</w:t>
      </w:r>
    </w:p>
    <w:p>
      <w:pPr>
        <w:spacing w:after="0" w:line="90" w:lineRule="exact"/>
        <w:rPr>
          <w:rFonts w:ascii="Arial" w:cs="Arial" w:eastAsia="Arial" w:hAnsi="Arial"/>
          <w:sz w:val="16"/>
          <w:szCs w:val="16"/>
          <w:color w:val="auto"/>
        </w:rPr>
      </w:pPr>
    </w:p>
    <w:p>
      <w:pPr>
        <w:ind w:left="1080" w:hanging="424"/>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Rooms. Room expenses, which represent the costs of operating the hotel facilities and respective payroll expenses, decreased by</w:t>
      </w:r>
    </w:p>
    <w:p>
      <w:pPr>
        <w:spacing w:after="0" w:line="34" w:lineRule="exact"/>
        <w:rPr>
          <w:rFonts w:ascii="Arial" w:cs="Arial" w:eastAsia="Arial" w:hAnsi="Arial"/>
          <w:sz w:val="17"/>
          <w:szCs w:val="17"/>
          <w:color w:val="auto"/>
        </w:rPr>
      </w:pPr>
    </w:p>
    <w:p>
      <w:pPr>
        <w:ind w:left="1080" w:right="40"/>
        <w:spacing w:after="0" w:line="260" w:lineRule="auto"/>
        <w:rPr>
          <w:rFonts w:ascii="Arial" w:cs="Arial" w:eastAsia="Arial" w:hAnsi="Arial"/>
          <w:sz w:val="17"/>
          <w:szCs w:val="17"/>
          <w:color w:val="auto"/>
        </w:rPr>
      </w:pPr>
      <w:r>
        <w:rPr>
          <w:rFonts w:ascii="Arial" w:cs="Arial" w:eastAsia="Arial" w:hAnsi="Arial"/>
          <w:sz w:val="18"/>
          <w:szCs w:val="18"/>
          <w:color w:val="auto"/>
        </w:rPr>
        <w:t>US$10.5 million, or 48.4%, to US$11.2 million in 2020 from US$21.8 million in 2019, primarily due to lower operating costs, which was in-line with the decrease in revenues as well as our cost containment efforts.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60"/>
          </w:cols>
          <w:pgMar w:left="320" w:top="486"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9"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Food and beverage, entertainment, mall and retail and other. Expenses related to food and beverage, entertainment, mall and retail and other, which primarily represent the costs of operating the respective non-gaming services at Studio City and respective payroll expenses, decreased by US$54.3 million, or 59.7% to US$36.6 million in 2020 from US$90.8 million in 2019, primarily due to lower operating costs and food and beverage expenses, which was in-line with the decrease in revenues.</w:t>
      </w:r>
    </w:p>
    <w:p>
      <w:pPr>
        <w:spacing w:after="0" w:line="76" w:lineRule="exact"/>
        <w:rPr>
          <w:rFonts w:ascii="Arial" w:cs="Arial" w:eastAsia="Arial" w:hAnsi="Arial"/>
          <w:sz w:val="17"/>
          <w:szCs w:val="17"/>
          <w:color w:val="auto"/>
        </w:rPr>
      </w:pPr>
    </w:p>
    <w:p>
      <w:pPr>
        <w:ind w:left="1080" w:right="40" w:hanging="424"/>
        <w:spacing w:after="0" w:line="255"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and administrative. General and administrative expenses were US$89.0 million and US$128.9 million in 2020 and 2019, respectively. Such expenses primarily consist of payroll expenses, utilities, marketing and advertising costs, repairs and maintenance, legal and professional fees, and fees paid to the Master Service Providers for shared corporate services provided to non-gaming departments. Expenses relating to services fee revenues are also included in the general and administrative expenses. General and administrative expenses decreased by US$39.9 million, or 31.0% to US$89.0 million in 2020 from US$128.9 million in 2019 primarily due to our cost containment efforts.</w:t>
      </w:r>
    </w:p>
    <w:p>
      <w:pPr>
        <w:spacing w:after="0" w:line="97"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Pre-opening costs. Pre-opening costs were US$0.2 million in 2020 as compared to US$2.6 million in 2019. Such costs primarily represent personnel, marketing and other costs incurred prior to the opening of new or start-up operations. The higher pre-opening costs in 2019 were mainly related to the marketing of the stunt show Elēkrŏn.</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Amortization of land use right. Amortization expenses for the land use right continued to be recognized on a straight-line basis at an annual rate of US$3.3 million in both 2020 and 2019.</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expenses decreased by US$11.6 million, or 6.9%, to US$157.0 million in 2020 from US$168.6 million in 2019.</w:t>
      </w:r>
    </w:p>
    <w:p>
      <w:pPr>
        <w:spacing w:after="0" w:line="75" w:lineRule="exact"/>
        <w:rPr>
          <w:rFonts w:ascii="Arial" w:cs="Arial" w:eastAsia="Arial" w:hAnsi="Arial"/>
          <w:sz w:val="18"/>
          <w:szCs w:val="18"/>
          <w:color w:val="auto"/>
        </w:rPr>
      </w:pPr>
    </w:p>
    <w:p>
      <w:pPr>
        <w:ind w:left="1080" w:right="220" w:hanging="424"/>
        <w:spacing w:after="0" w:line="311"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Property charges and other. Property charges and other expenses of US$4.8 million in 2020 were primarily attributable to impairment of assets as a result of the remodeling of a non-gaming attraction. Property charges and other expenses of US$8.5 million in 2019 were primarily attributable to assets write-offs of US$7.6 million as a result of the remodeling of a non-gaming attraction.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(Loss) Income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As a result of the foregoing, we had an operating loss of US$279.9 million in 2020, compared to an operating income of US$178.0 million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2019.</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Non-operating Expenses, Net</w:t>
      </w:r>
    </w:p>
    <w:p>
      <w:pPr>
        <w:spacing w:after="0" w:line="117" w:lineRule="exact"/>
        <w:rPr>
          <w:sz w:val="20"/>
          <w:szCs w:val="20"/>
          <w:color w:val="auto"/>
        </w:rPr>
      </w:pPr>
    </w:p>
    <w:p>
      <w:pPr>
        <w:ind w:left="120" w:right="180" w:firstLine="991"/>
        <w:spacing w:after="0" w:line="286" w:lineRule="auto"/>
        <w:rPr>
          <w:sz w:val="20"/>
          <w:szCs w:val="20"/>
          <w:color w:val="auto"/>
        </w:rPr>
      </w:pPr>
      <w:r>
        <w:rPr>
          <w:rFonts w:ascii="Arial" w:cs="Arial" w:eastAsia="Arial" w:hAnsi="Arial"/>
          <w:sz w:val="17"/>
          <w:szCs w:val="17"/>
          <w:color w:val="auto"/>
        </w:rPr>
        <w:t>Net non-operating expenses consisted of interest income, interest expenses, net of amounts capitalized, other financing costs, net foreign exchange (losses) gains, loss on extinguishment of debt, costs associated with debt modification and other non-operating (expenses) income, net. We incurred total net non-operating expenses of US$126.2 million in 2020, compared to US$134.0 million in 2019.</w:t>
      </w:r>
    </w:p>
    <w:p>
      <w:pPr>
        <w:spacing w:after="0" w:line="71" w:lineRule="exact"/>
        <w:rPr>
          <w:sz w:val="20"/>
          <w:szCs w:val="20"/>
          <w:color w:val="auto"/>
        </w:rPr>
      </w:pPr>
    </w:p>
    <w:p>
      <w:pPr>
        <w:ind w:left="1080" w:hanging="424"/>
        <w:spacing w:after="0" w:line="25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Interest expenses. Interest expenses were US$104.8 million in 2020 and US$132.3 million in 2019. The decrease was primarily due to lower interest expenses with respect to the repayment in full of the 2019 Studio City Company Notes upon maturity in November 2019 and the redemption in full of 2021 Studio City Company Notes in August 2020 as well as capitalized interest and amortization of deferred financing costs for the remaining project for Studio City in 2020, partially offset by the interest expenses relating to the 2025 Notes and 2028 Notes issued in July 2020.</w:t>
      </w:r>
    </w:p>
    <w:p>
      <w:pPr>
        <w:spacing w:after="0" w:line="93"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financing costs. Other financing costs, which were associated with the 2021 Studio City Senior Secured Credit Facility, were US$0.4 million in both 2020 and 2019.</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Loss on extinguishment of debt. Loss on extinguishment of debt was US$18.7 million in 2020 and was associated with the early redemption of all outstanding 2021 Studio City Company Notes which were refinanced by the issuance of the 2025 Notes and 2028 Notes. Loss on extinguishment of debt was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86"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77" w:lineRule="auto"/>
        <w:rPr>
          <w:sz w:val="20"/>
          <w:szCs w:val="20"/>
          <w:color w:val="auto"/>
        </w:rPr>
      </w:pPr>
      <w:r>
        <w:rPr>
          <w:rFonts w:ascii="Arial" w:cs="Arial" w:eastAsia="Arial" w:hAnsi="Arial"/>
          <w:sz w:val="18"/>
          <w:szCs w:val="18"/>
          <w:color w:val="auto"/>
        </w:rPr>
        <w:t>US$3.0 million in 2019 and was associated with the early redemption of all remaining outstanding 2020 Notes which was refinanced by the issuance of the 2024 Notes.</w:t>
      </w:r>
    </w:p>
    <w:p>
      <w:pPr>
        <w:spacing w:after="0" w:line="76" w:lineRule="exact"/>
        <w:rPr>
          <w:sz w:val="20"/>
          <w:szCs w:val="20"/>
          <w:color w:val="auto"/>
        </w:rPr>
      </w:pPr>
    </w:p>
    <w:p>
      <w:pPr>
        <w:ind w:left="1080" w:right="8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associated with debt modification. Costs associated with debt modification was US$0.6 million in 2019 and was associated with the early redemption of all remaining outstanding 2020 Notes which were refinanced by the issuance of the 2024 Notes. We incurred US$nil costs associated with debt modification for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(Loss) Income before Income Tax</w:t>
      </w:r>
    </w:p>
    <w:p>
      <w:pPr>
        <w:spacing w:after="0" w:line="117"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As a result of the foregoing, we had a loss before income tax of US$406.1 million in 2020, compared to an income before income tax of US$44.0 million in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Credit (Expense)</w:t>
      </w:r>
    </w:p>
    <w:p>
      <w:pPr>
        <w:spacing w:after="0" w:line="117"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Income tax credit were US$1.0 million in 2020 and income tax expenses were US$0.4 million in 2019, respectively, and were primarily attributable to deferred income tax credit/expenses. The effective tax rates in 2020 and 2019 were 0.2% and 0.9%, respectively. Our effective tax rates in 2020 and 2019 differed from the statutory Macau complementary tax rate of 12% primarily due to the effect of expenses for which no income tax benefit is receivable, the effect of expired tax losses and the effect of changes in valuation allowances for the relevant years together with the effect of tax losses that cannot be carried forward for the year ended December 31, 2020 and the effect of profits exempted from Macau Complementary Tax for the year ended December 31, 2019. 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(Income) Attributable to Participation Interest</w:t>
      </w:r>
    </w:p>
    <w:p>
      <w:pPr>
        <w:spacing w:after="0" w:line="117" w:lineRule="exact"/>
        <w:rPr>
          <w:sz w:val="20"/>
          <w:szCs w:val="20"/>
          <w:color w:val="auto"/>
        </w:rPr>
      </w:pPr>
    </w:p>
    <w:p>
      <w:pPr>
        <w:ind w:left="120" w:right="440" w:firstLine="991"/>
        <w:spacing w:after="0" w:line="277" w:lineRule="auto"/>
        <w:rPr>
          <w:sz w:val="20"/>
          <w:szCs w:val="20"/>
          <w:color w:val="auto"/>
        </w:rPr>
      </w:pPr>
      <w:r>
        <w:rPr>
          <w:rFonts w:ascii="Arial" w:cs="Arial" w:eastAsia="Arial" w:hAnsi="Arial"/>
          <w:sz w:val="18"/>
          <w:szCs w:val="18"/>
          <w:color w:val="auto"/>
        </w:rPr>
        <w:t>Our net loss attributable to participation interest was US$83.5 million in 2020, compared to a net income attributable to participation interest of US$10.1 million in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Income Attributable to Studio City International Holdings Limited</w:t>
      </w:r>
    </w:p>
    <w:p>
      <w:pPr>
        <w:spacing w:after="0" w:line="117"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As a result of the foregoing, we had a net loss attributable to Studio City International Holdings Limited of US$321.6 million in 2020, compared to a net income attributable to Studio City International Holdings Limited of US$33.6 million in 2019.</w:t>
      </w:r>
    </w:p>
    <w:p>
      <w:pPr>
        <w:spacing w:after="0" w:line="170" w:lineRule="exact"/>
        <w:rPr>
          <w:sz w:val="20"/>
          <w:szCs w:val="20"/>
          <w:color w:val="auto"/>
        </w:rPr>
      </w:pPr>
    </w:p>
    <w:p>
      <w:pPr>
        <w:ind w:left="120" w:right="40" w:firstLine="991"/>
        <w:spacing w:after="0" w:line="311" w:lineRule="auto"/>
        <w:rPr>
          <w:sz w:val="20"/>
          <w:szCs w:val="20"/>
          <w:color w:val="auto"/>
        </w:rPr>
      </w:pPr>
      <w:r>
        <w:rPr>
          <w:rFonts w:ascii="Arial" w:cs="Arial" w:eastAsia="Arial" w:hAnsi="Arial"/>
          <w:sz w:val="16"/>
          <w:szCs w:val="16"/>
          <w:color w:val="auto"/>
        </w:rPr>
        <w:t>For a discussion of our results of operations for the year ended December 31, 2019 compared with the year ended December 31, 2018, see “Item 5. Operating and Financial Review and Prospects — A. Operating Results — Year Ended December 31, 2019 Compared to Year Ended December 31, 2018” of our annual report on Form 20-F for the fiscal year ended December 31, 2019, filed with the SEC on March 31, 2020.</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Our net income/loss before interest, taxes, depreciation, amortization, pre-opening costs, share-based compensation, property charges and other, other non-operating income and expenses, or Adjusted EBITDA, were negative US$113.8 million, US$361.0 million and US$314.8 million for the years ended December 31, 2020, 2019 and 2018, respectively.</w:t>
      </w:r>
    </w:p>
    <w:p>
      <w:pPr>
        <w:spacing w:after="0" w:line="184" w:lineRule="exact"/>
        <w:rPr>
          <w:sz w:val="20"/>
          <w:szCs w:val="20"/>
          <w:color w:val="auto"/>
        </w:rPr>
      </w:pPr>
    </w:p>
    <w:p>
      <w:pPr>
        <w:ind w:left="120" w:right="400" w:firstLine="991"/>
        <w:spacing w:after="0" w:line="277" w:lineRule="auto"/>
        <w:rPr>
          <w:sz w:val="20"/>
          <w:szCs w:val="20"/>
          <w:color w:val="auto"/>
        </w:rPr>
      </w:pPr>
      <w:r>
        <w:rPr>
          <w:rFonts w:ascii="Arial" w:cs="Arial" w:eastAsia="Arial" w:hAnsi="Arial"/>
          <w:sz w:val="18"/>
          <w:szCs w:val="18"/>
          <w:color w:val="auto"/>
        </w:rPr>
        <w:t>We believe that Adjusted EBITDA provides useful information to investors and others in understanding and evaluating our operating results. This non-GAAP financial measure eliminates the impact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86"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items that we do not consider indicative of the performance of our business. While we believe that this non-GAAP financial measure is useful in evaluating our business, this information should be considered as supplemental in nature and is not meant as a substitute for the related financial information prepared in accordance with U.S. GAAP. It should not be considered in isolation or construed as an alternative to net income/loss, cash flow or any other measure of financial performance or as an indicator of our operating performance, liquidity, profitability or cash flows generated by operating, investing or financing activities. This non-GAAP financial measure, which may differ from similarly titled measures used by other companies should not be considered a substitute for, or superior to, the financial information prepared and presented in accordance with U.S. GAAP.</w:t>
      </w:r>
    </w:p>
    <w:p>
      <w:pPr>
        <w:spacing w:after="0" w:line="164"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Net (Loss) Income Attributable to Studio City International Holdings Limited to Adjusted EBITDA</w:t>
      </w:r>
    </w:p>
    <w:p>
      <w:pPr>
        <w:spacing w:after="0" w:line="26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(2)</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(3)</w:t>
            </w: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0"/>
                <w:szCs w:val="10"/>
                <w:b w:val="1"/>
                <w:bCs w:val="1"/>
                <w:color w:val="auto"/>
              </w:rPr>
              <w:t>(4)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i w:val="1"/>
                <w:iCs w:val="1"/>
                <w:color w:val="auto"/>
                <w:w w:val="99"/>
              </w:rPr>
              <w:t>(in thousands of US$)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(loss) income attributable to Studio City International Holdings</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2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$(321,626)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$ 33,564</w:t>
            </w:r>
          </w:p>
        </w:tc>
        <w:tc>
          <w:tcPr>
            <w:tcW w:w="5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(loss) income attributable to participation interest</w:t>
            </w:r>
          </w:p>
        </w:tc>
        <w:tc>
          <w:tcPr>
            <w:tcW w:w="32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(83,466)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10,065</w:t>
            </w:r>
          </w:p>
        </w:tc>
        <w:tc>
          <w:tcPr>
            <w:tcW w:w="5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(405,092)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43,629</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(credit) expense</w:t>
            </w:r>
          </w:p>
        </w:tc>
        <w:tc>
          <w:tcPr>
            <w:tcW w:w="1280" w:type="dxa"/>
            <w:vAlign w:val="bottom"/>
            <w:gridSpan w:val="3"/>
          </w:tcPr>
          <w:p>
            <w:pPr>
              <w:jc w:val="right"/>
              <w:ind w:right="81"/>
              <w:spacing w:after="0"/>
              <w:rPr>
                <w:sz w:val="20"/>
                <w:szCs w:val="20"/>
                <w:color w:val="auto"/>
              </w:rPr>
            </w:pPr>
            <w:r>
              <w:rPr>
                <w:rFonts w:ascii="Arial" w:cs="Arial" w:eastAsia="Arial" w:hAnsi="Arial"/>
                <w:sz w:val="18"/>
                <w:szCs w:val="18"/>
                <w:color w:val="auto"/>
              </w:rPr>
              <w:t>(1,011)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5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expenses, net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126,175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133,965</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Property charges and other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4,798</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8,521</w:t>
            </w:r>
          </w:p>
        </w:tc>
        <w:tc>
          <w:tcPr>
            <w:tcW w:w="5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160,334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171,943</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(113,804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361,027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314,767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 xml:space="preserve">Adjusted EBITDA margin </w:t>
            </w:r>
            <w:r>
              <w:rPr>
                <w:rFonts w:ascii="Arial" w:cs="Arial" w:eastAsia="Arial" w:hAnsi="Arial"/>
                <w:sz w:val="24"/>
                <w:szCs w:val="24"/>
                <w:color w:val="auto"/>
                <w:vertAlign w:val="superscript"/>
              </w:rPr>
              <w:t>(1)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57.6%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Adjusted EBITDA margin is calculated by dividing Adjusted EBITDA by total operating revenues.</w:t>
      </w:r>
    </w:p>
    <w:p>
      <w:pPr>
        <w:spacing w:after="0" w:line="130"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adopted ASU 2016-13 on January 1, 2020 under the modified retrospective method. There was no material impact on our results of operations and Adjusted EBITDA in 2020 as a result of the adoption of ASU 2016-13.</w:t>
      </w:r>
    </w:p>
    <w:p>
      <w:pPr>
        <w:spacing w:after="0" w:line="75"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adopted the New Leases Standard on January 1, 2019 under the modified retrospective method. There was no material impact on our results of operations and Adjusted EBITDA in 2019 as a result of the adoption of the New Leases Standard.</w:t>
      </w:r>
    </w:p>
    <w:p>
      <w:pPr>
        <w:spacing w:after="0" w:line="75"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adopted the New Revenue Standard on January 1, 2018 under the modified retrospective method. There was no material impact on our results of operations and Adjusted EBITDA in 2018 as a result of the adoption of the New Revenue Standard.</w:t>
      </w:r>
    </w:p>
    <w:p>
      <w:pPr>
        <w:spacing w:after="0" w:line="170" w:lineRule="exact"/>
        <w:rPr>
          <w:sz w:val="20"/>
          <w:szCs w:val="20"/>
          <w:color w:val="auto"/>
        </w:rPr>
      </w:pPr>
    </w:p>
    <w:p>
      <w:pPr>
        <w:ind w:left="120" w:right="300" w:firstLine="991"/>
        <w:spacing w:after="0" w:line="275" w:lineRule="auto"/>
        <w:rPr>
          <w:sz w:val="20"/>
          <w:szCs w:val="20"/>
          <w:color w:val="auto"/>
        </w:rPr>
      </w:pPr>
      <w:r>
        <w:rPr>
          <w:rFonts w:ascii="Arial" w:cs="Arial" w:eastAsia="Arial" w:hAnsi="Arial"/>
          <w:sz w:val="17"/>
          <w:szCs w:val="17"/>
          <w:color w:val="auto"/>
        </w:rPr>
        <w:t>The Adjusted EBITDA for Studio City in 2020, 2019 and 2018 referred to in Melco Resorts’ 2020 annual report on Form 20-F were US$34.8 million, US$54.1 million and US$60.5 million more, respectively, than the Adjusted EBITDA of Studio City contained in this report. The Adjusted EBITDA of Studio City contained in this report includes certain intercompany charges that are not included in the Adjusted EBITDA for Studio City contained in such Melco Resorts’ annual report. Such intercompany charges include, among other items, fees and shared service charges billed between the Company and its subsidiaries and certain subsidiaries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86"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of Melco Resorts. Additionally, Adjusted EBITDA of Studio City included in such Melco Resorts’ annual report does not reflect certain intercompany costs related to the table games operations at Studio City Casino.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Management’s discussion and analysis of our results of operations and liquidity and capital resources are based on our consolidated financial statements. We prepare our consolidated financial statements in conformity with U.S. GAAP, which requires us to make estimates and assumptions that affect our reporting of, among other things, assets and liabilities, contingent assets and liabilities and revenues and expenses. Certain of our accounting policies require that management apply significant judgment in defining the appropriate assumptions integral to financial estimates. On an ongoing basis, we regularly evaluate these estimates and assumptions based on the most recently available information, our own historical experiences, terms of existing contracts, industry trends and other factors that we believe to be relevant, reasonable and appropriate under the circumstances. Since our financial reporting process inherently relies on the use of estimates and assumptions, our actual results could differ from what we expect. This is especially true with some accounting policies that require higher degrees of judgment than others in their application. We consider the policies discussed below to be critical to an understanding of our consolidated financial statements because they involve the greatest reliance on our management’s judgment.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Allocations and Costs Recognized with the Services and Right to Use Arrangements and the Management and Shared Services Arrangements</w:t>
      </w:r>
    </w:p>
    <w:p>
      <w:pPr>
        <w:spacing w:after="0" w:line="140" w:lineRule="exact"/>
        <w:rPr>
          <w:sz w:val="20"/>
          <w:szCs w:val="20"/>
          <w:color w:val="auto"/>
        </w:rPr>
      </w:pPr>
    </w:p>
    <w:p>
      <w:pPr>
        <w:ind w:left="120" w:right="120" w:firstLine="991"/>
        <w:spacing w:after="0" w:line="342" w:lineRule="auto"/>
        <w:rPr>
          <w:sz w:val="20"/>
          <w:szCs w:val="20"/>
          <w:color w:val="auto"/>
        </w:rPr>
      </w:pPr>
      <w:r>
        <w:rPr>
          <w:rFonts w:ascii="Arial" w:cs="Arial" w:eastAsia="Arial" w:hAnsi="Arial"/>
          <w:sz w:val="16"/>
          <w:szCs w:val="16"/>
          <w:color w:val="auto"/>
        </w:rPr>
        <w:t>Under the Services and Right to Use Arrangements, the Gaming Operator deducts gaming taxes and the costs of operation of Studio City Casino. We receive the residual gross gaming revenues and recognize these amounts as our revenues from provision of gaming related services.</w:t>
      </w:r>
    </w:p>
    <w:p>
      <w:pPr>
        <w:spacing w:after="0" w:line="124" w:lineRule="exact"/>
        <w:rPr>
          <w:sz w:val="20"/>
          <w:szCs w:val="20"/>
          <w:color w:val="auto"/>
        </w:rPr>
      </w:pPr>
    </w:p>
    <w:p>
      <w:pPr>
        <w:ind w:left="120" w:right="100" w:firstLine="991"/>
        <w:spacing w:after="0" w:line="273" w:lineRule="auto"/>
        <w:rPr>
          <w:sz w:val="20"/>
          <w:szCs w:val="20"/>
          <w:color w:val="auto"/>
        </w:rPr>
      </w:pPr>
      <w:r>
        <w:rPr>
          <w:rFonts w:ascii="Arial" w:cs="Arial" w:eastAsia="Arial" w:hAnsi="Arial"/>
          <w:sz w:val="17"/>
          <w:szCs w:val="17"/>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78" w:lineRule="exact"/>
        <w:rPr>
          <w:sz w:val="20"/>
          <w:szCs w:val="20"/>
          <w:color w:val="auto"/>
        </w:rPr>
      </w:pPr>
    </w:p>
    <w:p>
      <w:pPr>
        <w:ind w:left="120" w:right="200" w:firstLine="991"/>
        <w:spacing w:after="0" w:line="301" w:lineRule="auto"/>
        <w:rPr>
          <w:sz w:val="20"/>
          <w:szCs w:val="20"/>
          <w:color w:val="auto"/>
        </w:rPr>
      </w:pPr>
      <w:r>
        <w:rPr>
          <w:rFonts w:ascii="Arial" w:cs="Arial" w:eastAsia="Arial" w:hAnsi="Arial"/>
          <w:sz w:val="16"/>
          <w:szCs w:val="16"/>
          <w:color w:val="auto"/>
        </w:rPr>
        <w:t>We believe the costs incurred under the Services and Right to Use Arrangements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 for the periods presented. See a detailed discussion of services and related charges in Note 19 to the consolidated financial statements included elsewhere in this annual report.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117"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During the construction and development stage of Studio City, direct and incremental costs related to the design and construction, including costs under the construction contracts, duties and tariffs, equipment installation, shipping costs, payroll and payroll 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 Pre-opening costs, consisting of marketing and other expenses related to our new or start-up operations are expensed as incurred.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86"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firstLine="991"/>
        <w:spacing w:after="0" w:line="308" w:lineRule="auto"/>
        <w:rPr>
          <w:sz w:val="20"/>
          <w:szCs w:val="20"/>
          <w:color w:val="auto"/>
        </w:rPr>
      </w:pPr>
      <w:r>
        <w:rPr>
          <w:rFonts w:ascii="Arial" w:cs="Arial" w:eastAsia="Arial" w:hAnsi="Arial"/>
          <w:sz w:val="17"/>
          <w:szCs w:val="17"/>
          <w:color w:val="auto"/>
        </w:rPr>
        <w:t>We recognize depreciation and amortization expense related to capitalized construction costs and other property and equipment from the time each asset is placed in service. This may occur at different stages as Studio City’s facilities are completed and opened.</w:t>
      </w:r>
    </w:p>
    <w:p>
      <w:pPr>
        <w:spacing w:after="0" w:line="146" w:lineRule="exact"/>
        <w:rPr>
          <w:sz w:val="20"/>
          <w:szCs w:val="20"/>
          <w:color w:val="auto"/>
        </w:rPr>
      </w:pPr>
    </w:p>
    <w:p>
      <w:pPr>
        <w:jc w:val="both"/>
        <w:ind w:left="120" w:right="160" w:firstLine="991"/>
        <w:spacing w:after="0" w:line="311" w:lineRule="auto"/>
        <w:rPr>
          <w:sz w:val="20"/>
          <w:szCs w:val="20"/>
          <w:color w:val="auto"/>
        </w:rPr>
      </w:pPr>
      <w:r>
        <w:rPr>
          <w:rFonts w:ascii="Arial" w:cs="Arial" w:eastAsia="Arial" w:hAnsi="Arial"/>
          <w:sz w:val="16"/>
          <w:szCs w:val="16"/>
          <w:color w:val="auto"/>
        </w:rPr>
        <w:t>Property and equipment are depreciated and amortized on a straight-line basis over the asset’s estimated useful life. The estimated useful lives are based on factors including the nature of the assets, its relationship to other assets, our operating plans and anticipated use and other economic and legal factors that impose limits. We review periodically the remaining estimated useful lives of the property and equipment.</w:t>
      </w:r>
    </w:p>
    <w:p>
      <w:pPr>
        <w:spacing w:after="0" w:line="149"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Our land use right in Macau under the land concession contract for Studio City is being amortized over the estimated term of the land use right on a straight-line basis. The estimated term of the land use right under the land concession contract is based on factors including the business and operating environment of the gaming industry in Macau, laws and regulations in Macau, and our development plans. The estimated term of the land use right is periodically reviewed.</w:t>
      </w:r>
    </w:p>
    <w:p>
      <w:pPr>
        <w:spacing w:after="0" w:line="187" w:lineRule="exact"/>
        <w:rPr>
          <w:sz w:val="20"/>
          <w:szCs w:val="20"/>
          <w:color w:val="auto"/>
        </w:rPr>
      </w:pPr>
    </w:p>
    <w:p>
      <w:pPr>
        <w:ind w:left="120" w:right="120" w:firstLine="991"/>
        <w:spacing w:after="0" w:line="342" w:lineRule="auto"/>
        <w:rPr>
          <w:sz w:val="20"/>
          <w:szCs w:val="20"/>
          <w:color w:val="auto"/>
        </w:rPr>
      </w:pPr>
      <w:r>
        <w:rPr>
          <w:rFonts w:ascii="Arial" w:cs="Arial" w:eastAsia="Arial" w:hAnsi="Arial"/>
          <w:sz w:val="16"/>
          <w:szCs w:val="16"/>
          <w:color w:val="auto"/>
        </w:rPr>
        <w:t>We charge costs of repairs and maintenance to expense when incurred. The cost and accumulated depreciation of property and equipment retired or otherwise disposed of are eliminated from the respective accounts and any resulting gain or loss is included in operating income or loss.</w:t>
      </w:r>
    </w:p>
    <w:p>
      <w:pPr>
        <w:spacing w:after="0" w:line="124" w:lineRule="exact"/>
        <w:rPr>
          <w:sz w:val="20"/>
          <w:szCs w:val="20"/>
          <w:color w:val="auto"/>
        </w:rPr>
      </w:pPr>
    </w:p>
    <w:p>
      <w:pPr>
        <w:ind w:left="120" w:firstLine="991"/>
        <w:spacing w:after="0" w:line="288" w:lineRule="auto"/>
        <w:rPr>
          <w:sz w:val="20"/>
          <w:szCs w:val="20"/>
          <w:color w:val="auto"/>
        </w:rPr>
      </w:pPr>
      <w:r>
        <w:rPr>
          <w:rFonts w:ascii="Arial" w:cs="Arial" w:eastAsia="Arial" w:hAnsi="Arial"/>
          <w:sz w:val="16"/>
          <w:szCs w:val="16"/>
          <w:color w:val="auto"/>
        </w:rPr>
        <w:t>We also review our long-lived assets with finite lives to be held and used for impairment whenever indicators of impairment exist. If an indicator of impairment exists, we then compare the estimated future cash flows of the asset, on an undiscounted basis, to the carrying value of the asset. Estimating future cash flows of the assets involves significant assumptions, including future revenue growth rates and gross margin. The undiscounted cash flows of such assets are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undiscounted cash flows exceed the carrying value, no impairment is indicated. If the undiscounted cash flows do not exceed the carrying value, we then record an impairment charge based on the fair value of the asset group, typically measured using a discounted cash flow model. If an asset is still under development, future cash flows include remaining construction costs. We record all recognized impairment losses, whether for assets to be disposed of or assets to be held and used as operating expenses.</w:t>
      </w:r>
    </w:p>
    <w:p>
      <w:pPr>
        <w:spacing w:after="0" w:line="168" w:lineRule="exact"/>
        <w:rPr>
          <w:sz w:val="20"/>
          <w:szCs w:val="20"/>
          <w:color w:val="auto"/>
        </w:rPr>
      </w:pPr>
    </w:p>
    <w:p>
      <w:pPr>
        <w:ind w:left="120" w:right="800" w:firstLine="991"/>
        <w:spacing w:after="0" w:line="277" w:lineRule="auto"/>
        <w:rPr>
          <w:sz w:val="20"/>
          <w:szCs w:val="20"/>
          <w:color w:val="auto"/>
        </w:rPr>
      </w:pPr>
      <w:r>
        <w:rPr>
          <w:rFonts w:ascii="Arial" w:cs="Arial" w:eastAsia="Arial" w:hAnsi="Arial"/>
          <w:sz w:val="18"/>
          <w:szCs w:val="18"/>
          <w:color w:val="auto"/>
        </w:rPr>
        <w:t>During the year ended December 31, 2020, impairment losses of US$3.8 million recognized mainly due to reconfigurations and renovations at Studio City. We did not recognize any impairment loss in 2019 and 2018.</w:t>
      </w:r>
    </w:p>
    <w:p>
      <w:pPr>
        <w:spacing w:after="0" w:line="170"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The disruptions to our business caused by the COVID-19 pandemic had material adverse effects on our financial condition and operations for the year ended December 31, 2020. As a result, we concluded that a triggering event occurred and we evaluated our long-lived assets for recoverability at interim and as of December 31, 2020 and concluded no impairment existed at that date as the estimated undiscounted future cash flows exceeded their carrying values. As discussed above, estimating future cash flows of the assets involves significant assumptions. Future changes to our estimates and assumptions based upon changes in operating results, macro-economic factors or management’s intentions may result in future changes to the future cash flows of our long-lived assets.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0" w:firstLine="991"/>
        <w:spacing w:after="0" w:line="342" w:lineRule="auto"/>
        <w:rPr>
          <w:sz w:val="20"/>
          <w:szCs w:val="20"/>
          <w:color w:val="auto"/>
        </w:rPr>
      </w:pPr>
      <w:r>
        <w:rPr>
          <w:rFonts w:ascii="Arial" w:cs="Arial" w:eastAsia="Arial" w:hAnsi="Arial"/>
          <w:sz w:val="16"/>
          <w:szCs w:val="16"/>
          <w:color w:val="auto"/>
        </w:rPr>
        <w:t>On January 1, 2018, we adopted the New Revenue Standard using the modified retrospective method applying to those contracts not yet completed as of January 1, 2018. The accounting policies for revenue recognition as a result of the New Revenue Standard are as follows.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86"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firstLine="991"/>
        <w:spacing w:after="0" w:line="277" w:lineRule="auto"/>
        <w:rPr>
          <w:sz w:val="20"/>
          <w:szCs w:val="20"/>
          <w:color w:val="auto"/>
        </w:rPr>
      </w:pPr>
      <w:r>
        <w:rPr>
          <w:rFonts w:ascii="Arial" w:cs="Arial" w:eastAsia="Arial" w:hAnsi="Arial"/>
          <w:sz w:val="18"/>
          <w:szCs w:val="18"/>
          <w:color w:val="auto"/>
        </w:rPr>
        <w:t>Our revenues from contracts with customers consist of provision of gaming related services, sales of rooms, food and beverage, entertainment, retail and other goods and services.</w:t>
      </w:r>
    </w:p>
    <w:p>
      <w:pPr>
        <w:spacing w:after="0" w:line="170" w:lineRule="exact"/>
        <w:rPr>
          <w:sz w:val="20"/>
          <w:szCs w:val="20"/>
          <w:color w:val="auto"/>
        </w:rPr>
      </w:pPr>
    </w:p>
    <w:p>
      <w:pPr>
        <w:ind w:left="120" w:right="60" w:firstLine="991"/>
        <w:spacing w:after="0" w:line="254" w:lineRule="auto"/>
        <w:rPr>
          <w:sz w:val="20"/>
          <w:szCs w:val="20"/>
          <w:color w:val="auto"/>
        </w:rPr>
      </w:pPr>
      <w:r>
        <w:rPr>
          <w:rFonts w:ascii="Arial" w:cs="Arial" w:eastAsia="Arial" w:hAnsi="Arial"/>
          <w:sz w:val="18"/>
          <w:szCs w:val="18"/>
          <w:color w:val="auto"/>
        </w:rPr>
        <w:t>Revenues from provision of gaming related services represent revenues arising from the provision of facilities for the operations of Studio City Casino and services related thereto pursuant to the Services and Right to Use Arrangements, under which the Gaming Operator operates the Studio City Casino. The Gaming Operator deducts gaming taxes and the costs incurred in connection with the operations of Studio City Casino pursuant to the Services and Right to Use Arrangements, including the standalone selling prices of complimentary services within Studio City provided to the Studio City gaming patrons, from the Studio City Casino gross gaming revenues. We recognize the residual amount as revenues from provision of gaming related services. We have concluded that we are not the controlling entity to the arrangements and recognize the revenues from provision of gaming related services on a net basis.</w:t>
      </w:r>
    </w:p>
    <w:p>
      <w:pPr>
        <w:spacing w:after="0" w:line="195" w:lineRule="exact"/>
        <w:rPr>
          <w:sz w:val="20"/>
          <w:szCs w:val="20"/>
          <w:color w:val="auto"/>
        </w:rPr>
      </w:pPr>
    </w:p>
    <w:p>
      <w:pPr>
        <w:ind w:left="120" w:right="200" w:firstLine="991"/>
        <w:spacing w:after="0" w:line="273" w:lineRule="auto"/>
        <w:rPr>
          <w:sz w:val="20"/>
          <w:szCs w:val="20"/>
          <w:color w:val="auto"/>
        </w:rPr>
      </w:pPr>
      <w:r>
        <w:rPr>
          <w:rFonts w:ascii="Arial" w:cs="Arial" w:eastAsia="Arial" w:hAnsi="Arial"/>
          <w:sz w:val="17"/>
          <w:szCs w:val="17"/>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us are excluded from revenues. We record advance deposits on rooms and advance ticket sales as customer deposits until services are provided to the customers. Revenues from contracts with multiple goods or services provided by us are allocated to each good or service based on its relative standalone selling price.</w:t>
      </w:r>
    </w:p>
    <w:p>
      <w:pPr>
        <w:spacing w:after="0" w:line="178"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Minimum operating and right to use fees, representing lease revenues, adjusted for contractual base fees and operating fees escalations, are included in mall revenues and are recognized over the terms of the related agreements on a straight-line basis.</w:t>
      </w:r>
    </w:p>
    <w:p>
      <w:pPr>
        <w:spacing w:after="0" w:line="170"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Upon the adoption of the New Revenue Standard, we recognized the cumulative effect of adopting the New Revenue Standard as an adjustment to the opening balance of accumulated losses. Amounts for the periods beginning on or after January 1, 2018 are presented under the New Revenue Standard, while prior period amounts are not adjusted and continue to be reported in accordance with the previous basis. The major changes as a result of the adoption of the New Revenue Standard are as follows:</w:t>
      </w:r>
    </w:p>
    <w:p>
      <w:pPr>
        <w:spacing w:after="0" w:line="92" w:lineRule="exact"/>
        <w:rPr>
          <w:sz w:val="20"/>
          <w:szCs w:val="20"/>
          <w:color w:val="auto"/>
        </w:rPr>
      </w:pPr>
    </w:p>
    <w:p>
      <w:pPr>
        <w:ind w:left="1080" w:right="40" w:hanging="532"/>
        <w:spacing w:after="0" w:line="301"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Complimentary services provided to Studio City Casino’s gaming patrons are deducted from the gross gaming revenues and are measured based on stand-alone selling prices under the New Revenue Standard, replacing the previously used retail values. The non-gaming revenues associated with the provision of these complimentary services by us are measured on the same basis. This change impacts the amount of revenues from the provision of gaming related services received by us with corresponding changes to the non-gaming revenues.</w:t>
      </w:r>
    </w:p>
    <w:p>
      <w:pPr>
        <w:spacing w:after="0" w:line="62"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New Revenue Standard changes the measurement basis for the non-discretionary incentives (including the loyalty program) provided to Studio City Casino’s gaming patrons, as administered by the Gaming Operator, from previously used estimated costs to standalone selling prices. The non-discretionary incentives are deducted from the gross gaming revenues by the Gaming Operator and impact the amount of revenues from provision of gaming related services received by us. Similarly, the redemption of the non-discretionary incentives for non-gaming services provided by us are measured on the same basis. At the adoption date on January 1, 2018, we recognized an increase in the opening balance of accumulated losses of US$3.3 million with a corresponding decrease in amounts due from affiliated companies.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120" w:right="440" w:firstLine="991"/>
        <w:spacing w:after="0" w:line="277" w:lineRule="auto"/>
        <w:rPr>
          <w:sz w:val="20"/>
          <w:szCs w:val="20"/>
          <w:color w:val="auto"/>
        </w:rPr>
      </w:pPr>
      <w:r>
        <w:rPr>
          <w:rFonts w:ascii="Arial" w:cs="Arial" w:eastAsia="Arial" w:hAnsi="Arial"/>
          <w:sz w:val="18"/>
          <w:szCs w:val="18"/>
          <w:color w:val="auto"/>
        </w:rPr>
        <w:t>Deferred income taxes are recognized for all significant temporary differences between the tax basis of assets and liabilities and their reported amounts in the consolidated financial statements. Deferred tax assets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86"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2020 and 2019, we recorded valuation allowances of US$75.9 million and US$63.9 million, respectively, as management believes that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Changes in Accounting Standards</w:t>
      </w:r>
    </w:p>
    <w:p>
      <w:pPr>
        <w:spacing w:after="0" w:line="121" w:lineRule="exact"/>
        <w:rPr>
          <w:sz w:val="20"/>
          <w:szCs w:val="20"/>
          <w:color w:val="auto"/>
        </w:rPr>
      </w:pPr>
    </w:p>
    <w:p>
      <w:pPr>
        <w:ind w:left="120" w:right="800" w:firstLine="991"/>
        <w:spacing w:after="0" w:line="277" w:lineRule="auto"/>
        <w:rPr>
          <w:sz w:val="20"/>
          <w:szCs w:val="20"/>
          <w:color w:val="auto"/>
        </w:rPr>
      </w:pPr>
      <w:r>
        <w:rPr>
          <w:rFonts w:ascii="Arial" w:cs="Arial" w:eastAsia="Arial" w:hAnsi="Arial"/>
          <w:sz w:val="18"/>
          <w:szCs w:val="18"/>
          <w:color w:val="auto"/>
        </w:rPr>
        <w:t>See note 2 to the consolidated financial statements included elsewhere in this annual report for a discussion of recent changes in accounting standards.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 LIQUIDITY AND CAPITAL RESOURCES</w:t>
      </w:r>
    </w:p>
    <w:p>
      <w:pPr>
        <w:spacing w:after="0" w:line="229"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We have relied on, and intend to continue to rely on, our cash generated from our operations and our debt and equity financings to meet our financing or refinancing needs.</w:t>
      </w:r>
    </w:p>
    <w:p>
      <w:pPr>
        <w:spacing w:after="0" w:line="170"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As of December 31, 2020, we recorded US$575.2 million in cash and cash equivalents. Further, the HK$233.0 million (equivalent to approximately US$30.1 million) revolving credit facility under the 2021 Studio City Senior Secured Credit Facility is available for future drawdown as of December 31, 2020, subject to certain conditions precedent.</w:t>
      </w:r>
    </w:p>
    <w:p>
      <w:pPr>
        <w:spacing w:after="0" w:line="184"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As of December 31, 2020, restricted cash of US$0.1 million primarily represented the cash collateral in relation to the 2021 Studio City Senior Secured Credit Facility.</w:t>
      </w:r>
    </w:p>
    <w:p>
      <w:pPr>
        <w:spacing w:after="0" w:line="170"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We have been able to meet our working capital needs, and we believe that our current available cash and cash equivalents, bank deposits, funds available for drawdown under the 2028 Studio City Senior Secured Credit Facility and any 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Business — We may not be able to obtain adequate financing on satisfactory terms for our existing business and/or remaining project, or at all” for more information.</w:t>
      </w:r>
    </w:p>
    <w:p>
      <w:pPr>
        <w:spacing w:after="0" w:line="178"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We have significant indebtedness and will continue to evaluate our capital structure and opportunities to enhance it in the normal course of our activities. We may from time to time seek to retire or purchase our outstanding debt through cash purchases, in open market purchases, privately-negotiated transactions or otherwise. Such purchases, if any, will depend on prevailing market conditions, our liquidity requirements, contractual restrictions and other factors. The amounts involved may be material.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86"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 sets forth a summary of our cash flows for the years presented.</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358"/>
              <w:spacing w:after="0" w:line="155" w:lineRule="exact"/>
              <w:rPr>
                <w:sz w:val="20"/>
                <w:szCs w:val="20"/>
                <w:color w:val="auto"/>
              </w:rPr>
            </w:pPr>
            <w:r>
              <w:rPr>
                <w:rFonts w:ascii="Arial" w:cs="Arial" w:eastAsia="Arial" w:hAnsi="Arial"/>
                <w:sz w:val="14"/>
                <w:szCs w:val="14"/>
                <w:b w:val="1"/>
                <w:bCs w:val="1"/>
                <w:color w:val="auto"/>
                <w:w w:val="96"/>
              </w:rPr>
              <w:t>2019</w:t>
            </w: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i w:val="1"/>
                <w:iCs w:val="1"/>
                <w:color w:val="auto"/>
                <w:w w:val="89"/>
              </w:rPr>
              <w:t>(in thousands of US$)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$(167,425)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$ 228,504</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$ 139,518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(209,789)</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(90,922)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(147,515)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623,811</w:t>
            </w: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(189,976)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5"/>
              </w:rPr>
              <w:t>Effect of exchange rate on cash, cash equivalents and restricted cash</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248,127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(50,333)</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4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377,565</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$ 575,359</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$ 327,232</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$ 377,565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Operating cash flows are generally affected by changes in operating income and certain operating assets and liabilities, including the receivables related to the provision of gaming related services and hotel operations, as well as the non-gaming business, including food and beverage, entertainment, mall, retail and other, which are conducted primarily on a cash basis.</w:t>
      </w:r>
    </w:p>
    <w:p>
      <w:pPr>
        <w:spacing w:after="0" w:line="184" w:lineRule="exact"/>
        <w:rPr>
          <w:sz w:val="20"/>
          <w:szCs w:val="20"/>
          <w:color w:val="auto"/>
        </w:rPr>
      </w:pPr>
    </w:p>
    <w:p>
      <w:pPr>
        <w:ind w:left="120" w:firstLine="991"/>
        <w:spacing w:after="0" w:line="308" w:lineRule="auto"/>
        <w:rPr>
          <w:sz w:val="20"/>
          <w:szCs w:val="20"/>
          <w:color w:val="auto"/>
        </w:rPr>
      </w:pPr>
      <w:r>
        <w:rPr>
          <w:rFonts w:ascii="Arial" w:cs="Arial" w:eastAsia="Arial" w:hAnsi="Arial"/>
          <w:sz w:val="17"/>
          <w:szCs w:val="17"/>
          <w:color w:val="auto"/>
        </w:rPr>
        <w:t>We recorded net cash used in operating activities of US$167.4 million in 2020, as compared to net cash provided by operating activities of US$228.5 million in 2019, primarily due to the softer performance of Studio City’s operations as described in the foregoing section.</w:t>
      </w:r>
    </w:p>
    <w:p>
      <w:pPr>
        <w:spacing w:after="0" w:line="146"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We recorded net cash provided by operating activities of US$228.5 million in 2019, as compared to net cash provided by operating activities of US$139.5 million in 2018, due to the higher contribution of cash generated from operations of Studio City and decreased working capital for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1180" w:firstLine="991"/>
        <w:spacing w:after="0" w:line="277" w:lineRule="auto"/>
        <w:rPr>
          <w:sz w:val="20"/>
          <w:szCs w:val="20"/>
          <w:color w:val="auto"/>
        </w:rPr>
      </w:pPr>
      <w:r>
        <w:rPr>
          <w:rFonts w:ascii="Arial" w:cs="Arial" w:eastAsia="Arial" w:hAnsi="Arial"/>
          <w:sz w:val="18"/>
          <w:szCs w:val="18"/>
          <w:color w:val="auto"/>
        </w:rPr>
        <w:t>Net cash used in investing activities was US$209.8 million in 2020, as compared to net cash used in investing activities of US$90.9 million in 2019. Net cash used in investing activities was US$147.5 million in 2018.</w:t>
      </w:r>
    </w:p>
    <w:p>
      <w:pPr>
        <w:spacing w:after="0" w:line="170"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Net cash used in investing activities amounted to US$209.8 million in 2020, primarily attributable to payments for acquisition of property and equipment of US$202.7 million and funds to an affiliated company of US$9.6 million.</w:t>
      </w:r>
    </w:p>
    <w:p>
      <w:pPr>
        <w:spacing w:after="0" w:line="170"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Net cash used in investing activities amounted to US$90.9 million in 2019, primarily attributable to payments for acquisition of property and equipment of US$78.6 million and funds to an affiliated company of US$13.7 million.</w:t>
      </w:r>
    </w:p>
    <w:p>
      <w:pPr>
        <w:spacing w:after="0" w:line="170"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Net cash used in investing activities amounted to US$147.5 million in 2018, attributable to (i) payments for acquisition of property and equipment of US$153.2 million and (ii) funds to an affiliated company of US$13.4 million, partially offset by (iii) net withdrawal of bank deposits with original maturities over three months of US$9.9 million and (iv) proceeds from the sale of property and equipment and other long-term assets of US$9.2 million.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86"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991"/>
        <w:spacing w:after="0" w:line="275" w:lineRule="auto"/>
        <w:rPr>
          <w:sz w:val="20"/>
          <w:szCs w:val="20"/>
          <w:color w:val="auto"/>
        </w:rPr>
      </w:pPr>
      <w:r>
        <w:rPr>
          <w:rFonts w:ascii="Arial" w:cs="Arial" w:eastAsia="Arial" w:hAnsi="Arial"/>
          <w:sz w:val="17"/>
          <w:szCs w:val="17"/>
          <w:color w:val="auto"/>
        </w:rPr>
        <w:t>Our capital expenditures on an accrual basis amounted to US$214.0 million, US$74.1 million and US$67.0 million for the years ended December 31, 2020, 2019 and 2018, respectively, primarily for the construction, development and enhancement of Studio City. We will continue to make capital expenditures to meet the expected growth of our business and expect that cash generated from our operating and financing activities will meet our capital expenditure needs in the foreseeable future. We expect to incur significant capital expenditures for the development of the remaining land of Studio City. See “— Other Financing and Liquidity Matters” below for more information.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800" w:firstLine="991"/>
        <w:spacing w:after="0" w:line="277" w:lineRule="auto"/>
        <w:rPr>
          <w:sz w:val="20"/>
          <w:szCs w:val="20"/>
          <w:color w:val="auto"/>
        </w:rPr>
      </w:pPr>
      <w:r>
        <w:rPr>
          <w:rFonts w:ascii="Arial" w:cs="Arial" w:eastAsia="Arial" w:hAnsi="Arial"/>
          <w:sz w:val="18"/>
          <w:szCs w:val="18"/>
          <w:color w:val="auto"/>
        </w:rPr>
        <w:t>Net cash provided by financing activities was US$623.8 million in 2020, as compared to net cash used in financing activities of US$190.0 million in 2019. Net cash provided by financing activities was US$5.2 million in 2018.</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Net cash provided by financing activities was US$623.8 million in 2020, attributable to net proceeds from issuance of shares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US$499.2 million, proceeds from the issuance of the 2025 Notes in aggregate principal amount of US$500.0 million and the 2028 Notes in aggregate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principal amount of US$500.0 million, partially offset by the full redemption of the 2021 Studio City Company Notes in aggregate principal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US$850.0 million and the payment of deferred financing costs arisen from the refinancing of the 2021 Studio City Company Notes with the 2025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2028 Notes.</w:t>
      </w:r>
    </w:p>
    <w:p>
      <w:pPr>
        <w:spacing w:after="0" w:line="211"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Net cash used in financing activities was US$190.0 million in 2019, attributable to the full repayment of 2019 Studio City Company Notes of US$350.0 million upon maturity, the payment of the 2020 Notes Tender Offer of US$216.5 million in aggregate principal amount and the redemption of the remaining 2020 Notes of US$208.5 million in aggregate principal amount outstanding, partially offset by the proceeds from the issuance of the 2024 Notes of US$600.0 million.</w:t>
      </w:r>
    </w:p>
    <w:p>
      <w:pPr>
        <w:spacing w:after="0" w:line="187"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Net cash provided by financing activities was US$5.2 million in 2018, attributable to the net proceeds from our initial public offering of ADSs of US$405.2 million, partially offset by the early partial redemption of the 2020 Notes of US$400.0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left="120" w:right="380" w:firstLine="991"/>
        <w:spacing w:after="0" w:line="277" w:lineRule="auto"/>
        <w:rPr>
          <w:sz w:val="20"/>
          <w:szCs w:val="20"/>
          <w:color w:val="auto"/>
        </w:rPr>
      </w:pPr>
      <w:r>
        <w:rPr>
          <w:rFonts w:ascii="Arial" w:cs="Arial" w:eastAsia="Arial" w:hAnsi="Arial"/>
          <w:sz w:val="18"/>
          <w:szCs w:val="18"/>
          <w:color w:val="auto"/>
        </w:rPr>
        <w:t>We enter into loan facilities and issue notes through our subsidiaries. The following table sets forth our gross indebtedness, before the reduction of debt issuance costs, as of December 31, 2020:</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Issuer</w:t>
            </w:r>
          </w:p>
        </w:tc>
        <w:tc>
          <w:tcPr>
            <w:tcW w:w="7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w w:val="88"/>
              </w:rPr>
              <w:t>(in thousands of 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2021</w:t>
            </w: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Studio City Senior Secured Credit Facility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Studio City Company</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2024</w:t>
            </w:r>
          </w:p>
        </w:tc>
        <w:tc>
          <w:tcPr>
            <w:tcW w:w="5160" w:type="dxa"/>
            <w:vAlign w:val="bottom"/>
          </w:tcPr>
          <w:p>
            <w:pPr>
              <w:ind w:left="20"/>
              <w:spacing w:after="0"/>
              <w:rPr>
                <w:sz w:val="20"/>
                <w:szCs w:val="20"/>
                <w:color w:val="auto"/>
              </w:rPr>
            </w:pPr>
            <w:r>
              <w:rPr>
                <w:rFonts w:ascii="Arial" w:cs="Arial" w:eastAsia="Arial" w:hAnsi="Arial"/>
                <w:sz w:val="18"/>
                <w:szCs w:val="18"/>
                <w:color w:val="auto"/>
              </w:rPr>
              <w:t>Notes</w:t>
            </w:r>
          </w:p>
        </w:tc>
        <w:tc>
          <w:tcPr>
            <w:tcW w:w="1640" w:type="dxa"/>
            <w:vAlign w:val="bottom"/>
          </w:tcPr>
          <w:p>
            <w:pPr>
              <w:jc w:val="right"/>
              <w:spacing w:after="0"/>
              <w:rPr>
                <w:sz w:val="20"/>
                <w:szCs w:val="20"/>
                <w:color w:val="auto"/>
              </w:rPr>
            </w:pPr>
            <w:r>
              <w:rPr>
                <w:rFonts w:ascii="Arial" w:cs="Arial" w:eastAsia="Arial" w:hAnsi="Arial"/>
                <w:sz w:val="18"/>
                <w:szCs w:val="18"/>
                <w:color w:val="auto"/>
              </w:rPr>
              <w:t>Studio City Finance</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2025</w:t>
            </w: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Studio City Finance</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2028</w:t>
            </w:r>
          </w:p>
        </w:tc>
        <w:tc>
          <w:tcPr>
            <w:tcW w:w="5160" w:type="dxa"/>
            <w:vAlign w:val="bottom"/>
          </w:tcPr>
          <w:p>
            <w:pPr>
              <w:ind w:left="20"/>
              <w:spacing w:after="0"/>
              <w:rPr>
                <w:sz w:val="20"/>
                <w:szCs w:val="20"/>
                <w:color w:val="auto"/>
              </w:rPr>
            </w:pPr>
            <w:r>
              <w:rPr>
                <w:rFonts w:ascii="Arial" w:cs="Arial" w:eastAsia="Arial" w:hAnsi="Arial"/>
                <w:sz w:val="18"/>
                <w:szCs w:val="18"/>
                <w:color w:val="auto"/>
              </w:rPr>
              <w:t>Notes</w:t>
            </w:r>
          </w:p>
        </w:tc>
        <w:tc>
          <w:tcPr>
            <w:tcW w:w="1640" w:type="dxa"/>
            <w:vAlign w:val="bottom"/>
          </w:tcPr>
          <w:p>
            <w:pPr>
              <w:jc w:val="right"/>
              <w:spacing w:after="0"/>
              <w:rPr>
                <w:sz w:val="20"/>
                <w:szCs w:val="20"/>
                <w:color w:val="auto"/>
              </w:rPr>
            </w:pPr>
            <w:r>
              <w:rPr>
                <w:rFonts w:ascii="Arial" w:cs="Arial" w:eastAsia="Arial" w:hAnsi="Arial"/>
                <w:sz w:val="18"/>
                <w:szCs w:val="18"/>
                <w:color w:val="auto"/>
              </w:rPr>
              <w:t>Studio City Finance</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Total</w:t>
            </w:r>
          </w:p>
        </w:tc>
        <w:tc>
          <w:tcPr>
            <w:tcW w:w="5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1,600,129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Major changes in our indebtedness during the year ended and subsequent to December 31, 2020 are summarized below.</w:t>
      </w:r>
    </w:p>
    <w:p>
      <w:pPr>
        <w:spacing w:after="0" w:line="225"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On July 15, 2020, Studio City Finance issued US$500.0 million in aggregate principal amount of the 2025 Notes and US$500.0 million in aggregate principal amount of the 2028 Notes. On August 14, 2020, Studio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86"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City Company used a portion of the net proceeds to redeem in full the 2021 Studio City Company Notes, together with accrued interest and the applicable redemption premium.</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On January 4, 2021, Studio City Finance commenced the 2024 Notes Tender Offer. The 2024 Notes Tender Offer expired on January 11,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2021. The aggregate principal amount of valid tenders received and not validly withdrawn under the 2024 Notes Tender Offer amounted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US$347.1 million. On January 14, 2021, Studio City Finance issued US$750.0 million in aggregate principal amount of the 2029 Notes, the net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proceeds of which were used to pay the tendering noteholders from the 2024 Notes Tender Offer and, on February 17, 2021, to redeem, together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accrued interest, all remaining outstanding amounts of the 2024 Notes, which amounted to US$252.9 million in aggregate principal amount.</w:t>
      </w:r>
    </w:p>
    <w:p>
      <w:pPr>
        <w:spacing w:after="0" w:line="222" w:lineRule="exact"/>
        <w:rPr>
          <w:sz w:val="20"/>
          <w:szCs w:val="20"/>
          <w:color w:val="auto"/>
        </w:rPr>
      </w:pPr>
    </w:p>
    <w:p>
      <w:pPr>
        <w:ind w:left="120" w:right="280" w:firstLine="991"/>
        <w:spacing w:after="0" w:line="257" w:lineRule="auto"/>
        <w:rPr>
          <w:sz w:val="20"/>
          <w:szCs w:val="20"/>
          <w:color w:val="auto"/>
        </w:rPr>
      </w:pPr>
      <w:r>
        <w:rPr>
          <w:rFonts w:ascii="Arial" w:cs="Arial" w:eastAsia="Arial" w:hAnsi="Arial"/>
          <w:sz w:val="18"/>
          <w:szCs w:val="18"/>
          <w:color w:val="auto"/>
        </w:rPr>
        <w:t>On March 15, 2021, Studio City Company amended the terms of the 2021 Studio City Senior Secured Credit Facility, including the extension of maturity date for each of the HK$233.0 million (approximately US$30.1 million) revolving credit facility and the HK$1.0 million (approximately US$129,000) term loan facility from November 30, 2021 to January 15, 2028. The revolving credit facility is available up to the date that is one month prior to the new extended maturity date. The amendments also included certain covenants in order to align them with certain financings by Studio City Finance Limited.</w:t>
      </w:r>
    </w:p>
    <w:p>
      <w:pPr>
        <w:spacing w:after="0" w:line="188"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For further details of the above indebtedness, see note 10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“Item 5. Operating and Financial Review and Prospects — F. Tabular Disclosure of Contractual Obligations” for details of the maturity profile of debt and “Item 11. Quantitative and Qualitative Disclosures about Market Risk” for further understanding of our hedging of foreign exchange risk exposure.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Financing and Liquidity Matters</w:t>
      </w:r>
    </w:p>
    <w:p>
      <w:pPr>
        <w:spacing w:after="0" w:line="121" w:lineRule="exact"/>
        <w:rPr>
          <w:sz w:val="20"/>
          <w:szCs w:val="20"/>
          <w:color w:val="auto"/>
        </w:rPr>
      </w:pPr>
    </w:p>
    <w:p>
      <w:pPr>
        <w:jc w:val="both"/>
        <w:ind w:left="120" w:right="160" w:firstLine="991"/>
        <w:spacing w:after="0" w:line="286" w:lineRule="auto"/>
        <w:rPr>
          <w:sz w:val="20"/>
          <w:szCs w:val="20"/>
          <w:color w:val="auto"/>
        </w:rPr>
      </w:pPr>
      <w:r>
        <w:rPr>
          <w:rFonts w:ascii="Arial" w:cs="Arial" w:eastAsia="Arial" w:hAnsi="Arial"/>
          <w:sz w:val="17"/>
          <w:szCs w:val="17"/>
          <w:color w:val="auto"/>
        </w:rPr>
        <w:t>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have significant capital expenditures in the future as we continue to develop the remaining land of Studio City.</w:t>
      </w:r>
    </w:p>
    <w:p>
      <w:pPr>
        <w:spacing w:after="0" w:line="165"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We have relied, and intend in the future to rely, on our operating cash flow and different forms of financing to meet our funding needs and repay our indebtedness, as the case may be.</w:t>
      </w:r>
    </w:p>
    <w:p>
      <w:pPr>
        <w:spacing w:after="0" w:line="170" w:lineRule="exact"/>
        <w:rPr>
          <w:sz w:val="20"/>
          <w:szCs w:val="20"/>
          <w:color w:val="auto"/>
        </w:rPr>
      </w:pPr>
    </w:p>
    <w:p>
      <w:pPr>
        <w:ind w:left="120" w:right="240" w:firstLine="991"/>
        <w:spacing w:after="0" w:line="259" w:lineRule="auto"/>
        <w:rPr>
          <w:sz w:val="20"/>
          <w:szCs w:val="20"/>
          <w:color w:val="auto"/>
        </w:rPr>
      </w:pPr>
      <w:r>
        <w:rPr>
          <w:rFonts w:ascii="Arial" w:cs="Arial" w:eastAsia="Arial" w:hAnsi="Arial"/>
          <w:sz w:val="18"/>
          <w:szCs w:val="18"/>
          <w:color w:val="auto"/>
        </w:rPr>
        <w:t>The timing of any future debt and equity financing activities will be dependent on our funding needs, our development and construction schedule, the availability of funds on terms acceptable to us and prevailing market conditions. We may carry out activities from time to time to strengthen our financial position and ability to better fund our business expansion plans. Such activities may include refinancing existing debt, monetizing assets, sale-and-leaseback transactions or other similar activities.</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 October 2018, we completed our initial public offering of 28,750,000 ADSs (equivalent to 115,000,000 Class A ordinary shares).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November 2018, the underwriters exercised their over-allotment option in full to purchase an additional 4,312,500 ADSs from us. After giving effect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exercise of the over-allotment option, the total number of ADSs sold in our initial public offering was 33,062,500 ADSs and we received net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proceeds of approximately US$406.7 million from the ADSs sold in our initial public offering and aggregate gross proceeds of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US$2.5 million from the concurrent private placement to Melco International in connection with Melco International’s “assured entitlement” distribution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its shareholders, after deducting underwriting discounts and commissions and a structuring fee, but before deducting offering expenses payable by us.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86"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991"/>
        <w:spacing w:after="0" w:line="263" w:lineRule="auto"/>
        <w:rPr>
          <w:sz w:val="20"/>
          <w:szCs w:val="20"/>
          <w:color w:val="auto"/>
        </w:rPr>
      </w:pPr>
      <w:r>
        <w:rPr>
          <w:rFonts w:ascii="Arial" w:cs="Arial" w:eastAsia="Arial" w:hAnsi="Arial"/>
          <w:sz w:val="18"/>
          <w:szCs w:val="18"/>
          <w:color w:val="auto"/>
        </w:rPr>
        <w:t>In relation to a series of private offers of its Class A ordinary shares announced by the Company on July 7, 2020, or the Private Placements, Studio City International completed a US$500 million private placement of shares. The net proceeds from this private placement was approximately US$499.2 million.</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Any other future developments may be subject to further financing and a number of other factors, many of which are beyond our control.</w:t>
      </w:r>
    </w:p>
    <w:p>
      <w:pPr>
        <w:spacing w:after="0" w:line="248"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As of December 31, 2020, we had capital commitments contracted for but not incurred for the construction and acquisition of property and equipment mainly for the development of remaining land at Studio City totaling US$498.5 million. In addition, we have contingent liabilities arising in the ordinary course of business. For further details for our commitments and contingencies, see note 18 to the consolidated financial statements included elsewhere in this annual report.</w:t>
      </w:r>
    </w:p>
    <w:p>
      <w:pPr>
        <w:spacing w:after="0" w:line="187"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Each of Studio City Company and Studio City Finance has a corporate rating of “BB-” by Standard &amp; Poor’s and a corporate rating of “B1” by Moody’s Investors Service, respectively. For future borrowings, any decrease in our corporate rating could result in an increase in borrowing costs.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Distributions</w:t>
      </w:r>
    </w:p>
    <w:p>
      <w:pPr>
        <w:spacing w:after="0" w:line="121" w:lineRule="exact"/>
        <w:rPr>
          <w:sz w:val="20"/>
          <w:szCs w:val="20"/>
          <w:color w:val="auto"/>
        </w:rPr>
      </w:pPr>
    </w:p>
    <w:p>
      <w:pPr>
        <w:ind w:left="120" w:right="80" w:firstLine="991"/>
        <w:spacing w:after="0" w:line="290" w:lineRule="auto"/>
        <w:rPr>
          <w:sz w:val="20"/>
          <w:szCs w:val="20"/>
          <w:color w:val="auto"/>
        </w:rPr>
      </w:pPr>
      <w:r>
        <w:rPr>
          <w:rFonts w:ascii="Arial" w:cs="Arial" w:eastAsia="Arial" w:hAnsi="Arial"/>
          <w:sz w:val="16"/>
          <w:szCs w:val="16"/>
          <w:color w:val="auto"/>
        </w:rPr>
        <w:t>The Company is a holding company with no operations of its own. We conduct our operations through our subsidiaries. As a result, our ability to pay dividends depends upon dividends paid by our subsidiaries. Our subsidiaries have incurred debt on their own behalf and any of our newly formed subsidiaries may incur debt on their own behalf in the future and the instruments governing their debt have and may restrict their ability to pay dividends to us. For discussion on the ability of our subsidiaries to transfer funds to our Company in the form of cash dividends, loans or advances and the impact such restrictions have on our ability to meet our cash obligations, see “Item 3. Key Information — D. Risk Factors — Risks Relating to Our Business — Certain covenants under our agreements governing our existing indebtedness restrict our ability to engage in certain transactions and may impair our ability to respond to changing business and economic conditions” and “Item 8. Financial Information — A. Consolidated Statements and Other Financial Information — Dividend Policy” and note 17 to the consolidated financial statements included elsewhere in this annual report.</w:t>
      </w:r>
    </w:p>
    <w:p>
      <w:pPr>
        <w:spacing w:after="0" w:line="165"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In addition, our subsidiaries incorporated in Macau are required to set aside a minimum of 25% of the entity’s profit after taxation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9"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We have entered into licensing agreements for the use of certain trade names. For other intellectual property that we owned, see “Item 4. Information on the Company — B. Business Overview — Intellectual Property.”</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trends and uncertainties may affect our operations and financial conditions:</w:t>
      </w:r>
    </w:p>
    <w:p>
      <w:pPr>
        <w:spacing w:after="0" w:line="131" w:lineRule="exact"/>
        <w:rPr>
          <w:sz w:val="20"/>
          <w:szCs w:val="20"/>
          <w:color w:val="auto"/>
        </w:rPr>
      </w:pPr>
    </w:p>
    <w:p>
      <w:pPr>
        <w:ind w:left="1080" w:right="2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impact of the COVID-19 outbreak, including its severity, magnitude and duration, and any recovery from such disruptions, which will depend on future events, such as the successful production, distribution and widespread acceptance of safe and effective vaccines; the development of effective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86"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73" w:lineRule="auto"/>
        <w:rPr>
          <w:sz w:val="20"/>
          <w:szCs w:val="20"/>
          <w:color w:val="auto"/>
        </w:rPr>
      </w:pPr>
      <w:r>
        <w:rPr>
          <w:rFonts w:ascii="Arial" w:cs="Arial" w:eastAsia="Arial" w:hAnsi="Arial"/>
          <w:sz w:val="17"/>
          <w:szCs w:val="17"/>
          <w:color w:val="auto"/>
        </w:rPr>
        <w:t>treatments for COVID-19; the duration of travel and visa restrictions and customer sentiment and behavior (including the length of time before customers resume travel and participation in entertainment and leisure activities at high-density venues and the impact of potential higher unemployment rates, declines in income levels and loss of personal wealth resulting from the COVID-19 pandemic on consumer behavior related to discretionary spending and traveling), all of which are highly uncertain. The disruptions to our business caused by the COVID-19 pandemic have had a material and adverse effect on our business, financial condition and results of operations and as such disruptions are ongoing, such material and adverse effects will likely continue;</w:t>
      </w:r>
    </w:p>
    <w:p>
      <w:pPr>
        <w:spacing w:after="0" w:line="83" w:lineRule="exact"/>
        <w:rPr>
          <w:sz w:val="20"/>
          <w:szCs w:val="20"/>
          <w:color w:val="auto"/>
        </w:rPr>
      </w:pPr>
    </w:p>
    <w:p>
      <w:pPr>
        <w:ind w:left="1080" w:hanging="424"/>
        <w:spacing w:after="0" w:line="255"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Policies and campaigns implemented by the Chinese government, including restrictions on travel, anti-corruption campaigns, heightened monitoring of cross-border currency movement and adoption of new measures to eliminate perceived channels of illicit cross-border currency movements, restrictions on currency withdrawal, increased scrutiny of marketing activities in China or new measures taken by the Chinese government to deter marketing of gaming activities to mainland Chinese residents by foreign casinos, as well as any slowdown of economic growth in China, may lead to a decline and limit the recovery and growth in the number of patrons visiting our property and the spending amount of such patrons;</w:t>
      </w:r>
    </w:p>
    <w:p>
      <w:pPr>
        <w:spacing w:after="0" w:line="97" w:lineRule="exact"/>
        <w:rPr>
          <w:rFonts w:ascii="Arial" w:cs="Arial" w:eastAsia="Arial" w:hAnsi="Arial"/>
          <w:sz w:val="18"/>
          <w:szCs w:val="18"/>
          <w:color w:val="auto"/>
        </w:rPr>
      </w:pPr>
    </w:p>
    <w:p>
      <w:pPr>
        <w:ind w:left="1080" w:right="80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gaming and leisure market in Macau is developing and the competitive landscape is expected to evolve as more gaming and non-gaming facilities are developed in Macau. More supply of integrated resorts in the Cotai region of Macau will intensify the competition in the businesses that we and the Gaming Operator operate;</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impact of new policies and legislation implemented by the Macau government, including travel and visa policies, anti-smoking legislation as well as policies relating to gaming table allocations and gaming machine requirements;</w:t>
      </w:r>
    </w:p>
    <w:p>
      <w:pPr>
        <w:spacing w:after="0" w:line="75" w:lineRule="exact"/>
        <w:rPr>
          <w:rFonts w:ascii="Arial" w:cs="Arial" w:eastAsia="Arial" w:hAnsi="Arial"/>
          <w:sz w:val="18"/>
          <w:szCs w:val="18"/>
          <w:color w:val="auto"/>
        </w:rPr>
      </w:pPr>
    </w:p>
    <w:p>
      <w:pPr>
        <w:ind w:left="1080" w:right="160" w:hanging="424"/>
        <w:spacing w:after="0" w:line="25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Greater regulatory scrutiny, including increased audits and inspections, in relation to movement of capital and anti-money laundering and other financial crime. Anti-money laundering, anti-bribery and corruption and sanctions and counter-terrorism financing laws and regulations have become increasingly complex and subject to greater regulatory scrutiny and supervision by regulators globally and may increase our compliance costs and any potential non-compliances of such laws and regulations could have an adverse effect on our reputation, financial condition, results of operations or cash flows;</w:t>
      </w:r>
    </w:p>
    <w:p>
      <w:pPr>
        <w:spacing w:after="0" w:line="93" w:lineRule="exact"/>
        <w:rPr>
          <w:rFonts w:ascii="Arial" w:cs="Arial" w:eastAsia="Arial" w:hAnsi="Arial"/>
          <w:sz w:val="18"/>
          <w:szCs w:val="18"/>
          <w:color w:val="auto"/>
        </w:rPr>
      </w:pPr>
    </w:p>
    <w:p>
      <w:pPr>
        <w:ind w:left="1080" w:right="200" w:hanging="424"/>
        <w:spacing w:after="0" w:line="25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Enactment of new laws, or amendments to existing laws with more stringent requirements, in relation to personal data, including, among others, collection, use and/or transmission of personal data, and as to which there may be limited precedence on their interpretation and application, may increase operating costs and/or adversely impact our ability to market to our customers and guests. In addition, any non-compliance with such laws may result in damage or reputation and/or subject us to lawsuits, fines and other penalties as well as restrictions on our use or transfer of data; and</w:t>
      </w:r>
    </w:p>
    <w:p>
      <w:pPr>
        <w:spacing w:after="0" w:line="93"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Gaming promoters in Macau are experiencing increased regulatory scrutiny that has resulted in the cessation of business of certain gaming promoters, a trend which may affect Studio City Casino’s operations in a number of ways:</w:t>
      </w:r>
    </w:p>
    <w:p>
      <w:pPr>
        <w:spacing w:after="0" w:line="75"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 concentration of gaming promoters may result in such gaming promoters having significant leverage and bargaining strength in</w:t>
      </w:r>
    </w:p>
    <w:p>
      <w:pPr>
        <w:spacing w:after="0" w:line="23" w:lineRule="exact"/>
        <w:rPr>
          <w:rFonts w:ascii="Arial" w:cs="Arial" w:eastAsia="Arial" w:hAnsi="Arial"/>
          <w:sz w:val="18"/>
          <w:szCs w:val="18"/>
          <w:color w:val="auto"/>
        </w:rPr>
      </w:pPr>
    </w:p>
    <w:p>
      <w:pPr>
        <w:ind w:left="1540" w:right="200"/>
        <w:spacing w:after="0" w:line="255" w:lineRule="auto"/>
        <w:rPr>
          <w:rFonts w:ascii="Arial" w:cs="Arial" w:eastAsia="Arial" w:hAnsi="Arial"/>
          <w:sz w:val="18"/>
          <w:szCs w:val="18"/>
          <w:color w:val="auto"/>
        </w:rPr>
      </w:pPr>
      <w:r>
        <w:rPr>
          <w:rFonts w:ascii="Arial" w:cs="Arial" w:eastAsia="Arial" w:hAnsi="Arial"/>
          <w:sz w:val="18"/>
          <w:szCs w:val="18"/>
          <w:color w:val="auto"/>
        </w:rPr>
        <w:t>negotiating agreements with gaming operators, which could result in gaming promoters negotiating changes to the Gaming Operator’s agreements with them or the loss of business to a competitor or the loss of certain relationships with gaming promoters, any of which may adversely affect our results of operations;</w:t>
      </w:r>
    </w:p>
    <w:p>
      <w:pPr>
        <w:spacing w:after="0" w:line="95" w:lineRule="exact"/>
        <w:rPr>
          <w:rFonts w:ascii="Arial" w:cs="Arial" w:eastAsia="Arial" w:hAnsi="Arial"/>
          <w:sz w:val="18"/>
          <w:szCs w:val="18"/>
          <w:color w:val="auto"/>
        </w:rPr>
      </w:pPr>
    </w:p>
    <w:p>
      <w:pPr>
        <w:ind w:left="1540" w:right="40" w:hanging="432"/>
        <w:spacing w:after="0" w:line="259" w:lineRule="auto"/>
        <w:rPr>
          <w:rFonts w:ascii="Arial" w:cs="Arial" w:eastAsia="Arial" w:hAnsi="Arial"/>
          <w:sz w:val="18"/>
          <w:szCs w:val="18"/>
          <w:color w:val="auto"/>
        </w:rPr>
      </w:pPr>
      <w:r>
        <w:rPr>
          <w:rFonts w:ascii="Arial" w:cs="Arial" w:eastAsia="Arial" w:hAnsi="Arial"/>
          <w:sz w:val="18"/>
          <w:szCs w:val="18"/>
          <w:color w:val="auto"/>
        </w:rPr>
        <w:t>–if any of Studio City Casino’s gaming promoters ceases business or fails to maintain the required standards of regulatory compliance, probity and integrity, their exposure to patron and other litigation and regulatory enforcement actions may increase, which in turn may expose us and the Gaming Operator to an increased risk for litigation, regulatory enforcement actions and damage to our reputations;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86"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hanging="432"/>
        <w:spacing w:after="0" w:line="34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since the Gaming Operator depends on gaming promoters for its VIP gaming revenue, difficulties in their operations may expose the Studio City Casino to higher operational risk to the extent Studio City Casino continues to conduct VIP rolling chip operations.</w:t>
      </w:r>
    </w:p>
    <w:p>
      <w:pPr>
        <w:spacing w:after="0" w:line="124" w:lineRule="exact"/>
        <w:rPr>
          <w:sz w:val="20"/>
          <w:szCs w:val="20"/>
          <w:color w:val="auto"/>
        </w:rPr>
      </w:pPr>
    </w:p>
    <w:p>
      <w:pPr>
        <w:ind w:left="120" w:right="140" w:firstLine="991"/>
        <w:spacing w:after="0" w:line="257" w:lineRule="auto"/>
        <w:rPr>
          <w:sz w:val="20"/>
          <w:szCs w:val="20"/>
          <w:color w:val="auto"/>
        </w:rPr>
      </w:pPr>
      <w:r>
        <w:rPr>
          <w:rFonts w:ascii="Arial" w:cs="Arial" w:eastAsia="Arial" w:hAnsi="Arial"/>
          <w:sz w:val="18"/>
          <w:szCs w:val="18"/>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 OFF-BALANCE SHEET ARRANGEMENTS</w:t>
      </w:r>
    </w:p>
    <w:p>
      <w:pPr>
        <w:spacing w:after="0" w:line="229"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We have not entered into any material financial guarantees or other commitments to guarantee the payment obligations of any third parties. We have not entered into any derivative contracts that are indexed to our ordinary shares and classified as shareholder’s equity, or that are not reflected in our consolidated financial statements.</w:t>
      </w:r>
    </w:p>
    <w:p>
      <w:pPr>
        <w:spacing w:after="0" w:line="184" w:lineRule="exact"/>
        <w:rPr>
          <w:sz w:val="20"/>
          <w:szCs w:val="20"/>
          <w:color w:val="auto"/>
        </w:rPr>
      </w:pPr>
    </w:p>
    <w:p>
      <w:pPr>
        <w:jc w:val="both"/>
        <w:ind w:left="120" w:right="480" w:firstLine="991"/>
        <w:spacing w:after="0" w:line="286" w:lineRule="auto"/>
        <w:rPr>
          <w:sz w:val="20"/>
          <w:szCs w:val="20"/>
          <w:color w:val="auto"/>
        </w:rPr>
      </w:pPr>
      <w:r>
        <w:rPr>
          <w:rFonts w:ascii="Arial" w:cs="Arial" w:eastAsia="Arial" w:hAnsi="Arial"/>
          <w:sz w:val="17"/>
          <w:szCs w:val="17"/>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total long-term indebtedness and other contractual obligations as of December 31, 2020 are summarized below.</w:t>
      </w:r>
    </w:p>
    <w:p>
      <w:pPr>
        <w:spacing w:after="0" w:line="257"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Payments Due by Period</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5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6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2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1 year</w:t>
            </w:r>
          </w:p>
        </w:tc>
        <w:tc>
          <w:tcPr>
            <w:tcW w:w="6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w w:val="93"/>
              </w:rPr>
              <w:t>(in millions of US$)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i w:val="1"/>
                <w:iCs w:val="1"/>
                <w:color w:val="auto"/>
              </w:rPr>
              <w:t>Long-term debt obligations</w:t>
            </w:r>
            <w:r>
              <w:rPr>
                <w:rFonts w:ascii="Arial" w:cs="Arial" w:eastAsia="Arial" w:hAnsi="Arial"/>
                <w:sz w:val="25"/>
                <w:szCs w:val="25"/>
                <w:color w:val="auto"/>
                <w:vertAlign w:val="superscript"/>
              </w:rPr>
              <w:t>(1)</w:t>
            </w:r>
            <w:r>
              <w:rPr>
                <w:rFonts w:ascii="Arial" w:cs="Arial" w:eastAsia="Arial" w:hAnsi="Arial"/>
                <w:sz w:val="18"/>
                <w:szCs w:val="18"/>
                <w:b w:val="1"/>
                <w:bCs w:val="1"/>
                <w:i w:val="1"/>
                <w:iCs w:val="1"/>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line="216" w:lineRule="exact"/>
              <w:rPr>
                <w:sz w:val="20"/>
                <w:szCs w:val="20"/>
                <w:color w:val="auto"/>
              </w:rPr>
            </w:pPr>
            <w:r>
              <w:rPr>
                <w:rFonts w:ascii="Arial" w:cs="Arial" w:eastAsia="Arial" w:hAnsi="Arial"/>
                <w:sz w:val="18"/>
                <w:szCs w:val="18"/>
                <w:color w:val="auto"/>
              </w:rPr>
              <w:t>2021 Studio City Senior Secured Credit Facility</w:t>
            </w:r>
            <w:r>
              <w:rPr>
                <w:rFonts w:ascii="Arial" w:cs="Arial" w:eastAsia="Arial" w:hAnsi="Arial"/>
                <w:sz w:val="25"/>
                <w:szCs w:val="25"/>
                <w:color w:val="auto"/>
                <w:vertAlign w:val="superscript"/>
              </w:rPr>
              <w:t>(2)</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2024 Notes</w:t>
            </w:r>
            <w:r>
              <w:rPr>
                <w:rFonts w:ascii="Arial" w:cs="Arial" w:eastAsia="Arial" w:hAnsi="Arial"/>
                <w:sz w:val="25"/>
                <w:szCs w:val="25"/>
                <w:color w:val="auto"/>
                <w:vertAlign w:val="superscript"/>
              </w:rPr>
              <w:t>(3)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2025 Notes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2028 Notes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Fixed interest payments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i w:val="1"/>
                <w:iCs w:val="1"/>
                <w:color w:val="auto"/>
              </w:rPr>
              <w:t>Operating leases</w:t>
            </w:r>
            <w:r>
              <w:rPr>
                <w:rFonts w:ascii="Arial" w:cs="Arial" w:eastAsia="Arial" w:hAnsi="Arial"/>
                <w:sz w:val="25"/>
                <w:szCs w:val="25"/>
                <w:color w:val="auto"/>
                <w:vertAlign w:val="superscript"/>
              </w:rPr>
              <w:t>(4)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Construction costs and property and equipment retention payables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contractual commitments: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line="216" w:lineRule="exact"/>
              <w:rPr>
                <w:sz w:val="20"/>
                <w:szCs w:val="20"/>
                <w:color w:val="auto"/>
              </w:rPr>
            </w:pPr>
            <w:r>
              <w:rPr>
                <w:rFonts w:ascii="Arial" w:cs="Arial" w:eastAsia="Arial" w:hAnsi="Arial"/>
                <w:sz w:val="18"/>
                <w:szCs w:val="18"/>
                <w:color w:val="auto"/>
                <w:w w:val="97"/>
              </w:rPr>
              <w:t>Construction costs and property and equipment acquisition commitments</w:t>
            </w:r>
            <w:r>
              <w:rPr>
                <w:rFonts w:ascii="Arial" w:cs="Arial" w:eastAsia="Arial" w:hAnsi="Arial"/>
                <w:sz w:val="25"/>
                <w:szCs w:val="25"/>
                <w:color w:val="auto"/>
                <w:w w:val="97"/>
                <w:vertAlign w:val="superscript"/>
              </w:rPr>
              <w:t>(5)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184.3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407.2</w:t>
            </w:r>
          </w:p>
        </w:tc>
        <w:tc>
          <w:tcPr>
            <w:tcW w:w="12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1,218.3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2,649.1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See note 10 to the consolidated financial statements included elsewhere in this annual report for further details on these debt facilities.</w:t>
      </w:r>
    </w:p>
    <w:p>
      <w:pPr>
        <w:spacing w:after="0" w:line="142" w:lineRule="exact"/>
        <w:rPr>
          <w:rFonts w:ascii="Arial" w:cs="Arial" w:eastAsia="Arial" w:hAnsi="Arial"/>
          <w:sz w:val="17"/>
          <w:szCs w:val="17"/>
          <w:color w:val="auto"/>
        </w:rPr>
      </w:pPr>
    </w:p>
    <w:p>
      <w:pPr>
        <w:ind w:left="540" w:right="200" w:hanging="424"/>
        <w:spacing w:after="0" w:line="27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March 15, 2021, Studio City Company amended the terms of the 2021 Studio City Senior Secured Credit Facility, including the extension of the maturity date from November 30, 2021 to January 15, 2028.</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86"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See note 21 to the consolidated financial statements included elsewhere in this annual report for further details on this subsequent event.</w:t>
      </w:r>
    </w:p>
    <w:p>
      <w:pPr>
        <w:spacing w:after="0" w:line="142" w:lineRule="exact"/>
        <w:rPr>
          <w:sz w:val="20"/>
          <w:szCs w:val="20"/>
          <w:color w:val="auto"/>
        </w:rPr>
      </w:pPr>
    </w:p>
    <w:p>
      <w:pPr>
        <w:ind w:left="540" w:hanging="424"/>
        <w:spacing w:after="0" w:line="275" w:lineRule="auto"/>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On January 14, 2021, Studio City Finance issued US$750.0 million in aggregate principal amount of the 2029 Notes, the net proceeds of which were partly used to pay the tendering noteholders from the 2024 Notes Tender Offer, which amounted to US$347.1 million in aggregate principal amount of the 2024 Notes, and on February 17, 2021, together with accrued interest, redeem the remaining outstanding principal amount of the 2024 Notes, which amounted to US$252.9 million in aggregate principal amount. See note 21 to the consolidated financial statements included elsewhere in this annual report for further details on these subsequent events.</w:t>
      </w:r>
    </w:p>
    <w:p>
      <w:pPr>
        <w:spacing w:after="0" w:line="81" w:lineRule="exact"/>
        <w:rPr>
          <w:rFonts w:ascii="Arial" w:cs="Arial" w:eastAsia="Arial" w:hAnsi="Arial"/>
          <w:sz w:val="17"/>
          <w:szCs w:val="17"/>
          <w:color w:val="auto"/>
        </w:rPr>
      </w:pPr>
    </w:p>
    <w:p>
      <w:pPr>
        <w:ind w:left="540" w:hanging="424"/>
        <w:spacing w:after="0"/>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See note 11 to the consolidated financial statements included elsewhere in this annual report for further details on these lease liabilities.</w:t>
      </w:r>
    </w:p>
    <w:p>
      <w:pPr>
        <w:spacing w:after="0" w:line="142" w:lineRule="exact"/>
        <w:rPr>
          <w:rFonts w:ascii="Arial" w:cs="Arial" w:eastAsia="Arial" w:hAnsi="Arial"/>
          <w:sz w:val="17"/>
          <w:szCs w:val="17"/>
          <w:color w:val="auto"/>
        </w:rPr>
      </w:pPr>
    </w:p>
    <w:p>
      <w:pPr>
        <w:ind w:left="540" w:right="46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 note 18(a) to the consolidated financial statements included elsewhere in this annual report for further details on construction costs and property and equipment acquisition commitments.</w:t>
      </w:r>
    </w:p>
    <w:p>
      <w:pPr>
        <w:spacing w:after="0" w:line="38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 SAFE HARBOR</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“Special Note Regarding Forward-Looking Statements.”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20"/>
          </w:cols>
          <w:pgMar w:left="320" w:top="486" w:right="5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DIRECTORS AND SENIOR 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sets forth information regarding our directors and executive officers as of the date of this annual report on Form 20-F.</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1700" w:type="dxa"/>
            <w:vAlign w:val="bottom"/>
          </w:tcPr>
          <w:p>
            <w:pPr>
              <w:spacing w:after="0"/>
              <w:rPr>
                <w:sz w:val="15"/>
                <w:szCs w:val="15"/>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Age</w:t>
            </w:r>
          </w:p>
        </w:tc>
        <w:tc>
          <w:tcPr>
            <w:tcW w:w="6660" w:type="dxa"/>
            <w:vAlign w:val="bottom"/>
          </w:tcPr>
          <w:p>
            <w:pPr>
              <w:ind w:left="2920"/>
              <w:spacing w:after="0"/>
              <w:rPr>
                <w:sz w:val="20"/>
                <w:szCs w:val="20"/>
                <w:color w:val="auto"/>
              </w:rPr>
            </w:pPr>
            <w:r>
              <w:rPr>
                <w:rFonts w:ascii="Arial" w:cs="Arial" w:eastAsia="Arial" w:hAnsi="Arial"/>
                <w:sz w:val="14"/>
                <w:szCs w:val="14"/>
                <w:b w:val="1"/>
                <w:bCs w:val="1"/>
                <w:color w:val="auto"/>
              </w:rPr>
              <w:t>Position/Title</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color w:val="auto"/>
              </w:rPr>
              <w:t>Lawrence Yau Lung Ho</w:t>
            </w:r>
          </w:p>
        </w:tc>
        <w:tc>
          <w:tcPr>
            <w:tcW w:w="17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420" w:type="dxa"/>
            <w:vAlign w:val="bottom"/>
            <w:vMerge w:val="continue"/>
          </w:tcPr>
          <w:p>
            <w:pPr>
              <w:spacing w:after="0"/>
              <w:rPr>
                <w:sz w:val="15"/>
                <w:szCs w:val="15"/>
                <w:color w:val="auto"/>
              </w:rPr>
            </w:pPr>
          </w:p>
        </w:tc>
        <w:tc>
          <w:tcPr>
            <w:tcW w:w="6660" w:type="dxa"/>
            <w:vAlign w:val="bottom"/>
          </w:tcPr>
          <w:p>
            <w:pPr>
              <w:ind w:left="20"/>
              <w:spacing w:after="0" w:line="18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Evan Andrew Winkler</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46</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w w:val="96"/>
              </w:rPr>
              <w:t>Clarence Yuk Man Chung</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58</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Geoffrey Stuart Davis</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52</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 and Chief Financial Officer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Stephanie Cheung</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58</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Akiko Takahashi</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67</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w w:val="98"/>
              </w:rPr>
              <w:t>David Anthony Reganato</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41</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Timothy Paul Lavelle</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Dominique Mielle</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52</w:t>
            </w:r>
          </w:p>
        </w:tc>
        <w:tc>
          <w:tcPr>
            <w:tcW w:w="6660" w:type="dxa"/>
            <w:vAlign w:val="bottom"/>
          </w:tcPr>
          <w:p>
            <w:pPr>
              <w:ind w:left="2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Kevin F. Sullivan</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68</w:t>
            </w:r>
          </w:p>
        </w:tc>
        <w:tc>
          <w:tcPr>
            <w:tcW w:w="6660" w:type="dxa"/>
            <w:vAlign w:val="bottom"/>
          </w:tcPr>
          <w:p>
            <w:pPr>
              <w:ind w:left="2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Nigel Alan Dean</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67</w:t>
            </w:r>
          </w:p>
        </w:tc>
        <w:tc>
          <w:tcPr>
            <w:tcW w:w="6660" w:type="dxa"/>
            <w:vAlign w:val="bottom"/>
          </w:tcPr>
          <w:p>
            <w:pPr>
              <w:ind w:left="2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Kevin Richard Benning</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38</w:t>
            </w:r>
          </w:p>
        </w:tc>
        <w:tc>
          <w:tcPr>
            <w:tcW w:w="6660" w:type="dxa"/>
            <w:vAlign w:val="bottom"/>
          </w:tcPr>
          <w:p>
            <w:pPr>
              <w:ind w:left="20"/>
              <w:spacing w:after="0"/>
              <w:rPr>
                <w:sz w:val="20"/>
                <w:szCs w:val="20"/>
                <w:color w:val="auto"/>
              </w:rPr>
            </w:pPr>
            <w:r>
              <w:rPr>
                <w:rFonts w:ascii="Arial" w:cs="Arial" w:eastAsia="Arial" w:hAnsi="Arial"/>
                <w:sz w:val="18"/>
                <w:szCs w:val="18"/>
                <w:color w:val="auto"/>
              </w:rPr>
              <w:t>Property General Manager</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b w:val="1"/>
          <w:bCs w:val="1"/>
          <w:i w:val="1"/>
          <w:iCs w:val="1"/>
          <w:color w:val="auto"/>
        </w:rPr>
        <w:t xml:space="preserve">Mr. Lawrence Yau Lung Ho </w:t>
      </w:r>
      <w:r>
        <w:rPr>
          <w:rFonts w:ascii="Arial" w:cs="Arial" w:eastAsia="Arial" w:hAnsi="Arial"/>
          <w:sz w:val="17"/>
          <w:szCs w:val="17"/>
          <w:color w:val="auto"/>
        </w:rPr>
        <w:t>has been a member of our board of directors since July 2011. Mr. Ho was also appointed as the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Melco Resorts on December 20, 2004, and served as its co-chairman and chief executive officer between December 2004 and April 2016 before he was re-designated as chairman and chief executive officer in May 2016. Since November 2001, Mr. Ho has served as the managing director of Melco International and its chairman and chief executive officer since March 2006. Mr. Ho has also been appointed as the chairman and director of Maple Peak Investment Inc., a company listed on the TSX Venture Exchange in Canada, since July 2016, and also serves on numerous boards and committees of privately-held companies in Hong Kong, Macau and mainland China.</w:t>
      </w:r>
    </w:p>
    <w:p>
      <w:pPr>
        <w:spacing w:after="0" w:line="178" w:lineRule="exact"/>
        <w:rPr>
          <w:sz w:val="20"/>
          <w:szCs w:val="20"/>
          <w:color w:val="auto"/>
        </w:rPr>
      </w:pPr>
    </w:p>
    <w:p>
      <w:pPr>
        <w:ind w:left="120" w:right="160" w:firstLine="991"/>
        <w:spacing w:after="0" w:line="272" w:lineRule="auto"/>
        <w:rPr>
          <w:sz w:val="20"/>
          <w:szCs w:val="20"/>
          <w:color w:val="auto"/>
        </w:rPr>
      </w:pPr>
      <w:r>
        <w:rPr>
          <w:rFonts w:ascii="Arial" w:cs="Arial" w:eastAsia="Arial" w:hAnsi="Arial"/>
          <w:sz w:val="17"/>
          <w:szCs w:val="17"/>
          <w:color w:val="auto"/>
        </w:rPr>
        <w:t>As a member of the National Committee of the Chinese People’s Political Consultative Conference, Mr. Ho serves on the board or participates as a committee member in various organizations in Hong Kong, Macau and mainland China. He is a vice chairman of the All-China Federation of Industry and Commerce; a vice patron of The Community Chest of Hong Kong; a member of the All China Youth Federation; a member of the Macau Basic Law Promotion Association; chairman of the Macau International Volunteers Association; a member of the Board of Governors of The Canadian Chamber of Commerce in Hong Kong; honorary lifetime director of The Chinese General Chamber of Commerce of Hong Kong; honorary patron of The Canadian Chamber of Commerce in Macao; honorary president of the Association of Property Agents and Real Estate Developers of Macau and director executive of the Macao Chamber of Commerce.</w:t>
      </w:r>
    </w:p>
    <w:p>
      <w:pPr>
        <w:spacing w:after="0" w:line="177" w:lineRule="exact"/>
        <w:rPr>
          <w:sz w:val="20"/>
          <w:szCs w:val="20"/>
          <w:color w:val="auto"/>
        </w:rPr>
      </w:pPr>
    </w:p>
    <w:p>
      <w:pPr>
        <w:ind w:left="120" w:right="100" w:firstLine="991"/>
        <w:spacing w:after="0" w:line="279" w:lineRule="auto"/>
        <w:rPr>
          <w:sz w:val="20"/>
          <w:szCs w:val="20"/>
          <w:color w:val="auto"/>
        </w:rPr>
      </w:pPr>
      <w:r>
        <w:rPr>
          <w:rFonts w:ascii="Arial" w:cs="Arial" w:eastAsia="Arial" w:hAnsi="Arial"/>
          <w:sz w:val="17"/>
          <w:szCs w:val="17"/>
          <w:color w:val="auto"/>
        </w:rPr>
        <w:t>In recognition of Mr. Ho’s excellent directorship and entrepreneurial spirit, Institutional Investor honored him as the “Best CEO” in 2005. He was also granted the “5th China Enterprise Award for Creative Businessmen” by the China Marketing Association and China Enterprise News, “Leader of Tomorrow” by Hong Kong Tatler and the “Directors of the Year Award” by the Hong Kong Institute of Directors in 2005. In 2017, Mr. Ho was awarded the Medal of Merit—Tourism by the Macau SAR government for his significant contributions to tourism in the territory.</w:t>
      </w:r>
    </w:p>
    <w:p>
      <w:pPr>
        <w:spacing w:after="0" w:line="171"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As a socially responsible young entrepreneur in Hong Kong, Mr. Ho was selected as one of the “Ten Outstanding Young Persons Selection 2006,” organized by Junior Chamber International Hong Kong. In 2007,</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86"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he was elected as a finalist in the “Best Chairman” category in the “Stevie International Business Awards” and one of the “100 Most Influential People across Asia Pacific” by Asiamoney magazine. In 2008, he was granted the “China Charity Award” by the Ministry of Civil Affairs of the People’s Republic of China. In 2009, Mr. Ho was selected as one of the “China Top Ten Financial and Intelligent Persons” judged by a panel led by the Beijing Cultural Development Study Institute and Fortune Times and was named “Young Entrepreneur of the Year” at Hong Kong’s first Asia Pacific Entrepreneurship Awards. Mr. Ho was selected by FinanceAsia magazine as one of the “Best CEOs in Hong Kong” for the fifth time in 2014 and was granted the “Leadership Gold Award” in the Business Awards of Macau in 2015. Mr. Ho has been honored as one of the recipients of the “Asian Corporate Director Recognition Awards” by Corporate Governance Asia magazine for eight consecutive years since 2012 and was awarded “Asia’s Best CEO” at the Asian Excellence Awards for the eighth time in 2019.</w:t>
      </w:r>
    </w:p>
    <w:p>
      <w:pPr>
        <w:spacing w:after="0" w:line="178" w:lineRule="exact"/>
        <w:rPr>
          <w:sz w:val="20"/>
          <w:szCs w:val="20"/>
          <w:color w:val="auto"/>
        </w:rPr>
      </w:pPr>
    </w:p>
    <w:p>
      <w:pPr>
        <w:jc w:val="both"/>
        <w:ind w:left="120" w:right="40" w:firstLine="991"/>
        <w:spacing w:after="0" w:line="263" w:lineRule="auto"/>
        <w:rPr>
          <w:sz w:val="20"/>
          <w:szCs w:val="20"/>
          <w:color w:val="auto"/>
        </w:rPr>
      </w:pPr>
      <w:r>
        <w:rPr>
          <w:rFonts w:ascii="Arial" w:cs="Arial" w:eastAsia="Arial" w:hAnsi="Arial"/>
          <w:sz w:val="18"/>
          <w:szCs w:val="18"/>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84"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b w:val="1"/>
          <w:bCs w:val="1"/>
          <w:i w:val="1"/>
          <w:iCs w:val="1"/>
          <w:color w:val="auto"/>
        </w:rPr>
        <w:t xml:space="preserve">Mr. Evan Andrew Winkler </w:t>
      </w:r>
      <w:r>
        <w:rPr>
          <w:rFonts w:ascii="Arial" w:cs="Arial" w:eastAsia="Arial" w:hAnsi="Arial"/>
          <w:sz w:val="17"/>
          <w:szCs w:val="17"/>
          <w:color w:val="auto"/>
        </w:rPr>
        <w:t>has been a member of our board of directors since August 2016. Mr. Winkler was also appointed as a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Melco Resorts on August 3, 2016 and the president of Melco Resorts on September 4, 2019. Mr. Winkler has served as the managing director and the president of Melco International since August 2016 and May 2018, respectively, and a director of various subsidiaries of Melco International. 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bachelor’s degree in Economics from the University of Chicago.</w:t>
      </w:r>
    </w:p>
    <w:p>
      <w:pPr>
        <w:spacing w:after="0" w:line="177" w:lineRule="exact"/>
        <w:rPr>
          <w:sz w:val="20"/>
          <w:szCs w:val="20"/>
          <w:color w:val="auto"/>
        </w:rPr>
      </w:pPr>
    </w:p>
    <w:p>
      <w:pPr>
        <w:ind w:left="120" w:right="60" w:firstLine="991"/>
        <w:spacing w:after="0" w:line="270" w:lineRule="auto"/>
        <w:rPr>
          <w:sz w:val="20"/>
          <w:szCs w:val="20"/>
          <w:color w:val="auto"/>
        </w:rPr>
      </w:pPr>
      <w:r>
        <w:rPr>
          <w:rFonts w:ascii="Arial" w:cs="Arial" w:eastAsia="Arial" w:hAnsi="Arial"/>
          <w:sz w:val="17"/>
          <w:szCs w:val="17"/>
          <w:b w:val="1"/>
          <w:bCs w:val="1"/>
          <w:i w:val="1"/>
          <w:iCs w:val="1"/>
          <w:color w:val="auto"/>
        </w:rPr>
        <w:t xml:space="preserve">Mr. Clarence Yuk Man Chung </w:t>
      </w:r>
      <w:r>
        <w:rPr>
          <w:rFonts w:ascii="Arial" w:cs="Arial" w:eastAsia="Arial" w:hAnsi="Arial"/>
          <w:sz w:val="17"/>
          <w:szCs w:val="17"/>
          <w:color w:val="auto"/>
        </w:rPr>
        <w:t>has been a member of our board of directors since October 2018. Mr. Chung was appointed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non-executive director of Melco Resorts on November 21, 2006. Mr. Chung has also been an executive director of Melco International since May 2006, which he joined in December 2003. In addition, Mr. Chung has been the chairman and president of Melco Resorts and Entertainment (Philippines) Corporation, or MRP, since December 2012 and has also been appointed as a director of certain subsidiaries of Melco International and Melco Resorts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(including 2018)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w:t>
      </w:r>
    </w:p>
    <w:p>
      <w:pPr>
        <w:spacing w:after="0" w:line="181" w:lineRule="exact"/>
        <w:rPr>
          <w:sz w:val="20"/>
          <w:szCs w:val="20"/>
          <w:color w:val="auto"/>
        </w:rPr>
      </w:pPr>
    </w:p>
    <w:p>
      <w:pPr>
        <w:ind w:left="120" w:right="40" w:firstLine="991"/>
        <w:spacing w:after="0" w:line="271" w:lineRule="auto"/>
        <w:rPr>
          <w:sz w:val="20"/>
          <w:szCs w:val="20"/>
          <w:color w:val="auto"/>
        </w:rPr>
      </w:pPr>
      <w:r>
        <w:rPr>
          <w:rFonts w:ascii="Arial" w:cs="Arial" w:eastAsia="Arial" w:hAnsi="Arial"/>
          <w:sz w:val="17"/>
          <w:szCs w:val="17"/>
          <w:b w:val="1"/>
          <w:bCs w:val="1"/>
          <w:i w:val="1"/>
          <w:iCs w:val="1"/>
          <w:color w:val="auto"/>
        </w:rPr>
        <w:t xml:space="preserve">Mr. Geoffrey Stuart Davis </w:t>
      </w:r>
      <w:r>
        <w:rPr>
          <w:rFonts w:ascii="Arial" w:cs="Arial" w:eastAsia="Arial" w:hAnsi="Arial"/>
          <w:sz w:val="17"/>
          <w:szCs w:val="17"/>
          <w:color w:val="auto"/>
        </w:rPr>
        <w:t>has been a member of our board of directors since October 2018 and has also been our chief financial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June 2019. Mr. Davis is the executive vice president and chief financial officer of Melco Resorts and he was appointed to this role in April 2011. Prior to that, he served as the deputy chief financial officer of Melco Resorts from August 2010 to March 2011 and senior vice president, corporate finance of Melco Resorts since 2007, when he joined Melco Resorts. In addition, Mr. Davis has been the chief financial officer of Melco International since December 2017. Prior to joining Melco Resorts, Mr. Davis was a research analyst for Citigroup Investment Research, where he covered the U.S. gaming industry from 2001 to 2007. From 1996 to 2000, he held a number of positions at Hilton Hotels Corporation and Park Place Entertainment. Park Place was spun off from Hilton Hotels Corporation and subsequently renamed Caesars Entertainment. Mr. Davis has been a CFA charter holder since 2000 and obtained a bachelor of arts degree from Brown University.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86"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91"/>
        <w:spacing w:after="0" w:line="286" w:lineRule="auto"/>
        <w:rPr>
          <w:sz w:val="20"/>
          <w:szCs w:val="20"/>
          <w:color w:val="auto"/>
        </w:rPr>
      </w:pPr>
      <w:r>
        <w:rPr>
          <w:rFonts w:ascii="Arial" w:cs="Arial" w:eastAsia="Arial" w:hAnsi="Arial"/>
          <w:sz w:val="16"/>
          <w:szCs w:val="16"/>
          <w:b w:val="1"/>
          <w:bCs w:val="1"/>
          <w:i w:val="1"/>
          <w:iCs w:val="1"/>
          <w:color w:val="auto"/>
        </w:rPr>
        <w:t xml:space="preserve">Ms. Stephanie Cheung </w:t>
      </w:r>
      <w:r>
        <w:rPr>
          <w:rFonts w:ascii="Arial" w:cs="Arial" w:eastAsia="Arial" w:hAnsi="Arial"/>
          <w:sz w:val="16"/>
          <w:szCs w:val="16"/>
          <w:color w:val="auto"/>
        </w:rPr>
        <w:t>has been a member of our board of directors since October 2018. Ms. Cheung is the executive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legal officer of Melco Resorts and she was appointed to this role in December 2008. Prior to that, she held the title of general counsel of Melco Resorts from November 2006, when she joined Melco Resorts. She has acted as the secretary to the board of Melco Resorts since she joined Melco Resorts. Prior to joining Melco Resorts, Ms. Cheung practiced law with various international law firms in Hong Kong, Singapore and Toronto.</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Ms. Cheung graduated with a bachelor of laws degree from Osgoode Hall Law School and a master’s degree in business administration from York University. Ms. Cheung is admitted as a solicitor in Ontario, Canada, England and Wales and Hong Kong and is a member of the Hong Kong Institute of Directors and a fellow of Salzburg Global.</w:t>
      </w:r>
    </w:p>
    <w:p>
      <w:pPr>
        <w:spacing w:after="0" w:line="190"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b w:val="1"/>
          <w:bCs w:val="1"/>
          <w:i w:val="1"/>
          <w:iCs w:val="1"/>
          <w:color w:val="auto"/>
        </w:rPr>
        <w:t xml:space="preserve">Ms. Akiko Takahashi </w:t>
      </w:r>
      <w:r>
        <w:rPr>
          <w:rFonts w:ascii="Arial" w:cs="Arial" w:eastAsia="Arial" w:hAnsi="Arial"/>
          <w:sz w:val="17"/>
          <w:szCs w:val="17"/>
          <w:color w:val="auto"/>
        </w:rPr>
        <w:t>has been a member of our board of directors since October 2018. Ms. Takahashi is executive vice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of staff to Chairman and CEO of Melco Resorts, and was appointed to this role in June 2019. Prior to her present roles, she was the executive vice president and chief officer, human resources/corporate social responsibility from December 2008 and held the title of group human resources director of Melco Resorts from December 2006, when she joined Melco Resorts. Prior to joining Melco Resorts, Ms. Takahashi worked as a consultant in her own consultancy company from 2003 to 2006 where she conducted “C-level” executive searches for clients and assisted with brand/service culture alignment for a luxury hotel in New York City and where her last engagement prior to joining Melco Resorts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Ms. Takahashi started her hospitality career as a training manager for Halekulani Hotel. She began her career in the fashion luxury retail industry in merchandising, operations, training and human resources. Ms. Takahashi attended the University of Hawaii.</w:t>
      </w:r>
    </w:p>
    <w:p>
      <w:pPr>
        <w:spacing w:after="0" w:line="179" w:lineRule="exact"/>
        <w:rPr>
          <w:sz w:val="20"/>
          <w:szCs w:val="20"/>
          <w:color w:val="auto"/>
        </w:rPr>
      </w:pPr>
    </w:p>
    <w:p>
      <w:pPr>
        <w:jc w:val="both"/>
        <w:ind w:left="120" w:right="140" w:firstLine="991"/>
        <w:spacing w:after="0" w:line="301" w:lineRule="auto"/>
        <w:rPr>
          <w:sz w:val="20"/>
          <w:szCs w:val="20"/>
          <w:color w:val="auto"/>
        </w:rPr>
      </w:pPr>
      <w:r>
        <w:rPr>
          <w:rFonts w:ascii="Arial" w:cs="Arial" w:eastAsia="Arial" w:hAnsi="Arial"/>
          <w:sz w:val="16"/>
          <w:szCs w:val="16"/>
          <w:b w:val="1"/>
          <w:bCs w:val="1"/>
          <w:i w:val="1"/>
          <w:iCs w:val="1"/>
          <w:color w:val="auto"/>
        </w:rPr>
        <w:t xml:space="preserve">Mr. David Anthony Reganato </w:t>
      </w:r>
      <w:r>
        <w:rPr>
          <w:rFonts w:ascii="Arial" w:cs="Arial" w:eastAsia="Arial" w:hAnsi="Arial"/>
          <w:sz w:val="16"/>
          <w:szCs w:val="16"/>
          <w:color w:val="auto"/>
        </w:rPr>
        <w:t>has been a member of our board of directors since March 2014. Mr. Reganato also serves on the boards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Codere S.A., Granite Broadcasting LLC, Rotech Healthcare, Inc. and Trident Topco LLC. Mr. Reganato is a Partner with Silver Point Capital, L.P., an investment advisor, which he joined in November 2002. Prior to Silver Point Capital, L.P., Mr. Reganato worked in the investment banking division of Morgan Stanley. Mr. Reganato earned his B.S. in Finance and Accounting from the Stern School of Business at New York University.</w:t>
      </w:r>
    </w:p>
    <w:p>
      <w:pPr>
        <w:spacing w:after="0" w:line="157" w:lineRule="exact"/>
        <w:rPr>
          <w:sz w:val="20"/>
          <w:szCs w:val="20"/>
          <w:color w:val="auto"/>
        </w:rPr>
      </w:pPr>
    </w:p>
    <w:p>
      <w:pPr>
        <w:jc w:val="both"/>
        <w:ind w:left="120" w:right="80" w:firstLine="991"/>
        <w:spacing w:after="0" w:line="257" w:lineRule="auto"/>
        <w:rPr>
          <w:sz w:val="20"/>
          <w:szCs w:val="20"/>
          <w:color w:val="auto"/>
        </w:rPr>
      </w:pPr>
      <w:r>
        <w:rPr>
          <w:rFonts w:ascii="Arial" w:cs="Arial" w:eastAsia="Arial" w:hAnsi="Arial"/>
          <w:sz w:val="18"/>
          <w:szCs w:val="18"/>
          <w:b w:val="1"/>
          <w:bCs w:val="1"/>
          <w:i w:val="1"/>
          <w:iCs w:val="1"/>
          <w:color w:val="auto"/>
        </w:rPr>
        <w:t xml:space="preserve">Mr. Timothy Paul Lavelle </w:t>
      </w:r>
      <w:r>
        <w:rPr>
          <w:rFonts w:ascii="Arial" w:cs="Arial" w:eastAsia="Arial" w:hAnsi="Arial"/>
          <w:sz w:val="18"/>
          <w:szCs w:val="18"/>
          <w:color w:val="auto"/>
        </w:rPr>
        <w:t>has been a member of our board of directors since October 2018. Mr. Lavelle serves on the boards of Codere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 Rotech Healthcare Holdings, Inc. and Trident Topco LLC. Mr. Lavelle is a partner at Fairfield Dental Partners, LLC, an emerging dental services organization. Previously, Mr. Lavelle was a senior investment analyst with Silver Point Capital, L.P., an investment advisor, which he joined in August 2008. Prior to Silver Point Capital, L.P., Mr. Lavelle worked in the investment banking division of Credit Suisse. Mr. Lavelle graduated with his B.B.A. in Finance and Psychology from the University of Notre Dame.</w:t>
      </w:r>
    </w:p>
    <w:p>
      <w:pPr>
        <w:spacing w:after="0" w:line="188"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b w:val="1"/>
          <w:bCs w:val="1"/>
          <w:i w:val="1"/>
          <w:iCs w:val="1"/>
          <w:color w:val="auto"/>
        </w:rPr>
        <w:t xml:space="preserve">Ms. Dominique Mielle </w:t>
      </w:r>
      <w:r>
        <w:rPr>
          <w:rFonts w:ascii="Arial" w:cs="Arial" w:eastAsia="Arial" w:hAnsi="Arial"/>
          <w:sz w:val="18"/>
          <w:szCs w:val="18"/>
          <w:color w:val="auto"/>
        </w:rPr>
        <w:t>has been a member of our board of directors since October 2018. Ms. Mielle was a partner at Canyon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LLC, or Canyon, from August 1998 to December 2017 where she primarily focused on the transportation, technology, retail and consumer products sectors, specialized in corporate and municipal bond securitizations and was responsible for all aspects of Canyon’s collateralized loan obligations business. Ms. Mielle has over 25 years of experience on Wall Street, investing in fixed income and leading capital structure optimizations and restructurings. She was named one of the “Top 50 Women in Hedge Funds” by Ernst &amp; Young in 2017. Prior to joining Canyon in 1998, Ms. Mielle worked at Libra Investments, Inc. as an associate in the corporate finance department covering middle market companies. Prior to that, she worked at Lehman Brothers as an analyst in the Financial Institutions group, focusing on mergers and acquisitions. Ms. Mielle also serves on the board of directors of Ready Capital Corporation, Tiptree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86"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Inc. and Digicel Group. Ms. Mielle graduated with an M.B.A. (Finance) from Stanford University and a Master in Management degree from Ecole des Hautes Etudes Commerciales in France (HEC Paris).</w:t>
      </w:r>
    </w:p>
    <w:p>
      <w:pPr>
        <w:spacing w:after="0" w:line="170"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b w:val="1"/>
          <w:bCs w:val="1"/>
          <w:i w:val="1"/>
          <w:iCs w:val="1"/>
          <w:color w:val="auto"/>
        </w:rPr>
        <w:t xml:space="preserve">Mr. Kevin F. Sullivan </w:t>
      </w:r>
      <w:r>
        <w:rPr>
          <w:rFonts w:ascii="Arial" w:cs="Arial" w:eastAsia="Arial" w:hAnsi="Arial"/>
          <w:sz w:val="16"/>
          <w:szCs w:val="16"/>
          <w:color w:val="auto"/>
        </w:rPr>
        <w:t>has been a member of our board of directors since October 2018. He is a Managing Director at MidOcean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a private investment firm that specializes in U.S. hedge fund investments. Prior to joining MidOcean Credit Partners, Mr. Sullivan was a Managing Director at Deutsche Bank, and a predecessor bank, Bankers Trust, from 1980 until November 2012. Mr. Sullivan held positions of increasing responsibility over his 32 years at Deutsche Bank and Bankers Trust, including Group Head of the loan sales, trading and capital markets division, Asia Head of the leveraged finance division, Group Head of the Asset Based Lending division, Member of the Capital Commitments Committee and Member of the Equity Investment Committee. Prior to that, he worked at Price Waterhouse &amp; Co. as part of its New York senior audit staff from 1975 to 1979. Mr. Sullivan has also been the lead independent director of Griffon Corporation and has served on its board, audit and head of finance committees since January 2013. Mr. Sullivan graduated with an M.B.A. in Finance from St. John’s University and a B.S. degree in Accounting from Fordham University.</w:t>
      </w:r>
    </w:p>
    <w:p>
      <w:pPr>
        <w:spacing w:after="0" w:line="165"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b w:val="1"/>
          <w:bCs w:val="1"/>
          <w:i w:val="1"/>
          <w:iCs w:val="1"/>
          <w:color w:val="auto"/>
        </w:rPr>
        <w:t xml:space="preserve">Mr. Nigel Alan Dean </w:t>
      </w:r>
      <w:r>
        <w:rPr>
          <w:rFonts w:ascii="Arial" w:cs="Arial" w:eastAsia="Arial" w:hAnsi="Arial"/>
          <w:sz w:val="16"/>
          <w:szCs w:val="16"/>
          <w:color w:val="auto"/>
        </w:rPr>
        <w:t>has been a member of our board of directors since October 2018. Mr. Dean was Melco’s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Chief Internal Auditor from December 2008 until September 2012 and held the title of Director, Internal Audit from December 2006, when he joined Melco. Prior to joining Melco, Mr. Dean was the General Manager — Compliance (Finance and Administration) at Coles Myer Limited (now known as Wesfarmers Limited) from 2003 until 2006, where he was responsible for the implementation of the Sarbanes-Oxley Act of 2002 compliance processes and other corporate governance compliance programs. Other positions Mr. Dean held at Coles Myer Limited included Chief Internal Auditor from 1995 to 2002 and General Manager — Internal Audit Supermarkets Division from 1991 to 1995. Mr. Dean’s previous experience in internal and external audit included positions with Elders IXL Group from 1986 to 1990, CRA Limited (now known as Rio Tinto Limited) from 1982 to 1986, Ford Asia-Pacific from 1976 to 1982, the Australian Federal Government Auditor-Generals Office from 1975 to 1976 and Peat Marwick Mitchell &amp; Co. (now known as KPMG) from 1973 to 1975. Mr. Dean has been a Fellow CPA of the Australian Society of Certified Practising Accountants since 1984 and was a Certified Internal Auditor, as designated by the Institute of Internal Auditors in the United States, from 2005 until 2012. Mr. Dean obtained a Bachelor of Laws degree from Deakin University in 2005, a Masters of Business Administration degree from Monash University in 1993 and a Diploma of Business Studies (Accounting) from Swinburne University of Technology (formerly Swinburne College of Technology) in 1973.</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w:t>
      </w:r>
    </w:p>
    <w:p>
      <w:pPr>
        <w:spacing w:after="0" w:line="121" w:lineRule="exact"/>
        <w:rPr>
          <w:sz w:val="20"/>
          <w:szCs w:val="20"/>
          <w:color w:val="auto"/>
        </w:rPr>
      </w:pPr>
    </w:p>
    <w:p>
      <w:pPr>
        <w:ind w:left="120" w:right="80" w:firstLine="991"/>
        <w:spacing w:after="0" w:line="285" w:lineRule="auto"/>
        <w:rPr>
          <w:sz w:val="20"/>
          <w:szCs w:val="20"/>
          <w:color w:val="auto"/>
        </w:rPr>
      </w:pPr>
      <w:r>
        <w:rPr>
          <w:rFonts w:ascii="Arial" w:cs="Arial" w:eastAsia="Arial" w:hAnsi="Arial"/>
          <w:sz w:val="16"/>
          <w:szCs w:val="16"/>
          <w:b w:val="1"/>
          <w:bCs w:val="1"/>
          <w:i w:val="1"/>
          <w:iCs w:val="1"/>
          <w:color w:val="auto"/>
        </w:rPr>
        <w:t xml:space="preserve">Mr. Kevin Richard Benning </w:t>
      </w:r>
      <w:r>
        <w:rPr>
          <w:rFonts w:ascii="Arial" w:cs="Arial" w:eastAsia="Arial" w:hAnsi="Arial"/>
          <w:sz w:val="16"/>
          <w:szCs w:val="16"/>
          <w:color w:val="auto"/>
        </w:rPr>
        <w:t>has served as our property general manager since December 2020. Prior to Mr. Benning’s current 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Benning served as property president / chief operating officer of MRP from January 2018 to December 2020 as well as vice president of casino operations of MRP from March 2016 to January 2018. Prior to joining MRP, Mr. Benning was the vice president of casino marketing for Resorts World Sentosa from April 2015 to March 2016. From January 2013 to April 2015, Mr. Benning was executive director of marketing operations for Sands China Limited as well as director of marketing from June 2012 to January 2013 and director of slot operations from April 2011 to June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2012. Mr. Benning started his career with Harrah’s Ak-Chin Resort in Arizona holding a variety of operational roles from July 2004 to April 2011.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Benning graduated from Arizona State University with a Bachelor of Arts degree in business administration.</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 COMPENSATION OF DIRECTORS AND EXECUTIVE OFFICERS</w:t>
      </w:r>
    </w:p>
    <w:p>
      <w:pPr>
        <w:spacing w:after="0" w:line="229" w:lineRule="exact"/>
        <w:rPr>
          <w:sz w:val="20"/>
          <w:szCs w:val="20"/>
          <w:color w:val="auto"/>
        </w:rPr>
      </w:pPr>
    </w:p>
    <w:p>
      <w:pPr>
        <w:ind w:left="120" w:right="420" w:firstLine="991"/>
        <w:spacing w:after="0" w:line="263" w:lineRule="auto"/>
        <w:rPr>
          <w:sz w:val="20"/>
          <w:szCs w:val="20"/>
          <w:color w:val="auto"/>
        </w:rPr>
      </w:pPr>
      <w:r>
        <w:rPr>
          <w:rFonts w:ascii="Arial" w:cs="Arial" w:eastAsia="Arial" w:hAnsi="Arial"/>
          <w:sz w:val="18"/>
          <w:szCs w:val="18"/>
          <w:color w:val="auto"/>
        </w:rPr>
        <w:t>In 2020, we paid an aggregate of US$1.3 million in cash and benefits to our directors and executive officers. We have not set aside or accrued any material amount to provide pension, retirement or other similar benefits to our directors and executive officers. None of the service agreements between us and our directors provide benefits upon termination of services.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86"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We currently do not have a share incentive plan. However, our directors, employees and consultants are eligible to participate in the 2011 share incentive plan of Melco Resorts, which is open to directors, employees and consultants of Melco Resorts and any parent or subsidiary of Melco Resorts.</w:t>
      </w:r>
    </w:p>
    <w:p>
      <w:pPr>
        <w:spacing w:after="0" w:line="184"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The types of awards that may be granted under the 2011 share incentive plan of Melco Resorts include options, incentive share options, restricted shares, share appreciation rights, dividend equivalents, share payments, deferred shares and restricted share units. The compensation committee of Melco Resorts may, from time to time, select from among all eligible individuals, those to whom awards will be granted and determine the nature and amount of each award. The maximum aggregate number of shares which may be issued pursuant to the 2011 share incentive plan is 100,000,000 shares and the 2011 share incentive plan will expire in December 2021.</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 BOARD PRACTICES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Board of Directors</w:t>
      </w:r>
    </w:p>
    <w:p>
      <w:pPr>
        <w:spacing w:after="0" w:line="121" w:lineRule="exact"/>
        <w:rPr>
          <w:sz w:val="20"/>
          <w:szCs w:val="20"/>
          <w:color w:val="auto"/>
        </w:rPr>
      </w:pPr>
    </w:p>
    <w:p>
      <w:pPr>
        <w:ind w:left="120" w:right="160" w:firstLine="991"/>
        <w:spacing w:after="0" w:line="287" w:lineRule="auto"/>
        <w:rPr>
          <w:sz w:val="20"/>
          <w:szCs w:val="20"/>
          <w:color w:val="auto"/>
        </w:rPr>
      </w:pPr>
      <w:r>
        <w:rPr>
          <w:rFonts w:ascii="Arial" w:cs="Arial" w:eastAsia="Arial" w:hAnsi="Arial"/>
          <w:sz w:val="16"/>
          <w:szCs w:val="16"/>
          <w:color w:val="auto"/>
        </w:rPr>
        <w:t>Our board of directors consists of eleven directors, including three independent directors. Under the Shareholders’ Agreement, subject to maintaining ownership of a certain percentage of the number of shares held immediately prior to our initial public offering, MCO Cotai is entitled to appoint up to three directors and New Cotai is entitled to appoint up to two directors. See “Item 7. Major Shareholders and Related Party Transactions</w:t>
      </w:r>
    </w:p>
    <w:p>
      <w:pPr>
        <w:spacing w:after="0" w:line="2" w:lineRule="exact"/>
        <w:rPr>
          <w:sz w:val="20"/>
          <w:szCs w:val="20"/>
          <w:color w:val="auto"/>
        </w:rPr>
      </w:pPr>
    </w:p>
    <w:p>
      <w:pPr>
        <w:ind w:left="120" w:right="280"/>
        <w:spacing w:after="0" w:line="288" w:lineRule="auto"/>
        <w:rPr>
          <w:sz w:val="20"/>
          <w:szCs w:val="20"/>
          <w:color w:val="auto"/>
        </w:rPr>
      </w:pPr>
      <w:r>
        <w:rPr>
          <w:rFonts w:ascii="Arial" w:cs="Arial" w:eastAsia="Arial" w:hAnsi="Arial"/>
          <w:sz w:val="16"/>
          <w:szCs w:val="16"/>
          <w:color w:val="auto"/>
        </w:rPr>
        <w:t>— B. Related Party Transactions — Shareholders’ Agreement.” Notwithstanding such provisions contained in the Shareholders’ Agreement, the additional members on our board of directors that commenced service on our board of directors immediately following the completion of our initial public offering were appointed by the board of directors, which, immediately prior to the completion of our initial public offering, consisted of Mr. Lawrence Ho, Mr. Evan Winkler and Mr. David Reganato. Mr. Lawrence Ho was appointed as a director by our board of directors in connection with MCO Cotai’s acquisition of a 60% interest in us. Mr. Evan Winkler was appointed by MCO Cotai under its right to appoint up to three directors under the Shareholders’ Agreement and Mr. David Reganato was appointed by New Cotai under its right to appoint up to two directors under the Shareholders’ Agreement. Our articles of association do not require directors to stand for re-election at staggered intervals.</w:t>
      </w:r>
    </w:p>
    <w:p>
      <w:pPr>
        <w:spacing w:after="0" w:line="168"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NYSE Rule 303A.01 generally requires that a majority of an issuer’s board of directors must consist of independent directors. However, NYSE Rule 303A.00 permits foreign private issuers like us to follow “home country practice” in certain corporate governance matters. We rely on this “home country practice” exception and do not have a majority of independent directors serving on our board. A director is not required to hold any shares in our company to qualify to serve as a director. A director who is in any way, whether directly or indirectly, interested in a contract or proposed contract with our company is required to declare the nature of his/her interest at a meeting of our directors. A general notice given to the directors by any director to the effect that he/she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third-party. None of our directors have a service contract with us that provides for benefits upon termination of employment.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86"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120" w:right="220" w:firstLine="991"/>
        <w:spacing w:after="0" w:line="290" w:lineRule="auto"/>
        <w:rPr>
          <w:sz w:val="20"/>
          <w:szCs w:val="20"/>
          <w:color w:val="auto"/>
        </w:rPr>
      </w:pPr>
      <w:r>
        <w:rPr>
          <w:rFonts w:ascii="Arial" w:cs="Arial" w:eastAsia="Arial" w:hAnsi="Arial"/>
          <w:sz w:val="16"/>
          <w:szCs w:val="16"/>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131"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approving the transfer of shares of our company, including the registering of such shares in our share register.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12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 In addition, the service agreements between us and our directors do not provide benefits upon termination of their services. See also “Item 7. Major Shareholders and Related Party Transactions — B. Related Party Transactions — Shareholders’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Our board established an audit and risk committee, a compensation committee and a nominating and corporate governance committee in October 2018. Each committee has its defined scope of duties and terms of reference within its own charter, which empowers committee members to make decisions on certain matters and which are located on our website. Our audit and risk committee consists entirely of directors whom our board has determined to be independent under the “independence” requirements of the New York Stock Exchange Listed Company Manual. The current membership of these three committees and summary of its respective charter are provided below.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17"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Our audit and risk committee consists of Dominique Mielle, Kevin F. Sullivan and Nigel Alan Dean, and is chaired by Mr. Sullivan. All of our audit and risk committee members satisfy the “independence” requirements of Section 303A of the New York Stock Exchange Listed Company Manual and meet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86"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independence standards under Rule 10A-3 under the Exchange Act. The audit and risk committee is responsible for assisting our board in overseeing and monitoring:</w:t>
      </w:r>
    </w:p>
    <w:p>
      <w:pPr>
        <w:spacing w:after="0" w:line="76"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audits of the financial statements of our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performance of our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account and financial reporting processes of our company and the integrity of our systems of internal accounting and financial controls;</w:t>
      </w:r>
    </w:p>
    <w:p>
      <w:pPr>
        <w:spacing w:after="0" w:line="153" w:lineRule="exact"/>
        <w:rPr>
          <w:rFonts w:ascii="Arial" w:cs="Arial" w:eastAsia="Arial" w:hAnsi="Arial"/>
          <w:sz w:val="16"/>
          <w:szCs w:val="16"/>
          <w:color w:val="auto"/>
        </w:rPr>
      </w:pPr>
    </w:p>
    <w:p>
      <w:pPr>
        <w:jc w:val="both"/>
        <w:ind w:left="1080" w:right="36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legal and regulatory issues relating to the financial statements of our company, including the oversight of the independent auditors, the review of the financial statements and related material, the internal audit process and the procedure for receiving complaints regarding accounting, internal accounting controls, auditing or other related matters;</w:t>
      </w:r>
    </w:p>
    <w:p>
      <w:pPr>
        <w:spacing w:after="0" w:line="89"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regarding the quality or integrity of our financial statements;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integrity and effectiveness of our internal audit function; and</w:t>
      </w:r>
    </w:p>
    <w:p>
      <w:pPr>
        <w:spacing w:after="0" w:line="130" w:lineRule="exact"/>
        <w:rPr>
          <w:rFonts w:ascii="Arial" w:cs="Arial" w:eastAsia="Arial" w:hAnsi="Arial"/>
          <w:sz w:val="18"/>
          <w:szCs w:val="18"/>
          <w:color w:val="auto"/>
        </w:rPr>
      </w:pPr>
    </w:p>
    <w:p>
      <w:pPr>
        <w:ind w:left="1100" w:right="5940" w:hanging="444"/>
        <w:spacing w:after="0" w:line="501" w:lineRule="auto"/>
        <w:tabs>
          <w:tab w:leader="none" w:pos="1081"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risk management policies, procedures and practices. The other duties of the audit and risk committee include:</w:t>
      </w:r>
    </w:p>
    <w:p>
      <w:pPr>
        <w:spacing w:after="0" w:line="1"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annually, obtaining a written report from our independent auditor describing matters relating to its independence and quality control procedures;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recommending the financial statements for inclusion within our quarterly earnings releases and to our board for inclusion in our annual reports;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approving all material related party transactions brought to its attention, without further approval of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establishing and overseeing procedures for the handling of complaints and whistleblowing;</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approving the internal audit charter and annual audit plans, and undertaking an annual performance evaluation of the internal audit function;</w:t>
      </w:r>
    </w:p>
    <w:p>
      <w:pPr>
        <w:spacing w:after="0" w:line="75"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assessing senior management’s policies and procedures to identify, accept, mitigate, allocate or otherwise manage various types of risks presented by management, and making recommendations with respect to our risk management process for the board’s approval;</w:t>
      </w:r>
    </w:p>
    <w:p>
      <w:pPr>
        <w:spacing w:after="0" w:line="29" w:lineRule="exact"/>
        <w:rPr>
          <w:rFonts w:ascii="Arial" w:cs="Arial" w:eastAsia="Arial" w:hAnsi="Arial"/>
          <w:sz w:val="16"/>
          <w:szCs w:val="16"/>
          <w:color w:val="auto"/>
        </w:rPr>
      </w:pPr>
    </w:p>
    <w:p>
      <w:pPr>
        <w:ind w:left="1080" w:right="380" w:hanging="424"/>
        <w:spacing w:after="0" w:line="311"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together with our board, evaluating the performance of the audit and risk committee on an annual basis;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86"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assessing the adequacy of the charter of the audit and risk committee;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Our compensation committee consists of Dominique Mielle, Kevin F. Sullivan, David Anthony Reganato and Nigel Alan Dean, and is chaired by Mr. Dean. Each of Dominique Mielle, Kevin F. Sullivan and Nigel Alan Dean satisfies the “independence” requirements of Section 303A of the New York Stock Exchange Listed Company Manual. Our compensation committee assists the board in discharging the responsibilities of the board relating to compensation of our directors and property general manager, including, among others, to design (in consultation with management), evaluate and approve the compensation for the property general manager and evaluate and recommend to our board for approval proposals related to directors’ compensation. Members of this committee are not prohibited from direct involvement in determining their own compensation.</w:t>
      </w:r>
    </w:p>
    <w:p>
      <w:pPr>
        <w:spacing w:after="0" w:line="164"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Our property general manager may not be present at any compensation committee meeting during which his compensation is deliberated upon. The compensation committee will be responsible for, among other things:</w:t>
      </w:r>
    </w:p>
    <w:p>
      <w:pPr>
        <w:spacing w:after="0" w:line="76"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overseeing the development and implementation of executive compensation programs in consultation with our management;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least annually, making recommendations to our board with respect to the compensation arrangements for our independent directors, and approving compensation arrangements for our property general manager;</w:t>
      </w:r>
    </w:p>
    <w:p>
      <w:pPr>
        <w:spacing w:after="0" w:line="75"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applicable, reviewing and approving our incentive-compensation plans (if any) and equity grant (if any) under its share incentive plans (if any) and overseeing the administration of these plans and discharging any responsibilities imposed on the compensation committee by any of these plans;</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approving the compensation payable to our directors and property general manager in connection with any loss or termination of their office or appointment;</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approving any benefits in kind received by any director or property general manager where such benefits are not provided for under the relevant employment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executive officer and director indemnification and insurance matters;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and restrictions on compensation plans and loans to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compensation committee on an annual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assessing the adequacy of the charter of the compensation committee;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Our nominating and corporate governance committee consists of Dominique Mielle, Kevin F. Sullivan, Timothy Paul Lavelle and Nigel Alan Dean, and is chaired by Ms. Mielle. Each of Dominique Mielle, Kevin F. Sullivan and Nigel Alan Dean satisfies the “independence” requirements of Section 303A of the New York Stock Exchange Listed Company Manual. The nominating and corporate governance committee will be responsible for, among other things, assisting our board in discharging its responsibilities regarding:</w:t>
      </w:r>
    </w:p>
    <w:p>
      <w:pPr>
        <w:spacing w:after="0" w:line="92" w:lineRule="exact"/>
        <w:rPr>
          <w:sz w:val="20"/>
          <w:szCs w:val="20"/>
          <w:color w:val="auto"/>
        </w:rPr>
      </w:pPr>
    </w:p>
    <w:p>
      <w:pPr>
        <w:ind w:left="1080" w:right="4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identification of qualified candidates to become members and chairs of the board committees and to fill any such vacancies, and reviewing the appropriateness of the continued service of directors;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86" w:right="5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8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ensuring that our board meets the criteria for independence under the New York Stock Exchange corporate governance rules and nominating directors who meet such independence criteria;</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 in particular the legal and regulatory requirements of Macau, the Cayman Islands, the SEC and the New York Stock Exchange;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development and recommendation to our board of a set of corporate governance principles applicable to our company; and</w:t>
      </w:r>
    </w:p>
    <w:p>
      <w:pPr>
        <w:spacing w:after="0" w:line="142"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(other than that regarding the quality or integrity of our financial statements).</w:t>
      </w:r>
    </w:p>
    <w:p>
      <w:pPr>
        <w:spacing w:after="0" w:line="170"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The other duties of the nominating and corporate governance committee include: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making recommendations to our board for its approval, the appointment or re-appointment of any members of our board and the chairs and members of its committees, including evaluating any succession planning;</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75"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New York Stock Exchange rules, or otherwise considered desirable and appropriate;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a set of corporate governance principles and reviewing such principles at least annually;</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deciding whether any material information which is brought to its attention (other than that regarding the quality or integrity of our financial statements) should be disclosed;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monitoring the training and continuous professional development of our directors and senior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reviewing and monitoring the code of conduct and compliance manual applicable to staff and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committee on an annual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assessing the adequacy of the charter of the nominating and corporate governance committee;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We have, through our subsidiary, entered into an employment agreement with our property general manager. Our property general manager is employed for a continuous term, unless either party gives prior notice to terminate such employment. We may terminate the employment for cause at any time by immediate notice and without remuneration for certain acts, including but not limited to the commitment of any serious breach, continued failure to perform duties and responsibilities, any serious criminal offense or habitual neglect of duties. Our property general manager may terminate his employment at any time with a six-month prior written notice.</w:t>
      </w:r>
    </w:p>
    <w:p>
      <w:pPr>
        <w:spacing w:after="0" w:line="188" w:lineRule="exact"/>
        <w:rPr>
          <w:sz w:val="20"/>
          <w:szCs w:val="20"/>
          <w:color w:val="auto"/>
        </w:rPr>
      </w:pPr>
    </w:p>
    <w:p>
      <w:pPr>
        <w:ind w:left="120" w:right="120" w:firstLine="991"/>
        <w:spacing w:after="0" w:line="279" w:lineRule="auto"/>
        <w:rPr>
          <w:sz w:val="20"/>
          <w:szCs w:val="20"/>
          <w:color w:val="auto"/>
        </w:rPr>
      </w:pPr>
      <w:r>
        <w:rPr>
          <w:rFonts w:ascii="Arial" w:cs="Arial" w:eastAsia="Arial" w:hAnsi="Arial"/>
          <w:sz w:val="17"/>
          <w:szCs w:val="17"/>
          <w:color w:val="auto"/>
        </w:rPr>
        <w:t>Our property general manager has agreed to hold, both during and after the employment agreement expires or is earlier terminated, in confidence and not to use or disclose to any person, firm or corporation, any confidential information. Our property general manager has also agreed to disclose to us all intellectual property rights created, generated, made, conceived, authored, developed or acquired during employment with us and to waive all moral rights and rights of a similar nature in which copyright may subsist, created by him during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86"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period of employment with us. In addition, our property general manager has agreed not to, for a certain period following termination of his employment: (i) be engaged, concerned or interested in any capacity (other than as a passive investor of not more than 5% of the issued ordinary shares of any company listed on a recognized investment exchange) with any business carried on within, among others, Hong Kong, Macau and the Philippines similar to or in competition with any restricted business, (ii) solicit or seek or endeavor to entice away any business orders of customers or (iii) induce, solicit or entice or endeavor to induce, solicit or entice away, or offer employment or engagement to, certain employees.</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chief financial officer provides services to us pursuant to the Management and Shared Services Arrangements.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 EMPLOYEES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Staff</w:t>
      </w:r>
    </w:p>
    <w:p>
      <w:pPr>
        <w:spacing w:after="0" w:line="121"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There were 3,924, 4,485 and 4,374 dedicated staff members as of December 31, 2020, 2019 and 2018, respectively, performing services solely at Studio City. The Gaming Operator is responsible for the hiring, managing and training of the gaming staff and deducts such costs relating to such gaming staff from Studio City Casino’s gross gaming revenue in accordance with the Services and Right to Use Arrangements. See “Item 7. Major Shareholders and Related Party Transactions — B. Related Party Transactions — Services and Right to Use Arrangements.” Under the Management and Shared Services Arrangements, the Master Service Providers, recruit, place, allocate, train, manage and supervise the staff who are solely dedicated to our property to perform corporate and administrative functions and carry out other non-gaming activities, and the relevant personnel costs are charged back to us. In addition, we receive certain centralized corporate and management services from the senior management and other shared service staff of the Master Service Providers who devote a portion of their time under the arrangements. See “Item 7. Major Shareholders and Related Party Transactions — B. Related Party Transactions — Management and Shared Services Arrangements.” The property general manager is employed by us. Our property general manager has oversight over all non-gaming staff members solely dedicated to Studio City and exercises input over their performance, which enables us to effectively evaluate their performance and manage talent. Our chief financial officer has oversight over our expenses (including shared service related items), receipts and disbursements, record-keeping and financial reporting to management and facilitates in the financial budgeting process. The following table indicates the distribution of these staff by function pursuant to the Management and Shared Services Arrangements as of December 31, 2020:</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Function</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Number of Staff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Management, Administrative and Finance</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Gaming</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Operations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991"/>
        <w:spacing w:after="0" w:line="296" w:lineRule="auto"/>
        <w:rPr>
          <w:sz w:val="20"/>
          <w:szCs w:val="20"/>
          <w:color w:val="auto"/>
        </w:rPr>
      </w:pPr>
      <w:r>
        <w:rPr>
          <w:rFonts w:ascii="Arial" w:cs="Arial" w:eastAsia="Arial" w:hAnsi="Arial"/>
          <w:sz w:val="16"/>
          <w:szCs w:val="16"/>
          <w:color w:val="auto"/>
        </w:rPr>
        <w:t>Through the Management and Shared Services Arrangements, we are able to leverage the resources and platform of the Master Service Providers to have qualified staff dedicated to working on our property. Our success depends on the ability of the Master Service Providers and us to attract, retain, motivate, and inspire qualified personnel. We believe that we maintain a good working relationship with the staff working at Studio City. We have not experienced any significant labor disputes. None of the dedicated staff members performing services solely at Studio City are members of any labor union and neither we nor any of the Master Service Providers are a party to any collective bargaining or similar agreement with such staff.</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86"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 SHARE OWNERSHIP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Ownership of Directors and Members of Senior Management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following table sets forth the beneficial interest of each director and executive officer in our ordinary shares as of March 26, 2021.</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Number of</w:t>
            </w: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Approximate</w:t>
            </w:r>
          </w:p>
        </w:tc>
      </w:tr>
      <w:tr>
        <w:trPr>
          <w:trHeight w:val="148"/>
        </w:trPr>
        <w:tc>
          <w:tcPr>
            <w:tcW w:w="6500" w:type="dxa"/>
            <w:vAlign w:val="bottom"/>
          </w:tcPr>
          <w:p>
            <w:pPr>
              <w:spacing w:after="0"/>
              <w:rPr>
                <w:sz w:val="12"/>
                <w:szCs w:val="12"/>
                <w:color w:val="auto"/>
              </w:rPr>
            </w:pPr>
          </w:p>
        </w:tc>
        <w:tc>
          <w:tcPr>
            <w:tcW w:w="16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Class A</w:t>
            </w:r>
          </w:p>
        </w:tc>
        <w:tc>
          <w:tcPr>
            <w:tcW w:w="168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Class B</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percentage of</w:t>
            </w:r>
          </w:p>
        </w:tc>
      </w:tr>
      <w:tr>
        <w:trPr>
          <w:trHeight w:val="171"/>
        </w:trPr>
        <w:tc>
          <w:tcPr>
            <w:tcW w:w="6500" w:type="dxa"/>
            <w:vAlign w:val="bottom"/>
          </w:tcPr>
          <w:p>
            <w:pPr>
              <w:spacing w:after="0"/>
              <w:rPr>
                <w:sz w:val="14"/>
                <w:szCs w:val="14"/>
                <w:color w:val="auto"/>
              </w:rPr>
            </w:pP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ordinary shares</w:t>
            </w: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ordinary shares</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voting power </w:t>
            </w:r>
            <w:r>
              <w:rPr>
                <w:rFonts w:ascii="Arial" w:cs="Arial" w:eastAsia="Arial" w:hAnsi="Arial"/>
                <w:sz w:val="10"/>
                <w:szCs w:val="10"/>
                <w:b w:val="1"/>
                <w:bCs w:val="1"/>
                <w:color w:val="auto"/>
                <w:w w:val="91"/>
              </w:rPr>
              <w:t>(1)</w:t>
            </w: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9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6500" w:type="dxa"/>
            <w:vAlign w:val="bottom"/>
          </w:tcPr>
          <w:p>
            <w:pPr>
              <w:spacing w:after="0" w:line="216" w:lineRule="exact"/>
              <w:rPr>
                <w:sz w:val="20"/>
                <w:szCs w:val="20"/>
                <w:color w:val="auto"/>
              </w:rPr>
            </w:pPr>
            <w:r>
              <w:rPr>
                <w:rFonts w:ascii="Arial" w:cs="Arial" w:eastAsia="Arial" w:hAnsi="Arial"/>
                <w:sz w:val="18"/>
                <w:szCs w:val="18"/>
                <w:color w:val="auto"/>
              </w:rPr>
              <w:t xml:space="preserve">Lawrence Yau Lung Ho </w:t>
            </w:r>
            <w:r>
              <w:rPr>
                <w:rFonts w:ascii="Arial" w:cs="Arial" w:eastAsia="Arial" w:hAnsi="Arial"/>
                <w:sz w:val="25"/>
                <w:szCs w:val="25"/>
                <w:color w:val="auto"/>
                <w:vertAlign w:val="superscript"/>
              </w:rPr>
              <w:t>(2)</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w w:val="95"/>
              </w:rPr>
              <w:t>243,020,416</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Evan Andrew Winkler</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Clarence Yuk Man Chung</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Geoffrey Stuart Davis</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Stephanie Cheung</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Akiko Takahashi</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David Anthony Reganato</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Timothy Paul Lavelle</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Dominique Mielle</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Kevin F. Sullivan</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Nigel Alan Dean</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Kevin Richard Benning</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4"/>
        </w:trPr>
        <w:tc>
          <w:tcPr>
            <w:tcW w:w="6500" w:type="dxa"/>
            <w:vAlign w:val="bottom"/>
          </w:tcPr>
          <w:p>
            <w:pPr>
              <w:spacing w:after="0"/>
              <w:rPr>
                <w:sz w:val="20"/>
                <w:szCs w:val="20"/>
                <w:color w:val="auto"/>
              </w:rPr>
            </w:pPr>
            <w:r>
              <w:rPr>
                <w:rFonts w:ascii="Arial" w:cs="Arial" w:eastAsia="Arial" w:hAnsi="Arial"/>
                <w:sz w:val="18"/>
                <w:szCs w:val="18"/>
                <w:b w:val="1"/>
                <w:bCs w:val="1"/>
                <w:color w:val="auto"/>
              </w:rPr>
              <w:t>Directors and executive officers as a group</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w w:val="95"/>
              </w:rPr>
              <w:t>243,045,348</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r>
    </w:tbl>
    <w:p>
      <w:pPr>
        <w:spacing w:after="0" w:line="89"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less than 1% of our total outstanding shares.</w:t>
      </w:r>
    </w:p>
    <w:p>
      <w:pPr>
        <w:spacing w:after="0" w:line="131" w:lineRule="exact"/>
        <w:rPr>
          <w:sz w:val="20"/>
          <w:szCs w:val="20"/>
          <w:color w:val="auto"/>
        </w:rPr>
      </w:pPr>
    </w:p>
    <w:p>
      <w:pPr>
        <w:ind w:left="540" w:right="40" w:hanging="424"/>
        <w:spacing w:after="0" w:line="293"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Percentage of voting power represents percentage of voting interest of our Class A ordinary shares and Class B ordinary shares voting together as a single class. Class B ordinary share have no economic rights. Percentage of voting power of each director and executive officer is calculated by dividing the number of Class A ordinary shares and Class B ordinary shares beneficially owned by such person or group, including shares that such person or group has the right to acquire within 60 days after March 26, 2021, by the sum of (i) 442,864,460 which is the total number of Class A ordinary shares and Class B ordinary shares outstanding as of March 26, 2021, and (ii) the number of Class A ordinary shares and Class B ordinary shares that such person or group has the right to acquire beneficial ownership within 60 days of March 26, 2021.</w:t>
      </w:r>
    </w:p>
    <w:p>
      <w:pPr>
        <w:spacing w:after="0" w:line="69" w:lineRule="exact"/>
        <w:rPr>
          <w:rFonts w:ascii="Arial" w:cs="Arial" w:eastAsia="Arial" w:hAnsi="Arial"/>
          <w:sz w:val="16"/>
          <w:szCs w:val="16"/>
          <w:color w:val="auto"/>
        </w:rPr>
      </w:pPr>
    </w:p>
    <w:p>
      <w:pPr>
        <w:ind w:left="540" w:right="40" w:hanging="424"/>
        <w:spacing w:after="0" w:line="255"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180,953,128 Class A ordinary shares and 15,330,000 ADSs (representing 61,320,000 Class A ordinary shares) held by MCO Cotai and 747,288 Class A ordinary shares held by Melco International, among which include 118 ADSs (representing 472 Class A ordinary shares) held by an agent on its behalf. Mr. Ho holds approximately 58.13% of the total issued shares of Melco International, including beneficial interest, interest of his controlled corporations, interest of his spouse and interest of a trust in which he is one of the beneficiaries and taken to have interest by virtue of the Securities and Futures Ordinance (Chapter 571, the Laws of Hong Kong). See “Item 7. Major Shareholders and Related Party Transactions – A. Major Shareholders.”</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None of our directors or executive officers who are shareholders have different voting rights from other shareholders of our Company.</w:t>
      </w:r>
    </w:p>
    <w:p>
      <w:pPr>
        <w:spacing w:after="0" w:line="16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86"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MAJOR SHAREHOLDERS</w:t>
      </w:r>
    </w:p>
    <w:p>
      <w:pPr>
        <w:spacing w:after="0" w:line="229"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The following table sets forth the beneficial ownership of our ordinary shares as of March 26, 2021 by all persons who are known to us to be the beneficial owners of 5% or more of our share capital.</w:t>
      </w:r>
    </w:p>
    <w:p>
      <w:pPr>
        <w:sectPr>
          <w:pgSz w:w="11900" w:h="16838" w:orient="portrait"/>
          <w:cols w:equalWidth="0" w:num="1">
            <w:col w:w="11080"/>
          </w:cols>
          <w:pgMar w:left="320" w:top="486" w:right="499" w:bottom="1440" w:gutter="0" w:footer="0" w:header="0"/>
        </w:sectPr>
      </w:pPr>
    </w:p>
    <w:p>
      <w:pPr>
        <w:spacing w:after="0" w:line="310" w:lineRule="exact"/>
        <w:rPr>
          <w:sz w:val="20"/>
          <w:szCs w:val="20"/>
          <w:color w:val="auto"/>
        </w:rPr>
      </w:pPr>
    </w:p>
    <w:p>
      <w:pPr>
        <w:ind w:left="560"/>
        <w:spacing w:after="0"/>
        <w:rPr>
          <w:sz w:val="20"/>
          <w:szCs w:val="20"/>
          <w:color w:val="auto"/>
        </w:rPr>
      </w:pPr>
      <w:r>
        <w:rPr>
          <w:rFonts w:ascii="Arial" w:cs="Arial" w:eastAsia="Arial" w:hAnsi="Arial"/>
          <w:sz w:val="14"/>
          <w:szCs w:val="14"/>
          <w:b w:val="1"/>
          <w:bCs w:val="1"/>
          <w:u w:val="single" w:color="auto"/>
          <w:color w:val="auto"/>
        </w:rPr>
        <w:t>Name</w:t>
      </w:r>
    </w:p>
    <w:p>
      <w:pPr>
        <w:ind w:left="560"/>
        <w:spacing w:after="0" w:line="218" w:lineRule="auto"/>
        <w:rPr>
          <w:sz w:val="20"/>
          <w:szCs w:val="20"/>
          <w:color w:val="auto"/>
        </w:rPr>
      </w:pPr>
      <w:r>
        <w:rPr>
          <w:rFonts w:ascii="Arial" w:cs="Arial" w:eastAsia="Arial" w:hAnsi="Arial"/>
          <w:sz w:val="18"/>
          <w:szCs w:val="18"/>
          <w:color w:val="auto"/>
        </w:rPr>
        <w:t xml:space="preserve">Melco International </w:t>
      </w:r>
      <w:r>
        <w:rPr>
          <w:rFonts w:ascii="Arial" w:cs="Arial" w:eastAsia="Arial" w:hAnsi="Arial"/>
          <w:sz w:val="25"/>
          <w:szCs w:val="25"/>
          <w:color w:val="auto"/>
          <w:vertAlign w:val="superscript"/>
        </w:rPr>
        <w:t>(2)</w:t>
      </w:r>
    </w:p>
    <w:p>
      <w:pPr>
        <w:ind w:left="560"/>
        <w:spacing w:after="0" w:line="180" w:lineRule="auto"/>
        <w:rPr>
          <w:sz w:val="20"/>
          <w:szCs w:val="20"/>
          <w:color w:val="auto"/>
        </w:rPr>
      </w:pPr>
      <w:r>
        <w:rPr>
          <w:rFonts w:ascii="Arial" w:cs="Arial" w:eastAsia="Arial" w:hAnsi="Arial"/>
          <w:sz w:val="18"/>
          <w:szCs w:val="18"/>
          <w:color w:val="auto"/>
        </w:rPr>
        <w:t>New Cotai, LLC</w:t>
      </w:r>
      <w:r>
        <w:rPr>
          <w:rFonts w:ascii="Arial" w:cs="Arial" w:eastAsia="Arial" w:hAnsi="Arial"/>
          <w:sz w:val="25"/>
          <w:szCs w:val="25"/>
          <w:color w:val="auto"/>
          <w:vertAlign w:val="superscript"/>
        </w:rPr>
        <w:t>(3)</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Silver Point Funds</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2"/>
              </w:rPr>
              <w:t>Number of Class A ordinary</w:t>
            </w:r>
          </w:p>
        </w:tc>
        <w:tc>
          <w:tcPr>
            <w:tcW w:w="27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2"/>
              </w:rPr>
              <w:t>Number of Class B ordinary</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Percentage Voting</w:t>
            </w:r>
          </w:p>
        </w:tc>
      </w:tr>
      <w:tr>
        <w:trPr>
          <w:trHeight w:val="171"/>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 beneficially owned</w:t>
            </w:r>
          </w:p>
        </w:tc>
        <w:tc>
          <w:tcPr>
            <w:tcW w:w="100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 beneficially owned</w:t>
            </w:r>
          </w:p>
        </w:tc>
        <w:tc>
          <w:tcPr>
            <w:tcW w:w="10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Power </w:t>
            </w:r>
            <w:r>
              <w:rPr>
                <w:rFonts w:ascii="Arial" w:cs="Arial" w:eastAsia="Arial" w:hAnsi="Arial"/>
                <w:sz w:val="10"/>
                <w:szCs w:val="10"/>
                <w:b w:val="1"/>
                <w:bCs w:val="1"/>
                <w:color w:val="auto"/>
                <w:w w:val="92"/>
              </w:rPr>
              <w:t>(1)</w:t>
            </w:r>
          </w:p>
        </w:tc>
        <w:tc>
          <w:tcPr>
            <w:tcW w:w="160" w:type="dxa"/>
            <w:vAlign w:val="bottom"/>
          </w:tcPr>
          <w:p>
            <w:pPr>
              <w:spacing w:after="0"/>
              <w:rPr>
                <w:sz w:val="14"/>
                <w:szCs w:val="14"/>
                <w:color w:val="auto"/>
              </w:rPr>
            </w:pPr>
          </w:p>
        </w:tc>
      </w:tr>
      <w:tr>
        <w:trPr>
          <w:trHeight w:val="195"/>
        </w:trPr>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243,020,416</w:t>
            </w:r>
          </w:p>
        </w:tc>
        <w:tc>
          <w:tcPr>
            <w:tcW w:w="1000" w:type="dxa"/>
            <w:vAlign w:val="bottom"/>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6"/>
                <w:szCs w:val="16"/>
                <w:color w:val="auto"/>
              </w:rPr>
            </w:pPr>
          </w:p>
        </w:tc>
        <w:tc>
          <w:tcPr>
            <w:tcW w:w="12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54.88%</w:t>
            </w:r>
          </w:p>
        </w:tc>
      </w:tr>
      <w:tr>
        <w:trPr>
          <w:trHeight w:val="216"/>
        </w:trPr>
        <w:tc>
          <w:tcPr>
            <w:tcW w:w="2740" w:type="dxa"/>
            <w:vAlign w:val="bottom"/>
            <w:gridSpan w:val="2"/>
          </w:tcPr>
          <w:p>
            <w:pPr>
              <w:jc w:val="right"/>
              <w:ind w:right="1000"/>
              <w:spacing w:after="0"/>
              <w:rPr>
                <w:sz w:val="20"/>
                <w:szCs w:val="20"/>
                <w:color w:val="auto"/>
              </w:rPr>
            </w:pPr>
            <w:r>
              <w:rPr>
                <w:rFonts w:ascii="Arial" w:cs="Arial" w:eastAsia="Arial" w:hAnsi="Arial"/>
                <w:sz w:val="18"/>
                <w:szCs w:val="18"/>
                <w:color w:val="auto"/>
              </w:rPr>
              <w:t>30,774,116</w:t>
            </w:r>
          </w:p>
        </w:tc>
        <w:tc>
          <w:tcPr>
            <w:tcW w:w="2740" w:type="dxa"/>
            <w:vAlign w:val="bottom"/>
            <w:gridSpan w:val="2"/>
          </w:tcPr>
          <w:p>
            <w:pPr>
              <w:jc w:val="right"/>
              <w:ind w:right="1000"/>
              <w:spacing w:after="0"/>
              <w:rPr>
                <w:sz w:val="20"/>
                <w:szCs w:val="20"/>
                <w:color w:val="auto"/>
              </w:rPr>
            </w:pPr>
            <w:r>
              <w:rPr>
                <w:rFonts w:ascii="Arial" w:cs="Arial" w:eastAsia="Arial" w:hAnsi="Arial"/>
                <w:sz w:val="18"/>
                <w:szCs w:val="18"/>
                <w:color w:val="auto"/>
              </w:rPr>
              <w:t>72,511,760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23.32%</w:t>
            </w:r>
          </w:p>
        </w:tc>
      </w:tr>
      <w:tr>
        <w:trPr>
          <w:trHeight w:val="230"/>
        </w:trPr>
        <w:tc>
          <w:tcPr>
            <w:tcW w:w="2740" w:type="dxa"/>
            <w:vAlign w:val="bottom"/>
            <w:gridSpan w:val="2"/>
          </w:tcPr>
          <w:p>
            <w:pPr>
              <w:jc w:val="right"/>
              <w:ind w:right="1000"/>
              <w:spacing w:after="0"/>
              <w:rPr>
                <w:sz w:val="20"/>
                <w:szCs w:val="20"/>
                <w:color w:val="auto"/>
              </w:rPr>
            </w:pPr>
            <w:r>
              <w:rPr>
                <w:rFonts w:ascii="Arial" w:cs="Arial" w:eastAsia="Arial" w:hAnsi="Arial"/>
                <w:sz w:val="18"/>
                <w:szCs w:val="18"/>
                <w:color w:val="auto"/>
              </w:rPr>
              <w:t>61,570,720</w:t>
            </w:r>
          </w:p>
        </w:tc>
        <w:tc>
          <w:tcPr>
            <w:tcW w:w="274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-419735</wp:posOffset>
            </wp:positionV>
            <wp:extent cx="6429375"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29375" cy="14541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-136525</wp:posOffset>
            </wp:positionV>
            <wp:extent cx="642937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3160" w:space="720"/>
            <w:col w:w="7200"/>
          </w:cols>
          <w:pgMar w:left="320" w:top="486" w:right="499" w:bottom="1440" w:gutter="0" w:footer="0" w:header="0"/>
          <w:type w:val="continuous"/>
        </w:sectPr>
      </w:pPr>
    </w:p>
    <w:p>
      <w:pPr>
        <w:ind w:left="540" w:hanging="424"/>
        <w:spacing w:after="0" w:line="263"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Rule 13d-3 under the Exchange Act, and includes voting or investment power with respect to the securities. Percentage voting power represents percentage of voting interest of our Class A ordinary shares and Class B ordinary shares voting together as a single class. Class B ordinary share have no economic rights.</w:t>
      </w:r>
    </w:p>
    <w:p>
      <w:pPr>
        <w:spacing w:after="0" w:line="89" w:lineRule="exact"/>
        <w:rPr>
          <w:rFonts w:ascii="Arial" w:cs="Arial" w:eastAsia="Arial" w:hAnsi="Arial"/>
          <w:sz w:val="18"/>
          <w:szCs w:val="18"/>
          <w:color w:val="auto"/>
        </w:rPr>
      </w:pPr>
    </w:p>
    <w:p>
      <w:pPr>
        <w:ind w:left="540" w:hanging="424"/>
        <w:spacing w:after="0" w:line="269"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180,953,128 Class A ordinary shares and 15,330,000 ADSs (representing 61,320,000 Class A ordinary shares), constituting 65.41% of the outstanding Class A ordinary shares, held by MCO Cotai and 747,288 Class A ordinary shares, constituting 0.2% of the outstanding Class A ordinary shares, held by Melco International, among which include 118 ADSs (representing 472 Class A ordinary shares) held by an agent on its behalf. Mr. Ho is the majority shareholder of Melco International, which is the sole shareholder of Melco Leisure and Entertainment Group Limited, or Melco Leisure, which is the majority shareholder of Melco Resorts, a publicly-traded company whose American depositary shares are listed on the Nasdaq Global Select Market. Melco Resorts is the sole shareholder of MCO Holdings Limited, or MCO Holdings, which is the sole shareholder of MCO Cotai. The registered address for each of MCO Cotai and MCO Holdings is Intertrust Corporate Services (Cayman) Limited, One Nexus Way, Camana Bay, Grand Cayman KY1-9005, Cayman Islands. The principal business address for Melco Resorts is 36th Floor, The Centrium, 60 Wyndham Street, Central, Hong Kong. The principal business address for Melco Leisure is c/o 38th Floor, The Centrium, 60 Wyndham Street, Central, Hong Kong. The principal business address for Mr. Lawrence Ho and Melco International is 38th Floor, The Centrium, 60 Wyndham Street, Central, Hong Kong.</w:t>
      </w:r>
    </w:p>
    <w:p>
      <w:pPr>
        <w:spacing w:after="0" w:line="87" w:lineRule="exact"/>
        <w:rPr>
          <w:rFonts w:ascii="Arial" w:cs="Arial" w:eastAsia="Arial" w:hAnsi="Arial"/>
          <w:sz w:val="17"/>
          <w:szCs w:val="17"/>
          <w:color w:val="auto"/>
        </w:rPr>
      </w:pPr>
    </w:p>
    <w:p>
      <w:pPr>
        <w:ind w:left="540" w:right="60" w:hanging="424"/>
        <w:spacing w:after="0" w:line="270"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72,511,760 Class B ordinary shares, constituting 100.0% of the outstanding Class B ordinary shares and, as of December 31, 2020, 7,693,529 ADS (representing 30,774,116 Class A ordinary shares), constituting 8.3% of the outstanding Class A ordinary shares, directly held by New Cotai, LLC. Subject to the terms of the exchange arrangements described in “Item 7. Major Shareholders and Related Party Transactions — B. Related Party Transactions — Pre-IPO Organizational Transactions,” New Cotai, subject to certain conditions, may exchange its Participation Interest for Class A ordinary shares. In connection with such exchange, the corresponding number of Class B ordinary shares will be canceled for no consideration. See “Item 7. Major Shareholders and Related Party Transactions — B. Related Party Transactions — Pre-IPO Organizational Transactions — Participation Agreement.” The number of Class A ordinary shares do not reflect the 72,511,760 of Class A ordinary shares issuable upon exchange by New Cotai of its Participation Interest. The business address of New Cotai is 2700 Patriot Boulevard, Suite 250, Glenview, Illinois 60026.</w:t>
      </w:r>
    </w:p>
    <w:p>
      <w:pPr>
        <w:spacing w:after="0" w:line="86" w:lineRule="exact"/>
        <w:rPr>
          <w:rFonts w:ascii="Arial" w:cs="Arial" w:eastAsia="Arial" w:hAnsi="Arial"/>
          <w:sz w:val="17"/>
          <w:szCs w:val="17"/>
          <w:color w:val="auto"/>
        </w:rPr>
      </w:pPr>
    </w:p>
    <w:p>
      <w:pPr>
        <w:ind w:left="540" w:right="80" w:hanging="424"/>
        <w:spacing w:after="0" w:line="279"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15,392,680 ADSs (representing 61,570,720 Class A ordinary shares), constituting 16.62% of the outstanding Class A ordinary shares, held by Silver Point Capital Fund, L.P. and Silver Point Capital Offshore Master Fund, L.P. as of December 31, 2020. Silver Point Capital, L.P. is the investment manager of Silver Point Capital Fund, L.P. and Silver Point Capital Offshore Master Fund, L.P. The address of the principal business office of Silver Point Capital, L.P. is Two Greenwich Plaza, Greenwich, Connecticut 06830.</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86" w:right="49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91"/>
        <w:spacing w:after="0" w:line="257" w:lineRule="auto"/>
        <w:rPr>
          <w:sz w:val="20"/>
          <w:szCs w:val="20"/>
          <w:color w:val="auto"/>
        </w:rPr>
      </w:pPr>
      <w:r>
        <w:rPr>
          <w:rFonts w:ascii="Arial" w:cs="Arial" w:eastAsia="Arial" w:hAnsi="Arial"/>
          <w:sz w:val="18"/>
          <w:szCs w:val="18"/>
          <w:color w:val="auto"/>
        </w:rPr>
        <w:t>As of December 31, 2020, a total of 442,864,460 Class A ordinary shares and Class B ordinary shares were outstanding, of which 188,652,756 Class A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October 2018, all ordinary shares underlying the ADSs have been held in Hong Kong by the custodian, Deutsche Bank AG, Hong Kong Branch, on behalf of the depositary.</w:t>
      </w:r>
    </w:p>
    <w:p>
      <w:pPr>
        <w:spacing w:after="0" w:line="188" w:lineRule="exact"/>
        <w:rPr>
          <w:sz w:val="20"/>
          <w:szCs w:val="20"/>
          <w:color w:val="auto"/>
        </w:rPr>
      </w:pPr>
    </w:p>
    <w:p>
      <w:pPr>
        <w:ind w:left="120" w:right="640" w:firstLine="991"/>
        <w:spacing w:after="0" w:line="277" w:lineRule="auto"/>
        <w:rPr>
          <w:sz w:val="20"/>
          <w:szCs w:val="20"/>
          <w:color w:val="auto"/>
        </w:rPr>
      </w:pPr>
      <w:r>
        <w:rPr>
          <w:rFonts w:ascii="Arial" w:cs="Arial" w:eastAsia="Arial" w:hAnsi="Arial"/>
          <w:sz w:val="18"/>
          <w:szCs w:val="18"/>
          <w:color w:val="auto"/>
        </w:rPr>
        <w:t>None of our shareholders have different voting rights from other shareholders. We are not aware of any arrangement that may, at a subsequent date, result in a change of control of our Company.</w:t>
      </w:r>
    </w:p>
    <w:p>
      <w:pPr>
        <w:spacing w:after="0" w:line="170"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Immediately prior to the Organizational Transactions, 60% of the equity interest in us was directly held by MCO Cotai and 40% of the equity interest in us was directly held by New Cotai.</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“Item 4. Information on the Company — C. Organizational Structure” for our current corporate structure.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 RELATED PARTY TRANSACTIONS</w:t>
      </w:r>
    </w:p>
    <w:p>
      <w:pPr>
        <w:spacing w:after="0" w:line="229"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For a discussion of significant related party transactions we entered into during the years ended December 31, 2020, 2019 and 2018, see note 19 to the consolidated financial statements included elsewhere in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Pre-IPO Organizational Transactions</w:t>
      </w:r>
    </w:p>
    <w:p>
      <w:pPr>
        <w:spacing w:after="0" w:line="121"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Immediately prior to the Organizational Transactions, 60% of the equity interest in us was directly held by MCO Cotai and 40% of the equity interest in us was directly held by New Cotai. Prior to the completion of our initial public offering, we entered into an implementation agreement, or the Implementation Agreement, with MCO Cotai, Melco Resorts, New Cotai and MSC Cotai to effect and implement the Organizational Transaction, which included the following:</w:t>
      </w:r>
    </w:p>
    <w:p>
      <w:pPr>
        <w:spacing w:after="0" w:line="92" w:lineRule="exact"/>
        <w:rPr>
          <w:sz w:val="20"/>
          <w:szCs w:val="20"/>
          <w:color w:val="auto"/>
        </w:rPr>
      </w:pPr>
    </w:p>
    <w:p>
      <w:pPr>
        <w:ind w:left="1540" w:hanging="331"/>
        <w:spacing w:after="0" w:line="277" w:lineRule="auto"/>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amended and restated our memorandum of association and articles of association to, among other things, authorize two classes of ordinary shares.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MCO Cotai’s 60% equity interest in our company was reclassified into Class A ordinary shares.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New Cotai’s 40% equity interest in our company was exchanged for Class B ordinary shares.</w:t>
      </w:r>
    </w:p>
    <w:p>
      <w:pPr>
        <w:spacing w:after="0" w:line="130" w:lineRule="exact"/>
        <w:rPr>
          <w:rFonts w:ascii="Arial" w:cs="Arial" w:eastAsia="Arial" w:hAnsi="Arial"/>
          <w:sz w:val="18"/>
          <w:szCs w:val="18"/>
          <w:color w:val="auto"/>
        </w:rPr>
      </w:pPr>
    </w:p>
    <w:p>
      <w:pPr>
        <w:ind w:left="1540" w:right="560" w:hanging="331"/>
        <w:spacing w:after="0" w:line="308" w:lineRule="auto"/>
        <w:tabs>
          <w:tab w:leader="none" w:pos="1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addition, New Cotai was granted a Participation Interest in MSC Cotai, the terms of which are set forth in the Participation Agreement that was entered into by MSC Cotai, New Cotai and us. See “— Participation Agreement.”</w:t>
      </w:r>
    </w:p>
    <w:p>
      <w:pPr>
        <w:spacing w:after="0" w:line="51" w:lineRule="exact"/>
        <w:rPr>
          <w:rFonts w:ascii="Arial" w:cs="Arial" w:eastAsia="Arial" w:hAnsi="Arial"/>
          <w:sz w:val="17"/>
          <w:szCs w:val="17"/>
          <w:color w:val="auto"/>
        </w:rPr>
      </w:pPr>
    </w:p>
    <w:p>
      <w:pPr>
        <w:ind w:left="1540" w:hanging="331"/>
        <w:spacing w:after="0" w:line="255" w:lineRule="auto"/>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Participation Agreement provides that New Cotai is entitled to exchange all or a portion of its Participation Interest for a number of Class A ordinary shares subject to adjustments, exceptions and conditions as set out in the Participation Agreement. See “— Participation Agreement.” When New Cotai exchanges all or a portion of the Participation Interest for Class A ordinary shares pursuant to the terms of exchange set forth in the Participation Agreement and described herein, a proportionate number of Class B ordinary shares will be deemed surrendered and automatically canceled for no consideration as set out in the Participation Agreement.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Participation Agreement</w:t>
      </w:r>
    </w:p>
    <w:p>
      <w:pPr>
        <w:spacing w:after="0" w:line="117"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As part of the Organizational Transactions, we, MSC Cotai and New Cotai entered into the participation agreement, or the Participation Agreement, pursuant to which MSC Cotai granted a participation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86"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interest, or the Participation Interest, to New Cotai (as the sole initial holder of the Participation Interest). Pursuant to the terms of the Participation Agreement, New Cotai or any permitted transferees to whom all or part of the Participation Interest may be transferred (collectively referred to as the Participants) are entitled to receive from MSC Cotai a ratable proportionate amount of the distributions and dividends paid by MSC Cotai to the Company. The Participation Agreement also provides that the Participants are entitled to exchange all or a portion of its Participation Interest, along with the deemed surrender and automatic cancelation of a corresponding number of Class B ordinary shares, for the ratable number of Class A ordinary shares.</w:t>
      </w:r>
    </w:p>
    <w:p>
      <w:pPr>
        <w:spacing w:after="0" w:line="192"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b w:val="1"/>
          <w:bCs w:val="1"/>
          <w:i w:val="1"/>
          <w:iCs w:val="1"/>
          <w:color w:val="auto"/>
        </w:rPr>
        <w:t xml:space="preserve">Payments on the Participation Interest. </w:t>
      </w:r>
      <w:r>
        <w:rPr>
          <w:rFonts w:ascii="Arial" w:cs="Arial" w:eastAsia="Arial" w:hAnsi="Arial"/>
          <w:sz w:val="16"/>
          <w:szCs w:val="16"/>
          <w:color w:val="auto"/>
        </w:rPr>
        <w:t>Generally, Participants are entitled to receive a ratable proportionate amount of the distributions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dividends paid by MSC Cotai to the Company. Such ratable proportionate amount due to each Participant is generally determined by multiplying the amount of the relevant distribution or dividend paid by MSC Cotai to the Company by the number of percentage points represented by such Participant’s Participation Interest, subject to adjustment from time to time as set forth in the Participation Agreement (the “Participation Percentage”).</w:t>
      </w:r>
    </w:p>
    <w:p>
      <w:pPr>
        <w:spacing w:after="0" w:line="157" w:lineRule="exact"/>
        <w:rPr>
          <w:sz w:val="20"/>
          <w:szCs w:val="20"/>
          <w:color w:val="auto"/>
        </w:rPr>
      </w:pPr>
    </w:p>
    <w:p>
      <w:pPr>
        <w:ind w:left="120" w:right="160" w:firstLine="991"/>
        <w:spacing w:after="0" w:line="254" w:lineRule="auto"/>
        <w:rPr>
          <w:sz w:val="20"/>
          <w:szCs w:val="20"/>
          <w:color w:val="auto"/>
        </w:rPr>
      </w:pPr>
      <w:r>
        <w:rPr>
          <w:rFonts w:ascii="Arial" w:cs="Arial" w:eastAsia="Arial" w:hAnsi="Arial"/>
          <w:sz w:val="18"/>
          <w:szCs w:val="18"/>
          <w:b w:val="1"/>
          <w:bCs w:val="1"/>
          <w:i w:val="1"/>
          <w:iCs w:val="1"/>
          <w:color w:val="auto"/>
        </w:rPr>
        <w:t xml:space="preserve">Adjustments to Participation Interest and the Number of Class B Ordinary Shares Held. </w:t>
      </w:r>
      <w:r>
        <w:rPr>
          <w:rFonts w:ascii="Arial" w:cs="Arial" w:eastAsia="Arial" w:hAnsi="Arial"/>
          <w:sz w:val="18"/>
          <w:szCs w:val="18"/>
          <w:color w:val="auto"/>
        </w:rPr>
        <w:t>Generally, the Participation Interest is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adjustments in the case of (i) the new issuances of shares of MSC Cotai to the Company in exchange for capital contributions by the Company to MSC Cotai (including as a result of our initial public offering), (ii) repurchases and redemptions by MSC Cotai of shares of MSC Cotai, and (iii) any exchanges of the Participation Interest, as follows. In addition, the number of Class B ordinary shares held by each Participant will be adjusted by the Company from time to time so that the voting interest represented by such Class B ordinary shares is equal to the economic right represented by the Class A ordinary shares that such Participant would receive if such Participant would exchange its entire Participation Interest for Class A ordinary shares at such time.</w:t>
      </w:r>
    </w:p>
    <w:p>
      <w:pPr>
        <w:spacing w:after="0" w:line="195"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b w:val="1"/>
          <w:bCs w:val="1"/>
          <w:i w:val="1"/>
          <w:iCs w:val="1"/>
          <w:color w:val="auto"/>
        </w:rPr>
        <w:t xml:space="preserve">Capital Contributions. </w:t>
      </w:r>
      <w:r>
        <w:rPr>
          <w:rFonts w:ascii="Arial" w:cs="Arial" w:eastAsia="Arial" w:hAnsi="Arial"/>
          <w:sz w:val="16"/>
          <w:szCs w:val="16"/>
          <w:color w:val="auto"/>
        </w:rPr>
        <w:t>Upon any Class A ordinary share issuance by the Company, the Company will contribute all proceeds to MSC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Cotai and MSC Cotai will issue the same number of new shares of MSC Cotai to the Company and the Participation Interest will be adjusted to reflect the dilution that would have occurred if the Participants had been holding a corresponding number of Class A ordinary shares instead of the Participation Interest. This back-to-back arrangement for share issuances by the Company and MSC Cotai will apply to share issuances (i) to non-affiliates, (ii) to affiliates that are approved by the Company directors that are disinterested in the transaction, (iii) for assured entitlement arrangements, and</w:t>
      </w:r>
    </w:p>
    <w:p>
      <w:pPr>
        <w:spacing w:after="0" w:line="2" w:lineRule="exact"/>
        <w:rPr>
          <w:sz w:val="20"/>
          <w:szCs w:val="20"/>
          <w:color w:val="auto"/>
        </w:rPr>
      </w:pPr>
    </w:p>
    <w:p>
      <w:pPr>
        <w:ind w:left="120" w:hanging="4"/>
        <w:spacing w:after="0" w:line="260" w:lineRule="auto"/>
        <w:tabs>
          <w:tab w:leader="none" w:pos="42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pursuant to public offerings. Issuances to affiliates, unless they are made through public offerings, will generally be subject to pre-emption as further described below.</w:t>
      </w:r>
    </w:p>
    <w:p>
      <w:pPr>
        <w:spacing w:after="0" w:line="185" w:lineRule="exact"/>
        <w:rPr>
          <w:sz w:val="20"/>
          <w:szCs w:val="20"/>
          <w:color w:val="auto"/>
        </w:rPr>
      </w:pPr>
    </w:p>
    <w:p>
      <w:pPr>
        <w:jc w:val="both"/>
        <w:ind w:left="120" w:right="60" w:firstLine="991"/>
        <w:spacing w:after="0" w:line="259" w:lineRule="auto"/>
        <w:rPr>
          <w:sz w:val="20"/>
          <w:szCs w:val="20"/>
          <w:color w:val="auto"/>
        </w:rPr>
      </w:pPr>
      <w:r>
        <w:rPr>
          <w:rFonts w:ascii="Arial" w:cs="Arial" w:eastAsia="Arial" w:hAnsi="Arial"/>
          <w:sz w:val="18"/>
          <w:szCs w:val="18"/>
          <w:b w:val="1"/>
          <w:bCs w:val="1"/>
          <w:i w:val="1"/>
          <w:iCs w:val="1"/>
          <w:color w:val="auto"/>
        </w:rPr>
        <w:t xml:space="preserve">Share Repurchases and Redemptions. </w:t>
      </w:r>
      <w:r>
        <w:rPr>
          <w:rFonts w:ascii="Arial" w:cs="Arial" w:eastAsia="Arial" w:hAnsi="Arial"/>
          <w:sz w:val="18"/>
          <w:szCs w:val="18"/>
          <w:color w:val="auto"/>
        </w:rPr>
        <w:t>In the event that MSC Cotai carries out a share redemption or repurchase of shares of MSC Cotai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proceeds of which must be used by the Company to redeem Class A ordinary shares in a back-to-back arrangement), the Participation Interest will be adjusted to reflect the effect of such share redemption or repurchase if the Participants had been holding a corresponding number of Class A ordinary shares instead of the Participation Interest.</w:t>
      </w:r>
    </w:p>
    <w:p>
      <w:pPr>
        <w:spacing w:after="0" w:line="187" w:lineRule="exact"/>
        <w:rPr>
          <w:sz w:val="20"/>
          <w:szCs w:val="20"/>
          <w:color w:val="auto"/>
        </w:rPr>
      </w:pPr>
    </w:p>
    <w:p>
      <w:pPr>
        <w:ind w:left="120" w:right="60" w:firstLine="991"/>
        <w:spacing w:after="0" w:line="290" w:lineRule="auto"/>
        <w:rPr>
          <w:sz w:val="20"/>
          <w:szCs w:val="20"/>
          <w:color w:val="auto"/>
        </w:rPr>
      </w:pPr>
      <w:r>
        <w:rPr>
          <w:rFonts w:ascii="Arial" w:cs="Arial" w:eastAsia="Arial" w:hAnsi="Arial"/>
          <w:sz w:val="16"/>
          <w:szCs w:val="16"/>
          <w:b w:val="1"/>
          <w:bCs w:val="1"/>
          <w:i w:val="1"/>
          <w:iCs w:val="1"/>
          <w:color w:val="auto"/>
        </w:rPr>
        <w:t xml:space="preserve">Exchanges of Participation Interest. </w:t>
      </w:r>
      <w:r>
        <w:rPr>
          <w:rFonts w:ascii="Arial" w:cs="Arial" w:eastAsia="Arial" w:hAnsi="Arial"/>
          <w:sz w:val="16"/>
          <w:szCs w:val="16"/>
          <w:color w:val="auto"/>
        </w:rPr>
        <w:t>A Participant may elect, from time to time, to exchange its Participation Interest, in whole or in part,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Class A ordinary shares. When electing to exchange, a Participant must deliver an exchange notice to MSC Cotai, which notice must be delivered at least five business days prior to the proposed exchange date; provided, that settlement may not occur later than 90 days from the notice date. The exchanging Participant may withdraw its exchange notice at any time prior to the exchange date. Each party will bear its own expenses in connection with an election to exchange. If an election to exchange request is withdrawn, the Participant will reimburse MSC Cotai for all out-of-pocket expenses incurred by MSC Cotai and the Company in connection with such withdrawn exchange. Following any exchange of all or a portion of the Participation Interest for Class A ordinary shares, the Participation Interest will be reduced to reflect the decrease in number of Class A ordinary shares that such Participant would be entitled to receive post-exchange if all of the remaining Participation Interest were to be exchanged.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86"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b w:val="1"/>
          <w:bCs w:val="1"/>
          <w:i w:val="1"/>
          <w:iCs w:val="1"/>
          <w:color w:val="auto"/>
        </w:rPr>
        <w:t xml:space="preserve">Mandatory Exchanges. </w:t>
      </w:r>
      <w:r>
        <w:rPr>
          <w:rFonts w:ascii="Arial" w:cs="Arial" w:eastAsia="Arial" w:hAnsi="Arial"/>
          <w:sz w:val="18"/>
          <w:szCs w:val="18"/>
          <w:color w:val="auto"/>
        </w:rPr>
        <w:t>In case of certain change of control events relating to the Company, distributions to be made upon MSC Cotai’s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dissolution or unwinding or when the holders of the Participation Interest hold less than the specified minimum threshold set out in the Participation Agreement in the Company resulting in a termination of the Participation Agreement, and in certain other cases, any outstanding Participation Interest must be surrendered to MSC Cotai (along with the corresponding number of Class B ordinary shares) by the holders for Class A ordinary shares, or, at MSC Cotai’s option, for cash in certain cases.</w:t>
      </w:r>
    </w:p>
    <w:p>
      <w:pPr>
        <w:spacing w:after="0" w:line="188"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b w:val="1"/>
          <w:bCs w:val="1"/>
          <w:i w:val="1"/>
          <w:iCs w:val="1"/>
          <w:color w:val="auto"/>
        </w:rPr>
        <w:t xml:space="preserve">Preemptive Rights. </w:t>
      </w:r>
      <w:r>
        <w:rPr>
          <w:rFonts w:ascii="Arial" w:cs="Arial" w:eastAsia="Arial" w:hAnsi="Arial"/>
          <w:sz w:val="18"/>
          <w:szCs w:val="18"/>
          <w:color w:val="auto"/>
        </w:rPr>
        <w:t>If the Company (1) proposes to offer equity securities solely or primarily to Melco Resorts or one of its affiliates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in connection with a public offering, equity incentive plan or assured entitlement arrangements) or (2) grants any right, option or warrant (other than in connection with any equity plan) at a price per share less than the current price of average Class A ordinary shares, or that does not expire by the 30th day after such grant, each Participant will have the pro rata right to purchase an increase in its Participation Interest or to receive similar rights, options or warrants, as case may be so as to maintain its then-existing number of percentage points represented by its Participation Interest, subject to certain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17"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b w:val="1"/>
          <w:bCs w:val="1"/>
          <w:i w:val="1"/>
          <w:iCs w:val="1"/>
          <w:color w:val="auto"/>
        </w:rPr>
        <w:t xml:space="preserve">Capital Contributions. </w:t>
      </w:r>
      <w:r>
        <w:rPr>
          <w:rFonts w:ascii="Arial" w:cs="Arial" w:eastAsia="Arial" w:hAnsi="Arial"/>
          <w:sz w:val="18"/>
          <w:szCs w:val="18"/>
          <w:color w:val="auto"/>
        </w:rPr>
        <w:t>The Company is required to contribute to MSC Cotai all net proceeds received by it from sales of equity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sales of assets.</w:t>
      </w:r>
    </w:p>
    <w:p>
      <w:pPr>
        <w:spacing w:after="0" w:line="170"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b w:val="1"/>
          <w:bCs w:val="1"/>
          <w:i w:val="1"/>
          <w:iCs w:val="1"/>
          <w:color w:val="auto"/>
        </w:rPr>
        <w:t xml:space="preserve">Debt Arrangements. </w:t>
      </w:r>
      <w:r>
        <w:rPr>
          <w:rFonts w:ascii="Arial" w:cs="Arial" w:eastAsia="Arial" w:hAnsi="Arial"/>
          <w:sz w:val="18"/>
          <w:szCs w:val="18"/>
          <w:color w:val="auto"/>
        </w:rPr>
        <w:t>If the Company enters into any debt financing or other borrowing arrangement, the Company will be required to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entire proceeds from such financing or borrowing arrangement to MSC Cotai on the same terms and conditions that the Company borrowed such proceeds.</w:t>
      </w:r>
    </w:p>
    <w:p>
      <w:pPr>
        <w:spacing w:after="0" w:line="184"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b w:val="1"/>
          <w:bCs w:val="1"/>
          <w:i w:val="1"/>
          <w:iCs w:val="1"/>
          <w:color w:val="auto"/>
        </w:rPr>
        <w:t xml:space="preserve">HoldCo Relationship. </w:t>
      </w:r>
      <w:r>
        <w:rPr>
          <w:rFonts w:ascii="Arial" w:cs="Arial" w:eastAsia="Arial" w:hAnsi="Arial"/>
          <w:sz w:val="18"/>
          <w:szCs w:val="18"/>
          <w:color w:val="auto"/>
        </w:rPr>
        <w:t>The Company covenants that it will always own all of the issued and outstanding shares of MSC Cotai, and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own equity interests in any other entity.</w:t>
      </w:r>
    </w:p>
    <w:p>
      <w:pPr>
        <w:spacing w:after="0" w:line="170" w:lineRule="exact"/>
        <w:rPr>
          <w:sz w:val="20"/>
          <w:szCs w:val="20"/>
          <w:color w:val="auto"/>
        </w:rPr>
      </w:pPr>
    </w:p>
    <w:p>
      <w:pPr>
        <w:jc w:val="both"/>
        <w:ind w:left="120" w:right="40" w:firstLine="991"/>
        <w:spacing w:after="0" w:line="257" w:lineRule="auto"/>
        <w:rPr>
          <w:sz w:val="20"/>
          <w:szCs w:val="20"/>
          <w:color w:val="auto"/>
        </w:rPr>
      </w:pPr>
      <w:r>
        <w:rPr>
          <w:rFonts w:ascii="Arial" w:cs="Arial" w:eastAsia="Arial" w:hAnsi="Arial"/>
          <w:sz w:val="18"/>
          <w:szCs w:val="18"/>
          <w:b w:val="1"/>
          <w:bCs w:val="1"/>
          <w:i w:val="1"/>
          <w:iCs w:val="1"/>
          <w:color w:val="auto"/>
        </w:rPr>
        <w:t xml:space="preserve">Permitted Transferees. </w:t>
      </w:r>
      <w:r>
        <w:rPr>
          <w:rFonts w:ascii="Arial" w:cs="Arial" w:eastAsia="Arial" w:hAnsi="Arial"/>
          <w:sz w:val="18"/>
          <w:szCs w:val="18"/>
          <w:color w:val="auto"/>
        </w:rPr>
        <w:t>Holders of the Participation Interests are able to transfer all or part of their Participation Interest and any rights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thereof to certain permitted transferees, as provided in the Participation Agreement, subject to certain conditions. The total Participation Interest percentage will not be changed as a result of such transfers. At any given time, the number of participants may not exceed the prescribed number set out in the Participation Agreement and any transfer in violation of such limit or other applicable provisions of the Participation Agreement will be null and void.</w:t>
      </w:r>
    </w:p>
    <w:p>
      <w:pPr>
        <w:spacing w:after="0" w:line="188"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b w:val="1"/>
          <w:bCs w:val="1"/>
          <w:i w:val="1"/>
          <w:iCs w:val="1"/>
          <w:color w:val="auto"/>
        </w:rPr>
        <w:t xml:space="preserve">Termination, Governing Law and Arbitration. </w:t>
      </w:r>
      <w:r>
        <w:rPr>
          <w:rFonts w:ascii="Arial" w:cs="Arial" w:eastAsia="Arial" w:hAnsi="Arial"/>
          <w:sz w:val="17"/>
          <w:szCs w:val="17"/>
          <w:color w:val="auto"/>
        </w:rPr>
        <w:t>The Participation Agreement will terminate when the holders of the Participation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less than the specified minimum threshold set out in the participation agreement in the Company. The Participation Agreement is governed by New York law, and any disputes, other than certain disputed calculations under the Participation Agreement and any claims seeking injunctive relief, which can be sought in courts in Hong Kong, are intended to be resolved by arbitration sitting in Hong Kong including any disputes under the U.S. federal securities laws and claims not in connection with our initial public offering. We believe arbitration provisions in commercial agreements are generally respected by federal courts and state courts of New York.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120" w:right="200" w:firstLine="991"/>
        <w:spacing w:after="0" w:line="296" w:lineRule="auto"/>
        <w:rPr>
          <w:sz w:val="20"/>
          <w:szCs w:val="20"/>
          <w:color w:val="auto"/>
        </w:rPr>
      </w:pPr>
      <w:r>
        <w:rPr>
          <w:rFonts w:ascii="Arial" w:cs="Arial" w:eastAsia="Arial" w:hAnsi="Arial"/>
          <w:sz w:val="16"/>
          <w:szCs w:val="16"/>
          <w:color w:val="auto"/>
        </w:rPr>
        <w:t>In connection with our initial public offering and the Organizational Transactions, we entered into an amended shareholders agreement with Melco Resorts, MCO Cotai and New Cotai which took effect immediately after the completion of our initial public offering (as amended, the “Shareholders’ Agreement”). The Shareholders’ Agreement contains a variety of provisions governing the relationship between MCO Cotai and New Cotai, as our shareholders, including but not limited to the composition of the board of directors, related party transactions, corporate governance, the development and operation of Studio City, restrictions on transfer of certain of our shares and other related matters.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86"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In connection with our initial public offering and the Organizational Transactions, we entered into an amended Registration Rights Agreement with New Cotai which took effect on October 16, 2018 (as amended and restated, the “Registration Rights Agreement”). Under the Registration Rights Agreement, New Cotai, holder of our registrable securities, has certain registration rights with respect to: (i) any Class A ordinary shares, (ii) any other stock or securities that the holder of Class A ordinary shares may be entitled to receive, or have received, (iii) any securities issued or issuable directly or indirectly with respect to the securities referred to in the foregoing clause (i) or (ii) by way of conversion, substitution or exchange thereof or share dividend or share split or in connection with a combination of shares, recapitalization, reclassification, merger, amalgamation, arrangement, consolidation or other reorganization subject to the terms and conditions set forth in the Registration Rights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“Item 6. Directors, Senior Management and Employees — C. Board Practices — Employment Agreements.”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with the Gaming Operator under Services and Right to Use Arrangements</w:t>
      </w:r>
    </w:p>
    <w:p>
      <w:pPr>
        <w:spacing w:after="0" w:line="121"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Under the Services and Right to Use Arrangements, the Gaming Operator is responsible for the operation of Studio City Casino and deducts gaming tax and the costs incurred in connection with its operation of Studio City Casino from the gross gaming revenues. We receive the residual gross gaming revenues and recognize these amounts as revenues from provision of gaming related services. See “— Services and Right to Use Arrangements” for details of the terms of the Services and Right to Use Arrangements.</w:t>
      </w:r>
    </w:p>
    <w:p>
      <w:pPr>
        <w:spacing w:after="0" w:line="187"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In 2020, 2019 and 2018, total gaming taxes and costs incurred in connection with the operation of Studio City Casino deducted from gross gaming revenues were US$307.1 million, US$1,038.5 million and US$1,243.9 million, respectively. Revenues from the provision of gaming related services were negative US$42.7 million, US$393.5 million and US$339.9 million in 2020, 2019 and 2018, respectively. Revenues from the provision of gaming related services are net of gaming taxes and the costs incurred in connection with the operation of Studio City Casino deducted by the Gaming Operator pursuant to the Services and Right to Use Arrangements.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and Right to Use Arrangements</w:t>
      </w:r>
    </w:p>
    <w:p>
      <w:pPr>
        <w:spacing w:after="0" w:line="121" w:lineRule="exact"/>
        <w:rPr>
          <w:sz w:val="20"/>
          <w:szCs w:val="20"/>
          <w:color w:val="auto"/>
        </w:rPr>
      </w:pPr>
    </w:p>
    <w:p>
      <w:pPr>
        <w:ind w:left="120" w:right="120" w:firstLine="991"/>
        <w:spacing w:after="0" w:line="255" w:lineRule="auto"/>
        <w:rPr>
          <w:sz w:val="20"/>
          <w:szCs w:val="20"/>
          <w:color w:val="auto"/>
        </w:rPr>
      </w:pPr>
      <w:r>
        <w:rPr>
          <w:rFonts w:ascii="Arial" w:cs="Arial" w:eastAsia="Arial" w:hAnsi="Arial"/>
          <w:sz w:val="18"/>
          <w:szCs w:val="18"/>
          <w:color w:val="auto"/>
        </w:rPr>
        <w:t>On May 11, 2007, our subsidiary, Studio City Entertainment, and the Gaming Operator entered into the Services and Right to Use Agreement (as amended on June 15, 2012, together with the reimbursement agreement of the same date and other agreements or arrangements entered into from time to time regarding the operation of Studio City Casino, the “Services and Right to Use Arrangements”) pursuant to which the Gaming Operator operates Studio City Casino. These arrangements remain effective until June 26, 2022, and will be extended if the Gaming Operator obtains a gaming concession, subconcession or other right to legally operate gaming in Macau beyond June 26, 2022 and if the Macau government permits such extension.</w:t>
      </w:r>
    </w:p>
    <w:p>
      <w:pPr>
        <w:spacing w:after="0" w:line="192"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The Services and Right to Use Arrangements set forth the terms and conditions for the operation of Studio City Casino by the Gaming Operator and the obligations of Studio City Entertainment in respect thereof.</w:t>
      </w:r>
    </w:p>
    <w:p>
      <w:pPr>
        <w:spacing w:after="0" w:line="170"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Under the Services and Right to Use Arrangements, Studio City Entertainment allows the Gaming Operator to use and occupy Studio City Casino for purposes of managing all day-to-day operations, and the Gaming Operator provides the necessary security and develops and implements all systems and controls necessary for Studio City Casino. The Gaming Operator also recruits all casino staff, including dealers, cashiers, security and surveillance personnel and managers. The Gaming Operator will deduct gaming taxes and costs incurred in connection with its operation of Studio City Casino. Studio City Entertainment receives the residual gross gaming revenues and recognizes these amounts as our revenues from provision of gaming related services.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86"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Studio City Entertainment has sole responsibility with respect to the design, construction and any refurbishments of Studio City Casino and shall be responsible for all costs. The Gaming Operator shall procure all necessary permits, authorizations and licenses necessary to operate Studio City Casino in accordance with Macau law.</w:t>
      </w:r>
    </w:p>
    <w:p>
      <w:pPr>
        <w:spacing w:after="0" w:line="184"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The Services and Right to Use Agreement is subject to customary events of default, including failure of Studio City Entertainment to make any payment required by the agreement or any action by Studio City Entertainment which causes or is likely to cause the Gaming Operator to be in breach of its subconcession. The parties may terminate the Services and Right to Use Agreement in the event of a default under the Services and Right to Use Agreement or, among others, as a result of regulatory review, except that as long as Studio City Entertainment is directly or indirectly under the control of Melco Resorts, the Gaming Operator may not terminate the Services and Right to Use Agreement.</w:t>
      </w:r>
    </w:p>
    <w:p>
      <w:pPr>
        <w:spacing w:after="0" w:line="176" w:lineRule="exact"/>
        <w:rPr>
          <w:sz w:val="20"/>
          <w:szCs w:val="20"/>
          <w:color w:val="auto"/>
        </w:rPr>
      </w:pPr>
    </w:p>
    <w:p>
      <w:pPr>
        <w:ind w:left="120" w:right="100" w:firstLine="991"/>
        <w:spacing w:after="0" w:line="311" w:lineRule="auto"/>
        <w:rPr>
          <w:sz w:val="20"/>
          <w:szCs w:val="20"/>
          <w:color w:val="auto"/>
        </w:rPr>
      </w:pPr>
      <w:r>
        <w:rPr>
          <w:rFonts w:ascii="Arial" w:cs="Arial" w:eastAsia="Arial" w:hAnsi="Arial"/>
          <w:sz w:val="16"/>
          <w:szCs w:val="16"/>
          <w:color w:val="auto"/>
        </w:rPr>
        <w:t>In November 2016, pursuant to a request we made under the Services and Right to Use Agreement, the Gaming Operator commenced the operation of VIP tables at Studio City Casino. The Gaming Operator will continue VIP rolling chip operations at the Studio City Casino until December 31, 2021, subject to early termination with 30 days’ prior notice by either Studio City Entertainment or the Gaming Operator.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and Shared Services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17"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On December 21, 2015, Studio City Entertainment, Studio City Hotels, Studio City Retail Services Limited, Studio City Developments, Studio City Ventures Limited, Studio City Services Limited and the Company (the “Studio City Entities,” each a “Studio City Entity”) and the Master Service Providers entered into a Master Services Agreement (the “Master Services Agreement”), which sets out the terms and conditions that apply to certain services to be provided under the individual work agreements (the “Work Agreements,” each a “Work Agreement” and together with the Master Services Agreement and other arrangements for non-gaming services at the properties in Macau, the “Management and Shared Services Arrangements”) by the Master Service Providers to the Studio City Entities and vice versa.</w:t>
      </w:r>
    </w:p>
    <w:p>
      <w:pPr>
        <w:spacing w:after="0" w:line="178" w:lineRule="exact"/>
        <w:rPr>
          <w:sz w:val="20"/>
          <w:szCs w:val="20"/>
          <w:color w:val="auto"/>
        </w:rPr>
      </w:pPr>
    </w:p>
    <w:p>
      <w:pPr>
        <w:ind w:left="120" w:right="160" w:firstLine="991"/>
        <w:spacing w:after="0" w:line="255" w:lineRule="auto"/>
        <w:rPr>
          <w:sz w:val="20"/>
          <w:szCs w:val="20"/>
          <w:color w:val="auto"/>
        </w:rPr>
      </w:pPr>
      <w:r>
        <w:rPr>
          <w:rFonts w:ascii="Arial" w:cs="Arial" w:eastAsia="Arial" w:hAnsi="Arial"/>
          <w:sz w:val="18"/>
          <w:szCs w:val="18"/>
          <w:color w:val="auto"/>
        </w:rPr>
        <w:t>Under the Management and Shared Services Arrangements, the Master Service Providers recruit, allocate, train, manage and supervise a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In addition, leveraging the resources and platform of Melco Resorts, we receive services from the Master Service Providers, including operational management services and general corporate services, such as payroll, human resources, information technology, marketing, accounting and legal services.</w:t>
      </w:r>
    </w:p>
    <w:p>
      <w:pPr>
        <w:spacing w:after="0" w:line="192"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Each type of service to be provided is to be set out in a separate Work Agreement between the relevant Studio City Entities and the Master Service Providers. As required by the parties, additional Work Agreements (conforming to the pre-agreed format) may be entered into. New Master Service Providers or Studio City Entities may also accede to existing Work Agreements as agreed between the parties. The parties to a Work Agreement may also agree to modify or add to the services covered by that Work Agreement.</w:t>
      </w:r>
    </w:p>
    <w:p>
      <w:pPr>
        <w:spacing w:after="0" w:line="187" w:lineRule="exact"/>
        <w:rPr>
          <w:sz w:val="20"/>
          <w:szCs w:val="20"/>
          <w:color w:val="auto"/>
        </w:rPr>
      </w:pPr>
    </w:p>
    <w:p>
      <w:pPr>
        <w:ind w:left="120" w:right="140" w:firstLine="991"/>
        <w:spacing w:after="0" w:line="255" w:lineRule="auto"/>
        <w:rPr>
          <w:sz w:val="20"/>
          <w:szCs w:val="20"/>
          <w:color w:val="auto"/>
        </w:rPr>
      </w:pPr>
      <w:r>
        <w:rPr>
          <w:rFonts w:ascii="Arial" w:cs="Arial" w:eastAsia="Arial" w:hAnsi="Arial"/>
          <w:sz w:val="18"/>
          <w:szCs w:val="18"/>
          <w:color w:val="auto"/>
        </w:rPr>
        <w:t>The Master Services Agreement is effective from December 21, 2015 until June 26, 2022 unless terminated, extended or renewed by mutual agreement of the parties in writing. The Master Services Agreement may be terminated (a) by mutual agreement in writing, (b) automatically if the Services and Right to Use Agreement is terminated, (c) by any party upon a 30-day prior written notice if all Work Agreements have been terminated and are no longer in effect, (d) by the Master Service Providers (i) when there is a material breach by a Studio City Entity which remains uncured after 30 days of written notice provided by the Master Service Providers of such breach, or (ii) upon a specified change of control event whereby Melco Resorts does not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86"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directly or indirectly control the Company or any other entity that controls Studio City and the gaming areas in particular, or where relevant actions taken by any lenders lead to the foregoing results, and (e) by the Studio City Entities upon any material breach by a Master Service Provider which remains uncured after 30 days of written notice of such breach. If the Master Services Agreement is terminated, all Work Agreements shall automatically terminate.</w:t>
      </w:r>
    </w:p>
    <w:p>
      <w:pPr>
        <w:spacing w:after="0" w:line="187"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Specifically, in case of any breach by either party under the “provision of services” and “standard of care; quality” clauses under the Master Services Agreement, the exclusive remedy of the non-breaching party, subject to indemnification for third-party claims and certain limitations on liabilities regarding consequential and other damages as well as caps on a party’s liability equal to the fees paid or charged under the relevant Work Agreement, is for the breaching party to (a) perform or re-perform the relevant services if reasonably determined by the non-breaching party that the performance of the relevant services is commercially practicable and/or (b) refund any fees paid if reasonably determined by the non-breaching parties that performance or re-performance is not commercially practicable or would not be sufficient compensation for the breach. Otherwise, parties of the Master Services Agreement may seek through arbitration or in a court of competent jurisdiction for specific performance, temporary, preliminary or permanent injunction relief and other interim measure to prevent breaches or threatened breaches.</w:t>
      </w:r>
    </w:p>
    <w:p>
      <w:pPr>
        <w:spacing w:after="0" w:line="178" w:lineRule="exact"/>
        <w:rPr>
          <w:sz w:val="20"/>
          <w:szCs w:val="20"/>
          <w:color w:val="auto"/>
        </w:rPr>
      </w:pPr>
    </w:p>
    <w:p>
      <w:pPr>
        <w:ind w:left="120" w:right="180" w:firstLine="991"/>
        <w:spacing w:after="0" w:line="285" w:lineRule="auto"/>
        <w:rPr>
          <w:sz w:val="20"/>
          <w:szCs w:val="20"/>
          <w:color w:val="auto"/>
        </w:rPr>
      </w:pPr>
      <w:r>
        <w:rPr>
          <w:rFonts w:ascii="Arial" w:cs="Arial" w:eastAsia="Arial" w:hAnsi="Arial"/>
          <w:sz w:val="16"/>
          <w:szCs w:val="16"/>
          <w:color w:val="auto"/>
        </w:rPr>
        <w:t>In the event the Management and Shared Services Arrangements are terminated, all accrued unpaid fees for relevant services will be due and payable immediately. Between the notice of termination or six months prior to the expiration and the termination or expiration date, the parties to such agreements enter a period of transition. During the transition period, at the request of a service recipient, a service provider will cause its third-party vendors to assist and cooperate and work together with the service recipient to assist in the transition of the performance of such terminated services, including by (a) making available necessary information and materials as requested by the service recipient (excluding intellectual property),</w:t>
      </w:r>
    </w:p>
    <w:p>
      <w:pPr>
        <w:spacing w:after="0" w:line="2" w:lineRule="exact"/>
        <w:rPr>
          <w:sz w:val="20"/>
          <w:szCs w:val="20"/>
          <w:color w:val="auto"/>
        </w:rPr>
      </w:pPr>
    </w:p>
    <w:p>
      <w:pPr>
        <w:ind w:left="120" w:hanging="4"/>
        <w:spacing w:after="0" w:line="281" w:lineRule="auto"/>
        <w:tabs>
          <w:tab w:leader="none" w:pos="375"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complying with the termination or transition provisions of the applicable Work Agreement, (c) making available to the service recipient any personnel to answer questions that the service recipient may have regarding the terminated services or management and operation in relation thereto, and</w:t>
      </w:r>
    </w:p>
    <w:p>
      <w:pPr>
        <w:spacing w:after="0" w:line="1" w:lineRule="exact"/>
        <w:rPr>
          <w:rFonts w:ascii="Arial" w:cs="Arial" w:eastAsia="Arial" w:hAnsi="Arial"/>
          <w:sz w:val="16"/>
          <w:szCs w:val="16"/>
          <w:color w:val="auto"/>
        </w:rPr>
      </w:pPr>
    </w:p>
    <w:p>
      <w:pPr>
        <w:ind w:left="120" w:right="260" w:hanging="4"/>
        <w:spacing w:after="0" w:line="323" w:lineRule="auto"/>
        <w:tabs>
          <w:tab w:leader="none" w:pos="37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assisting in development and installation of hardware and software systems as necessary to continue to manage and operate its business and properties relating to the terminated services. The transition period can be extended by up to 180 days, but cannot be extended beyond June 26, 2022.</w:t>
      </w:r>
    </w:p>
    <w:p>
      <w:pPr>
        <w:spacing w:after="0" w:line="138"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The Master Services Agreement provides for a regular review process to ensure the quality of the services provided and for payments and charges made in accordance with the Work Agreements. Significant contested items and other disputes may, if unable to be resolved amicably, ultimately be referred to arbitral proceedings.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Work Agreements</w:t>
      </w:r>
    </w:p>
    <w:p>
      <w:pPr>
        <w:spacing w:after="0" w:line="117" w:lineRule="exact"/>
        <w:rPr>
          <w:sz w:val="20"/>
          <w:szCs w:val="20"/>
          <w:color w:val="auto"/>
        </w:rPr>
      </w:pPr>
    </w:p>
    <w:p>
      <w:pPr>
        <w:ind w:left="120" w:right="100" w:firstLine="991"/>
        <w:spacing w:after="0" w:line="291" w:lineRule="auto"/>
        <w:rPr>
          <w:sz w:val="20"/>
          <w:szCs w:val="20"/>
          <w:color w:val="auto"/>
        </w:rPr>
      </w:pPr>
      <w:r>
        <w:rPr>
          <w:rFonts w:ascii="Arial" w:cs="Arial" w:eastAsia="Arial" w:hAnsi="Arial"/>
          <w:sz w:val="16"/>
          <w:szCs w:val="16"/>
          <w:color w:val="auto"/>
        </w:rPr>
        <w:t>We entered into eight Work Agreements on December 21, 2015, between certain of the Master Service Providers and the Studio City Entities. The Work Agreements cover: (1) services related to the sale and purchase of certain property, plant and equipment and inventory and supplies;</w:t>
      </w:r>
    </w:p>
    <w:p>
      <w:pPr>
        <w:ind w:left="120" w:hanging="4"/>
        <w:spacing w:after="0" w:line="277" w:lineRule="auto"/>
        <w:tabs>
          <w:tab w:leader="none" w:pos="375"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corporate services; (3) certain pay-as-used charges; (4) operational and property sharing services; (5) limousine transportation services provided by the Master Service Providers; (6) aviation services; (7) collection and payment services; and (8) limousine transportation services provided by the Studio City Entities. The terms of the Work Agreements run concurrently with the Master Services Agreement.</w:t>
      </w:r>
    </w:p>
    <w:p>
      <w:pPr>
        <w:spacing w:after="0" w:line="173" w:lineRule="exact"/>
        <w:rPr>
          <w:sz w:val="20"/>
          <w:szCs w:val="20"/>
          <w:color w:val="auto"/>
        </w:rPr>
      </w:pPr>
    </w:p>
    <w:p>
      <w:pPr>
        <w:ind w:left="120" w:right="180" w:firstLine="991"/>
        <w:spacing w:after="0" w:line="279" w:lineRule="auto"/>
        <w:rPr>
          <w:sz w:val="20"/>
          <w:szCs w:val="20"/>
          <w:color w:val="auto"/>
        </w:rPr>
      </w:pPr>
      <w:r>
        <w:rPr>
          <w:rFonts w:ascii="Arial" w:cs="Arial" w:eastAsia="Arial" w:hAnsi="Arial"/>
          <w:sz w:val="17"/>
          <w:szCs w:val="17"/>
          <w:color w:val="auto"/>
        </w:rPr>
        <w:t>Certain of the Work Agreements state that only the Master Service Providers can provide certain services to the Studio City Entities, and not vice versa. This is because the Studio City Entities are not in a position to provide many of the services that they receive from the Master Service Providers, such as corporate, provision of personnel, construction, development and aviation services. For other types of services, either the Master Service Providers or the Studio City Entities may be service providers. These include intra-party sales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86"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inventory and supplies, computer software and hardware services, limousine services and sales services in relation to attraction tickets.</w:t>
      </w:r>
    </w:p>
    <w:p>
      <w:pPr>
        <w:spacing w:after="0" w:line="225" w:lineRule="exact"/>
        <w:rPr>
          <w:sz w:val="20"/>
          <w:szCs w:val="20"/>
          <w:color w:val="auto"/>
        </w:rPr>
      </w:pPr>
    </w:p>
    <w:p>
      <w:pPr>
        <w:ind w:left="120" w:right="320" w:firstLine="991"/>
        <w:spacing w:after="0" w:line="296" w:lineRule="auto"/>
        <w:rPr>
          <w:sz w:val="20"/>
          <w:szCs w:val="20"/>
          <w:color w:val="auto"/>
        </w:rPr>
      </w:pPr>
      <w:r>
        <w:rPr>
          <w:rFonts w:ascii="Arial" w:cs="Arial" w:eastAsia="Arial" w:hAnsi="Arial"/>
          <w:sz w:val="16"/>
          <w:szCs w:val="16"/>
          <w:color w:val="auto"/>
        </w:rPr>
        <w:t>Payment arrangements between the service provider and service recipient are provided for in the individual Work Agreement and may vary depending on the services provided. Corporate services are charged at pre-negotiated rates, subject to a base fee and cap. Senior management service fees and staff costs on operational services are allocated to us based on a percentage of efforts on the services provided to us. Other costs in relation to shared office equipment are allocated based on percentages of usage. Each of the Work Agreements also outlines the fees and reasonable documented out-of-pocket expenses that will be due from the service recipient to the service provider.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and Right to Use Direct Agreement</w:t>
      </w:r>
    </w:p>
    <w:p>
      <w:pPr>
        <w:spacing w:after="0" w:line="121" w:lineRule="exact"/>
        <w:rPr>
          <w:sz w:val="20"/>
          <w:szCs w:val="20"/>
          <w:color w:val="auto"/>
        </w:rPr>
      </w:pPr>
    </w:p>
    <w:p>
      <w:pPr>
        <w:ind w:left="120" w:right="100" w:firstLine="991"/>
        <w:spacing w:after="0" w:line="259" w:lineRule="auto"/>
        <w:rPr>
          <w:sz w:val="20"/>
          <w:szCs w:val="20"/>
          <w:color w:val="auto"/>
        </w:rPr>
      </w:pPr>
      <w:r>
        <w:rPr>
          <w:rFonts w:ascii="Arial" w:cs="Arial" w:eastAsia="Arial" w:hAnsi="Arial"/>
          <w:sz w:val="18"/>
          <w:szCs w:val="18"/>
          <w:color w:val="auto"/>
        </w:rPr>
        <w:t>On November 26, 2013, Studio City Company, the Gaming Operator, Studio City Holdings Five Limited and the security agent under the 2018 Project Facility, among others, entered into the Services and Right to Use Direct Agreement, which sets forth, among other things, certain restrictions on the rights of the Gaming Operator to (subject to the necessary regulatory approvals being obtained) suspend the continued operation of Studio City Casino and/or terminate the Services and Right to Use Arrangements.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In relation to the Private Placements, the Company entered into subscription agreements with certain existing institutional shareholders and holders of its ADSs, including MCO Cotai, New Cotai and Silver Point Capital, L.P. Under such subscription agreements, the Company agreed to file a registration statement covering the respective purchased securities, to use commercially reasonable efforts to have the registration statement declared effective by the SEC promptly after filing and to keep such registration statement continuously effective for a period of the earlier of 180 days after the effectiveness of the registration statement or when the respective purchaser no longer holds any of the purchased securities. The Company filed such registration statement on September 15, 2020 and such registration statement was declared effective by the SEC on September 29, 2020. On March 29, 2021, the Company deregistered all securities registered under such registration statement.</w:t>
      </w: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 INTERESTS OF EXPERTS AND COUNSEL</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24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have appended consolidated financial statements filed as part of this annual report.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left="120" w:right="40" w:firstLine="991"/>
        <w:spacing w:after="0" w:line="273" w:lineRule="auto"/>
        <w:rPr>
          <w:sz w:val="20"/>
          <w:szCs w:val="20"/>
          <w:color w:val="auto"/>
        </w:rPr>
      </w:pPr>
      <w:r>
        <w:rPr>
          <w:rFonts w:ascii="Arial" w:cs="Arial" w:eastAsia="Arial" w:hAnsi="Arial"/>
          <w:sz w:val="17"/>
          <w:szCs w:val="17"/>
          <w:color w:val="auto"/>
        </w:rPr>
        <w:t>From time to time, we may become subject to legal and administrative proceedings, investigations and claims incidental to, or arising out of, the ordinary course of our business, including but not limited to, the construction, renovation, licensing or operation of non-gaming premises which may, from time to time, involve closure or suspension of operations or construction works while administrative proceedings are pending. We are not currently a party to, nor are we aware of, any material legal or administrative proceeding, investigation or claim which, in the opinion of our management, individually or in the aggregate, is likely to have a material adverse effect on our business, financial condition or results of operations. We may also from time to time initiate legal proceedings to protect our rights and interests.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86"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have not previously declared or paid cash dividends and do not have any plan to declare or pay any dividends in the foreseeable future.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currently intend to retain most, if not all, of our available funds and any future earnings to operate and expand our business.</w:t>
      </w:r>
    </w:p>
    <w:p>
      <w:pPr>
        <w:spacing w:after="0" w:line="211" w:lineRule="exact"/>
        <w:rPr>
          <w:sz w:val="20"/>
          <w:szCs w:val="20"/>
          <w:color w:val="auto"/>
        </w:rPr>
      </w:pPr>
    </w:p>
    <w:p>
      <w:pPr>
        <w:ind w:left="120" w:right="80" w:firstLine="991"/>
        <w:spacing w:after="0" w:line="269" w:lineRule="auto"/>
        <w:rPr>
          <w:sz w:val="20"/>
          <w:szCs w:val="20"/>
          <w:color w:val="auto"/>
        </w:rPr>
      </w:pPr>
      <w:r>
        <w:rPr>
          <w:rFonts w:ascii="Arial" w:cs="Arial" w:eastAsia="Arial" w:hAnsi="Arial"/>
          <w:sz w:val="17"/>
          <w:szCs w:val="17"/>
          <w:color w:val="auto"/>
        </w:rPr>
        <w:t>Our board of directors has discretion as to whether to distribute dividends, subject to certain requirements of Cayman Islands law and certain restrictions set forth in the instruments in relation to our outstanding borrowings.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Class A ordinary shares, we will pay those dividends which are payable in respect of the Class A ordinary shares underlying our ADSs to the depositary, as the registered holder of such Class A ordinary shares, and the depositary then will pay such amounts to the ADS holders who will receive payment to the same extent as holders of our Class A ordinary shares, subject to the terms of the deposit agreement, including the fees and expenses payable thereunder. Cash dividends on our Class A ordinary shares, if any, will be paid in U.S. Dollars.</w:t>
      </w:r>
    </w:p>
    <w:p>
      <w:pPr>
        <w:spacing w:after="0" w:line="185"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We are a holding company incorporated in the Cayman Islands. For our cash requirements, including any payment of dividends to our shareholders, we rely on dividends distributed by our subsidiaries in Macau, Hong Kong and the British Virgin Islands to MSC Cotai and MSC Cotai to us. The Macau regulations may restrict the ability of our Macau subsidiaries to pay dividends to us. For example, our Macau subsidiaries are subject to a Macau complementary tax of up to 12% on taxable income, as defined in the relevant tax laws. However, we were granted a Macau complementary tax exemption through 2021 on profits generated from income received from the Gaming Operator, to the extent that such income results from gaming operations within Studio City Casino and has been subject to gaming tax. We remain subject to Macau complementary tax on our non-gaming profits. See “Item 4. Information on the Company — B. Business Overview — Taxation.” Furthermore, regulations in Macau currently require our subsidiaries incorporated in Macau to set aside a minimum of 25% of the relevant entity’s profit after taxation to their legal reserve until the balance of the legal reserve reaches a level equivalent to 50% of its share capital and the legal reserve is not available for distribution to the shareholders of such subsidiaries. See “Item 3. Key Information — D. Risk Factors — Risks Relating to Our Shares and ADSs — Because we do not expect to pay dividends in the foreseeable future, you must rely on price appreciation of our ADSs for return on your investment.”</w:t>
      </w:r>
    </w:p>
    <w:p>
      <w:pPr>
        <w:spacing w:after="0" w:line="172"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In addition, the respective indentures governing our existing notes including the agreement for the 2028 Studio City Senior Secured Credit Facility, the 2025 Notes, the 2028 Notes and the 2029 Notes contain certain covenants that, subject to certain exceptions and conditions, restrict the payment of dividends by some of our subsidiaries. See “Item 5. Operating and Financial Review and Prospects — B. Liquidity and Capital Resources — Restrictions on Distributions.”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 SIGNIFICANT CHANGES</w:t>
      </w:r>
    </w:p>
    <w:p>
      <w:pPr>
        <w:spacing w:after="0" w:line="229" w:lineRule="exact"/>
        <w:rPr>
          <w:sz w:val="20"/>
          <w:szCs w:val="20"/>
          <w:color w:val="auto"/>
        </w:rPr>
      </w:pPr>
    </w:p>
    <w:p>
      <w:pPr>
        <w:ind w:left="120" w:right="660" w:firstLine="991"/>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THE OFFER AND LISTING</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 except for Item 9.A.4 and Item 9.C.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86"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Our ADSs, each representing four Class A ordinary shares, have been listed on the New York Stock Exchange under the symbol “MSC” from October 18, 2018.</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SHARE CAPITAL</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29" w:lineRule="exact"/>
        <w:rPr>
          <w:sz w:val="20"/>
          <w:szCs w:val="20"/>
          <w:color w:val="auto"/>
        </w:rPr>
      </w:pPr>
    </w:p>
    <w:p>
      <w:pPr>
        <w:ind w:left="120" w:right="200" w:firstLine="991"/>
        <w:spacing w:after="0" w:line="342" w:lineRule="auto"/>
        <w:rPr>
          <w:sz w:val="20"/>
          <w:szCs w:val="20"/>
          <w:color w:val="auto"/>
        </w:rPr>
      </w:pPr>
      <w:r>
        <w:rPr>
          <w:rFonts w:ascii="Arial" w:cs="Arial" w:eastAsia="Arial" w:hAnsi="Arial"/>
          <w:sz w:val="16"/>
          <w:szCs w:val="16"/>
          <w:color w:val="auto"/>
        </w:rPr>
        <w:t>Our registered office is located at Walkers Corporate Limited, 190 Elgin Avenue, George Town, Grand Cayman, KY1-9008, Cayman Islands. We are registered by way of continuation with the Cayman Islands Registrar of Companies and have been assigned company number 343696.</w:t>
      </w:r>
    </w:p>
    <w:p>
      <w:pPr>
        <w:spacing w:after="0" w:line="124"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The following are summaries of material provisions of our memorandum and articles of association and the Companies Act below, insofar as they relate to the material terms of our ordinary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The holders of our Class A ordinary shares are entitled to such dividends as may be declared by our board of directors subject to the Companies Act and our articles of association. Holders of the Class B ordinary shares do not have any right to receive dividends or distributions upon our liquidation or winding up.</w:t>
      </w:r>
    </w:p>
    <w:p>
      <w:pPr>
        <w:spacing w:after="0" w:line="184"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Our articles of association require notice of any dividend that may have been declared to be given to each holder of our Class A ordinary shares or Class B ordinary shares and, pursuant to our articles of association, all dividends unclaimed for one year after having been declared may be forfeited by resolution of the directors for the benefit of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160" w:firstLine="991"/>
        <w:spacing w:after="0" w:line="296" w:lineRule="auto"/>
        <w:rPr>
          <w:sz w:val="20"/>
          <w:szCs w:val="20"/>
          <w:color w:val="auto"/>
        </w:rPr>
      </w:pPr>
      <w:r>
        <w:rPr>
          <w:rFonts w:ascii="Arial" w:cs="Arial" w:eastAsia="Arial" w:hAnsi="Arial"/>
          <w:sz w:val="16"/>
          <w:szCs w:val="16"/>
          <w:color w:val="auto"/>
        </w:rPr>
        <w:t>Each of our Class A ordinary shares and Class B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w:t>
      </w:r>
    </w:p>
    <w:p>
      <w:pPr>
        <w:spacing w:after="0" w:line="161"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A quorum required for a meeting of shareholders consists of one or more shareholders who hold at least 50 percent of our ordinary shares at the meeting present in person or by proxy or, if a corporation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86"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ordinary shares. Advance notice of at least seven clear days is required for the convening of our annual general meeting and other shareholders meetings.</w:t>
      </w:r>
    </w:p>
    <w:p>
      <w:pPr>
        <w:spacing w:after="0" w:line="18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Ordinary Shares</w:t>
      </w:r>
    </w:p>
    <w:p>
      <w:pPr>
        <w:spacing w:after="0" w:line="121"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w:t>
      </w:r>
    </w:p>
    <w:p>
      <w:pPr>
        <w:spacing w:after="0" w:line="184"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76" w:lineRule="exact"/>
        <w:rPr>
          <w:sz w:val="20"/>
          <w:szCs w:val="20"/>
          <w:color w:val="auto"/>
        </w:rPr>
      </w:pPr>
    </w:p>
    <w:p>
      <w:pPr>
        <w:ind w:left="1080" w:right="520" w:hanging="424"/>
        <w:spacing w:after="0" w:line="308"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248" w:lineRule="exact"/>
        <w:rPr>
          <w:sz w:val="20"/>
          <w:szCs w:val="20"/>
          <w:color w:val="auto"/>
        </w:rPr>
      </w:pPr>
    </w:p>
    <w:p>
      <w:pPr>
        <w:ind w:left="120" w:right="820" w:firstLine="991"/>
        <w:spacing w:after="0" w:line="277" w:lineRule="auto"/>
        <w:rPr>
          <w:sz w:val="20"/>
          <w:szCs w:val="20"/>
          <w:color w:val="auto"/>
        </w:rPr>
      </w:pPr>
      <w:r>
        <w:rPr>
          <w:rFonts w:ascii="Arial" w:cs="Arial" w:eastAsia="Arial" w:hAnsi="Arial"/>
          <w:sz w:val="18"/>
          <w:szCs w:val="18"/>
          <w:color w:val="auto"/>
        </w:rPr>
        <w:t>Our board of directors is required to refuse to register any purported transfer of Class B ordinary shares made otherwise than in compliance with the Participation Agreement.</w:t>
      </w:r>
    </w:p>
    <w:p>
      <w:pPr>
        <w:spacing w:after="0" w:line="170"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If our directors refuse to register a transfer they must, within two months after the date on which the instrument of transfer was lodged, send to each of the transferor and the transferee notice of such refusal.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Right of New Cotai</w:t>
      </w:r>
    </w:p>
    <w:p>
      <w:pPr>
        <w:spacing w:after="0" w:line="12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Subject to certain conditions, New Cotai and its permitted transferees thereof may exchange their Participation Interest in MSC Cotai for a number of Class A ordinary shares. See “Item 7. Major Shareholders and Related Party Transactions — B. Related Party Transactions — Pre-IPO Organizational Transactions —Participation Agreement.” If New Cotai exchanges all or a portion of the Participation Interest for Class A ordinary shares, it will also be deemed to have surrendered an equal number of Class B ordinary shares, and any Class B ordinary shares so surrendered will be canceled for no consideration. See “Item 7. Major Shareholders and Related Party Transactions — B. Related Party Transactions — Pre-IPO Organizational Transactions — Participation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ordinary shares), assets available for distribution among the holders of Class A ordinary shares will be distributed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86"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Calls on Ordinary Shares and Forfeiture of Ordinary Shares</w:t>
      </w:r>
    </w:p>
    <w:p>
      <w:pPr>
        <w:spacing w:after="0" w:line="121"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Ordinary Shares</w:t>
      </w:r>
    </w:p>
    <w:p>
      <w:pPr>
        <w:spacing w:after="0" w:line="121"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Subject to the provisions of the Companies Act, we may issue shares on terms that are subject to redemption, at our option or at the option of the holders, on such terms and in such manner as the directors may determine.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memorandum and articles of association prohibit anyone who is an unsuitable person or an affiliate of an unsuitable person from:</w:t>
      </w:r>
    </w:p>
    <w:p>
      <w:pPr>
        <w:spacing w:after="0" w:line="154"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receiving dividends or interest with regard to our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exercising voting or other rights conferred by our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receiving any remuneration in any form from us or an affiliated company for services rendered or otherwise.</w:t>
      </w:r>
    </w:p>
    <w:p>
      <w:pPr>
        <w:spacing w:after="0" w:line="225" w:lineRule="exact"/>
        <w:rPr>
          <w:sz w:val="20"/>
          <w:szCs w:val="20"/>
          <w:color w:val="auto"/>
        </w:rPr>
      </w:pPr>
    </w:p>
    <w:p>
      <w:pPr>
        <w:ind w:left="120" w:right="80" w:firstLine="991"/>
        <w:spacing w:after="0" w:line="308" w:lineRule="auto"/>
        <w:rPr>
          <w:sz w:val="20"/>
          <w:szCs w:val="20"/>
          <w:color w:val="auto"/>
        </w:rPr>
      </w:pPr>
      <w:r>
        <w:rPr>
          <w:rFonts w:ascii="Arial" w:cs="Arial" w:eastAsia="Arial" w:hAnsi="Arial"/>
          <w:sz w:val="17"/>
          <w:szCs w:val="17"/>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46"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terms “affiliated companies,” “gaming authority” and “person” have the meanings set forth in our articles of association.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121" w:lineRule="exact"/>
        <w:rPr>
          <w:sz w:val="20"/>
          <w:szCs w:val="20"/>
          <w:color w:val="auto"/>
        </w:rPr>
      </w:pPr>
    </w:p>
    <w:p>
      <w:pPr>
        <w:ind w:left="120" w:right="180" w:firstLine="991"/>
        <w:spacing w:after="0" w:line="311" w:lineRule="auto"/>
        <w:rPr>
          <w:sz w:val="20"/>
          <w:szCs w:val="20"/>
          <w:color w:val="auto"/>
        </w:rPr>
      </w:pPr>
      <w:r>
        <w:rPr>
          <w:rFonts w:ascii="Arial" w:cs="Arial" w:eastAsia="Arial" w:hAnsi="Arial"/>
          <w:sz w:val="16"/>
          <w:szCs w:val="16"/>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86"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68" w:lineRule="exact"/>
        <w:rPr>
          <w:sz w:val="20"/>
          <w:szCs w:val="20"/>
          <w:color w:val="auto"/>
        </w:rPr>
      </w:pPr>
    </w:p>
    <w:p>
      <w:pPr>
        <w:ind w:left="120" w:right="100" w:firstLine="991"/>
        <w:spacing w:after="0" w:line="275" w:lineRule="auto"/>
        <w:rPr>
          <w:sz w:val="20"/>
          <w:szCs w:val="20"/>
          <w:color w:val="auto"/>
        </w:rPr>
      </w:pPr>
      <w:r>
        <w:rPr>
          <w:rFonts w:ascii="Arial" w:cs="Arial" w:eastAsia="Arial" w:hAnsi="Arial"/>
          <w:sz w:val="17"/>
          <w:szCs w:val="17"/>
          <w:color w:val="auto"/>
        </w:rPr>
        <w:t>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Variations of Rights of Shares</w:t>
      </w:r>
    </w:p>
    <w:p>
      <w:pPr>
        <w:spacing w:after="0" w:line="121" w:lineRule="exact"/>
        <w:rPr>
          <w:sz w:val="20"/>
          <w:szCs w:val="20"/>
          <w:color w:val="auto"/>
        </w:rPr>
      </w:pPr>
    </w:p>
    <w:p>
      <w:pPr>
        <w:jc w:val="both"/>
        <w:ind w:left="120" w:right="160" w:firstLine="991"/>
        <w:spacing w:after="0" w:line="259" w:lineRule="auto"/>
        <w:rPr>
          <w:sz w:val="20"/>
          <w:szCs w:val="20"/>
          <w:color w:val="auto"/>
        </w:rPr>
      </w:pPr>
      <w:r>
        <w:rPr>
          <w:rFonts w:ascii="Arial" w:cs="Arial" w:eastAsia="Arial" w:hAnsi="Arial"/>
          <w:sz w:val="18"/>
          <w:szCs w:val="18"/>
          <w:color w:val="auto"/>
        </w:rPr>
        <w:t>All or any of the rights attached to any class of shares may, subject to the provisions of our memorandum and articles of association and the Companies Act,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We may from time to time by ordinary resolution (but subject to other provisions of our memorandum and of articles of association):</w:t>
      </w:r>
    </w:p>
    <w:p>
      <w:pPr>
        <w:spacing w:after="0" w:line="142"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increase the share capital by such sum, to be divided into shares of such classes and amount, as the resolution may prescribe;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convert all or any of our paid-up shares into stock and reconvert that stock into paid up shares of any denomination;</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We may by special resolution (subject to our memorandum and articles) reduce our share capital and any capital redemption reserve in any manner authorized by law.</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86"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and Audit</w:t>
      </w:r>
    </w:p>
    <w:p>
      <w:pPr>
        <w:spacing w:after="0" w:line="121"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No shareholder (other than a director) has any right to inspect any of our accounting record or book or document except as conferred by law or authorized by our board or our company by ordinary resolution of the shareholders.</w:t>
      </w:r>
    </w:p>
    <w:p>
      <w:pPr>
        <w:spacing w:after="0" w:line="170" w:lineRule="exact"/>
        <w:rPr>
          <w:sz w:val="20"/>
          <w:szCs w:val="20"/>
          <w:color w:val="auto"/>
        </w:rPr>
      </w:pPr>
    </w:p>
    <w:p>
      <w:pPr>
        <w:ind w:left="120" w:right="100" w:firstLine="991"/>
        <w:spacing w:after="0" w:line="308" w:lineRule="auto"/>
        <w:rPr>
          <w:sz w:val="20"/>
          <w:szCs w:val="20"/>
          <w:color w:val="auto"/>
        </w:rPr>
      </w:pPr>
      <w:r>
        <w:rPr>
          <w:rFonts w:ascii="Arial" w:cs="Arial" w:eastAsia="Arial" w:hAnsi="Arial"/>
          <w:sz w:val="17"/>
          <w:szCs w:val="17"/>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46"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70"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Exempted Company</w:t>
      </w:r>
    </w:p>
    <w:p>
      <w:pPr>
        <w:spacing w:after="0" w:line="121"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We are an exempted company incorporated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92" w:lineRule="exact"/>
        <w:rPr>
          <w:sz w:val="20"/>
          <w:szCs w:val="20"/>
          <w:color w:val="auto"/>
        </w:rPr>
      </w:pPr>
    </w:p>
    <w:p>
      <w:pPr>
        <w:ind w:left="1080" w:right="2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issue shares with or without par value;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200" w:firstLine="991"/>
        <w:spacing w:after="0" w:line="311" w:lineRule="auto"/>
        <w:rPr>
          <w:sz w:val="20"/>
          <w:szCs w:val="20"/>
          <w:color w:val="auto"/>
        </w:rPr>
      </w:pPr>
      <w:r>
        <w:rPr>
          <w:rFonts w:ascii="Arial" w:cs="Arial" w:eastAsia="Arial" w:hAnsi="Arial"/>
          <w:sz w:val="16"/>
          <w:szCs w:val="16"/>
          <w:color w:val="auto"/>
        </w:rPr>
        <w:t>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86"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17"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The Companies Act permits mergers and consolidations between Cayman Islands companies and between Cayman Islands companies and non-Cayman Islands companies. For these purposes:</w:t>
      </w:r>
    </w:p>
    <w:p>
      <w:pPr>
        <w:spacing w:after="0" w:line="76" w:lineRule="exact"/>
        <w:rPr>
          <w:sz w:val="20"/>
          <w:szCs w:val="20"/>
          <w:color w:val="auto"/>
        </w:rPr>
      </w:pPr>
    </w:p>
    <w:p>
      <w:pPr>
        <w:ind w:left="1080" w:right="8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“merger” means the merging of two or more constituent companies and the vesting of their undertaking, property and liabilities in one of such companies as the surviving company; and</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“consolidation” means the combination of two or more constituent companies into a consolidated company and the vesting of the undertaking, property and liabilities of such companies to the consolidated company.</w:t>
      </w:r>
    </w:p>
    <w:p>
      <w:pPr>
        <w:spacing w:after="0" w:line="170" w:lineRule="exact"/>
        <w:rPr>
          <w:sz w:val="20"/>
          <w:szCs w:val="20"/>
          <w:color w:val="auto"/>
        </w:rPr>
      </w:pPr>
    </w:p>
    <w:p>
      <w:pPr>
        <w:ind w:left="120" w:right="840" w:firstLine="991"/>
        <w:spacing w:after="0" w:line="277"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w:t>
      </w:r>
    </w:p>
    <w:p>
      <w:pPr>
        <w:spacing w:after="0" w:line="76"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special resolution of the shareholders of each constituent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such other authorization, if any, as may be specified in such constituent company’s articles of association.</w:t>
      </w:r>
    </w:p>
    <w:p>
      <w:pPr>
        <w:spacing w:after="0" w:line="225" w:lineRule="exact"/>
        <w:rPr>
          <w:sz w:val="20"/>
          <w:szCs w:val="20"/>
          <w:color w:val="auto"/>
        </w:rPr>
      </w:pPr>
    </w:p>
    <w:p>
      <w:pPr>
        <w:jc w:val="both"/>
        <w:ind w:left="120" w:right="340" w:firstLine="991"/>
        <w:spacing w:after="0" w:line="279" w:lineRule="auto"/>
        <w:rPr>
          <w:sz w:val="20"/>
          <w:szCs w:val="20"/>
          <w:color w:val="auto"/>
        </w:rPr>
      </w:pPr>
      <w:r>
        <w:rPr>
          <w:rFonts w:ascii="Arial" w:cs="Arial" w:eastAsia="Arial" w:hAnsi="Arial"/>
          <w:sz w:val="17"/>
          <w:szCs w:val="17"/>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71"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in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64"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76"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86"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When a take-over offer is made and accepted by holders of not less than 90%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87"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17"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92"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A shareholder may have a direct right of action against the company where the individual rights of that shareholder have been infringed or are about to be infringed.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17" w:lineRule="exact"/>
        <w:rPr>
          <w:sz w:val="20"/>
          <w:szCs w:val="20"/>
          <w:color w:val="auto"/>
        </w:rPr>
      </w:pPr>
    </w:p>
    <w:p>
      <w:pPr>
        <w:ind w:left="120" w:firstLine="991"/>
        <w:spacing w:after="0" w:line="288" w:lineRule="auto"/>
        <w:rPr>
          <w:sz w:val="20"/>
          <w:szCs w:val="20"/>
          <w:color w:val="auto"/>
        </w:rPr>
      </w:pPr>
      <w:r>
        <w:rPr>
          <w:rFonts w:ascii="Arial" w:cs="Arial" w:eastAsia="Arial" w:hAnsi="Arial"/>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8"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86"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84"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Action by Written Resolution</w:t>
      </w:r>
    </w:p>
    <w:p>
      <w:pPr>
        <w:spacing w:after="0" w:line="117"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Under the Delaware General Corporation Law, a corporation’s certificate of incorporation may eliminate the right of shareholders to act by written consent. Our memorandum and articles of association allow shareholders to act by written resolutions.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permitted under Cayman Islands law, our memorandum and articles of association do not provide for cumulative voting.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740" w:firstLine="991"/>
        <w:spacing w:after="0" w:line="277" w:lineRule="auto"/>
        <w:rPr>
          <w:sz w:val="20"/>
          <w:szCs w:val="20"/>
          <w:color w:val="auto"/>
        </w:rPr>
      </w:pPr>
      <w:r>
        <w:rPr>
          <w:rFonts w:ascii="Arial" w:cs="Arial" w:eastAsia="Arial" w:hAnsi="Arial"/>
          <w:sz w:val="18"/>
          <w:szCs w:val="18"/>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170" w:lineRule="exact"/>
        <w:rPr>
          <w:sz w:val="20"/>
          <w:szCs w:val="20"/>
          <w:color w:val="auto"/>
        </w:rPr>
      </w:pPr>
    </w:p>
    <w:p>
      <w:pPr>
        <w:ind w:left="120" w:right="720" w:firstLine="991"/>
        <w:spacing w:after="0" w:line="277" w:lineRule="auto"/>
        <w:rPr>
          <w:sz w:val="20"/>
          <w:szCs w:val="20"/>
          <w:color w:val="auto"/>
        </w:rPr>
      </w:pPr>
      <w:r>
        <w:rPr>
          <w:rFonts w:ascii="Arial" w:cs="Arial" w:eastAsia="Arial" w:hAnsi="Arial"/>
          <w:sz w:val="18"/>
          <w:szCs w:val="18"/>
          <w:color w:val="auto"/>
        </w:rPr>
        <w:t>Under our memorandum and articles of association, subject to the Shareholders’ Agreement, directors can be removed by special resolution of the shareholders.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17" w:lineRule="exact"/>
        <w:rPr>
          <w:sz w:val="20"/>
          <w:szCs w:val="20"/>
          <w:color w:val="auto"/>
        </w:rPr>
      </w:pPr>
    </w:p>
    <w:p>
      <w:pPr>
        <w:ind w:left="120" w:right="80" w:firstLine="991"/>
        <w:spacing w:after="0" w:line="270" w:lineRule="auto"/>
        <w:rPr>
          <w:sz w:val="20"/>
          <w:szCs w:val="20"/>
          <w:color w:val="auto"/>
        </w:rPr>
      </w:pPr>
      <w:r>
        <w:rPr>
          <w:rFonts w:ascii="Arial" w:cs="Arial" w:eastAsia="Arial" w:hAnsi="Arial"/>
          <w:sz w:val="17"/>
          <w:szCs w:val="17"/>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81" w:lineRule="exact"/>
        <w:rPr>
          <w:sz w:val="20"/>
          <w:szCs w:val="20"/>
          <w:color w:val="auto"/>
        </w:rPr>
      </w:pPr>
    </w:p>
    <w:p>
      <w:pPr>
        <w:jc w:val="both"/>
        <w:ind w:left="120" w:firstLine="991"/>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86"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Dissolution and Winding Up</w:t>
      </w:r>
    </w:p>
    <w:p>
      <w:pPr>
        <w:spacing w:after="0" w:line="117" w:lineRule="exact"/>
        <w:rPr>
          <w:sz w:val="20"/>
          <w:szCs w:val="20"/>
          <w:color w:val="auto"/>
        </w:rPr>
      </w:pPr>
    </w:p>
    <w:p>
      <w:pPr>
        <w:ind w:left="120" w:right="40" w:firstLine="991"/>
        <w:spacing w:after="0" w:line="301" w:lineRule="auto"/>
        <w:rPr>
          <w:sz w:val="20"/>
          <w:szCs w:val="20"/>
          <w:color w:val="auto"/>
        </w:rPr>
      </w:pPr>
      <w:r>
        <w:rPr>
          <w:rFonts w:ascii="Arial" w:cs="Arial" w:eastAsia="Arial" w:hAnsi="Arial"/>
          <w:sz w:val="16"/>
          <w:szCs w:val="16"/>
          <w:color w:val="auto"/>
        </w:rPr>
        <w:t>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57"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Under our memorandum and articles of association, if our company is wound up, the liquidator of our company may distribute the assets with the sanction of an ordinary resolution of the shareholders and any other sanction required by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17"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70"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117"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memorandum and articles of association may be amended by a special resolution of shareholders.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Waiver of Certain Corporate Opportunities</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Under our memorandum and articles of association, the Company has renounced any interest or expectancy of the Company in, or in being offered an opportunity to participate in, certain opportunities where such opportunities come into the possession of one of our directors other than in his or her capacity as a director (as more particularly described in our memorandum and articles of association). This is subject to applicable law and may be waived by the relevant director.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70" w:lineRule="exact"/>
        <w:rPr>
          <w:sz w:val="20"/>
          <w:szCs w:val="20"/>
          <w:color w:val="auto"/>
        </w:rPr>
      </w:pPr>
    </w:p>
    <w:p>
      <w:pPr>
        <w:jc w:val="both"/>
        <w:ind w:left="120" w:right="560" w:firstLine="991"/>
        <w:spacing w:after="0" w:line="263" w:lineRule="auto"/>
        <w:rPr>
          <w:sz w:val="20"/>
          <w:szCs w:val="20"/>
          <w:color w:val="auto"/>
        </w:rPr>
      </w:pPr>
      <w:r>
        <w:rPr>
          <w:rFonts w:ascii="Arial" w:cs="Arial" w:eastAsia="Arial" w:hAnsi="Arial"/>
          <w:sz w:val="18"/>
          <w:szCs w:val="18"/>
          <w:color w:val="auto"/>
        </w:rPr>
        <w:t>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 in our Memorandum and Articles of Association</w:t>
      </w:r>
    </w:p>
    <w:p>
      <w:pPr>
        <w:spacing w:after="0" w:line="117"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Some provisions of our memorandum and articles of association may discourage, delay or prevent a change of control of our company or management that shareholders may consider favorable, including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86"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70" w:lineRule="exact"/>
        <w:rPr>
          <w:sz w:val="20"/>
          <w:szCs w:val="20"/>
          <w:color w:val="auto"/>
        </w:rPr>
      </w:pPr>
    </w:p>
    <w:p>
      <w:pPr>
        <w:jc w:val="both"/>
        <w:ind w:left="120" w:right="260" w:firstLine="991"/>
        <w:spacing w:after="0" w:line="263" w:lineRule="auto"/>
        <w:rPr>
          <w:sz w:val="20"/>
          <w:szCs w:val="20"/>
          <w:color w:val="auto"/>
        </w:rPr>
      </w:pPr>
      <w:r>
        <w:rPr>
          <w:rFonts w:ascii="Arial" w:cs="Arial" w:eastAsia="Arial" w:hAnsi="Arial"/>
          <w:sz w:val="18"/>
          <w:szCs w:val="18"/>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w:t>
      </w:r>
    </w:p>
    <w:p>
      <w:pPr>
        <w:spacing w:after="0" w:line="184" w:lineRule="exact"/>
        <w:rPr>
          <w:sz w:val="20"/>
          <w:szCs w:val="20"/>
          <w:color w:val="auto"/>
        </w:rPr>
      </w:pPr>
    </w:p>
    <w:p>
      <w:pPr>
        <w:ind w:left="120" w:right="140" w:firstLine="991"/>
        <w:spacing w:after="0" w:line="308" w:lineRule="auto"/>
        <w:rPr>
          <w:sz w:val="20"/>
          <w:szCs w:val="20"/>
          <w:color w:val="auto"/>
        </w:rPr>
      </w:pPr>
      <w:r>
        <w:rPr>
          <w:rFonts w:ascii="Arial" w:cs="Arial" w:eastAsia="Arial" w:hAnsi="Arial"/>
          <w:sz w:val="17"/>
          <w:szCs w:val="17"/>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17"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have not entered into any material contracts other than in the ordinary course of business and other than those described in “Item 4.</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 EXCHANGE CONTROLS</w:t>
      </w:r>
    </w:p>
    <w:p>
      <w:pPr>
        <w:spacing w:after="0" w:line="229"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With regard to our operations in Macau, no foreign exchange controls exist in Macau and Hong Kong and there is a free flow of capital into and out of Macau and Hong Kong. There are no restrictions on remittances of H.K. dollar or any other currency from Macau and Hong Kong to persons not resident in Macau and Hong Kong for the purpose of paying dividends or otherwise. No foreign exchange controls exist in the Cayman Islands.</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 TAXATION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76"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86"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No stamp duty is payable in respect of the issue of our ordinary shares or on an instrument of transfer in respect of our ordinary shares.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21" w:lineRule="exact"/>
        <w:rPr>
          <w:sz w:val="20"/>
          <w:szCs w:val="20"/>
          <w:color w:val="auto"/>
        </w:rPr>
      </w:pPr>
    </w:p>
    <w:p>
      <w:pPr>
        <w:ind w:left="120" w:right="280" w:firstLine="991"/>
        <w:spacing w:after="0" w:line="301" w:lineRule="auto"/>
        <w:rPr>
          <w:sz w:val="20"/>
          <w:szCs w:val="20"/>
          <w:color w:val="auto"/>
        </w:rPr>
      </w:pPr>
      <w:r>
        <w:rPr>
          <w:rFonts w:ascii="Arial" w:cs="Arial" w:eastAsia="Arial" w:hAnsi="Arial"/>
          <w:sz w:val="16"/>
          <w:szCs w:val="16"/>
          <w:color w:val="auto"/>
        </w:rPr>
        <w:t>The following discussion describes the material United States federal income tax consequences to a United States Holder (as defined below), under current law, of an investment in our ADSs. Such laws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57" w:lineRule="exact"/>
        <w:rPr>
          <w:sz w:val="20"/>
          <w:szCs w:val="20"/>
          <w:color w:val="auto"/>
        </w:rPr>
      </w:pPr>
    </w:p>
    <w:p>
      <w:pPr>
        <w:ind w:left="120" w:right="420" w:firstLine="991"/>
        <w:spacing w:after="0" w:line="286" w:lineRule="auto"/>
        <w:rPr>
          <w:sz w:val="20"/>
          <w:szCs w:val="20"/>
          <w:color w:val="auto"/>
        </w:rPr>
      </w:pPr>
      <w:r>
        <w:rPr>
          <w:rFonts w:ascii="Arial" w:cs="Arial" w:eastAsia="Arial" w:hAnsi="Arial"/>
          <w:sz w:val="17"/>
          <w:szCs w:val="17"/>
          <w:color w:val="auto"/>
        </w:rPr>
        <w:t>This discussion applies only to a United States Holder (as defined below) that holds ADSs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71"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brokers or dealers in stocks and securities,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who use or are required to use a mark-to-market method of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 subject to Section 877 of the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entities subject to the United States anti-inversion rules;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tax-exempt organizations and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United States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holding ADSs as part of a straddle, hedging, conversion or integrated transaction;</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total combined voting interest of all classes of our voting stock or 10% or more of the total value of shares of all classes of our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who acquired ADSs pursuant to the exercise of an employee stock option or otherwise as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partnerships or other pass-through entities, or persons holding ADSs through such entities; or</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person subject to special tax accounting rules as a result of any item of gross income with respect to ADSs being taken into account in an “applicable financial statement” (as defined in the Code).</w:t>
      </w:r>
    </w:p>
    <w:p>
      <w:pPr>
        <w:spacing w:after="0" w:line="170"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Except as described below under “— Information with Respect to Foreign Financial Assets,” this discussion does not address any reporting obligations that may be applicable to persons holding ADSs through a bank, financial institution or other entity, or a branch thereof, located, organized or resident outside the United States.</w:t>
      </w:r>
    </w:p>
    <w:p>
      <w:pPr>
        <w:spacing w:after="0" w:line="184" w:lineRule="exact"/>
        <w:rPr>
          <w:sz w:val="20"/>
          <w:szCs w:val="20"/>
          <w:color w:val="auto"/>
        </w:rPr>
      </w:pPr>
    </w:p>
    <w:p>
      <w:pPr>
        <w:jc w:val="both"/>
        <w:ind w:left="120" w:firstLine="991"/>
        <w:spacing w:after="0" w:line="311" w:lineRule="auto"/>
        <w:rPr>
          <w:sz w:val="20"/>
          <w:szCs w:val="20"/>
          <w:color w:val="auto"/>
        </w:rPr>
      </w:pPr>
      <w:r>
        <w:rPr>
          <w:rFonts w:ascii="Arial" w:cs="Arial" w:eastAsia="Arial" w:hAnsi="Arial"/>
          <w:sz w:val="16"/>
          <w:szCs w:val="16"/>
          <w:color w:val="auto"/>
        </w:rPr>
        <w:t>If a partnership (including an entity or arrangement treated as a partnership for United States federal income tax purposes) holds the ADSs, the tax treatment of a partner in the partnership generally will depend upon the status of the partner and the activities of the partnership. A partnership or partner in a partnership holding ADSs should consult its own tax advisors regarding the tax consequences of investing in and holding the ADSs.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86"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91"/>
        <w:spacing w:after="0" w:line="256" w:lineRule="auto"/>
        <w:rPr>
          <w:sz w:val="20"/>
          <w:szCs w:val="20"/>
          <w:color w:val="auto"/>
        </w:rPr>
      </w:pPr>
      <w:r>
        <w:rPr>
          <w:rFonts w:ascii="Arial" w:cs="Arial" w:eastAsia="Arial" w:hAnsi="Arial"/>
          <w:sz w:val="18"/>
          <w:szCs w:val="18"/>
          <w:b w:val="1"/>
          <w:bCs w:val="1"/>
          <w:color w:val="auto"/>
        </w:rPr>
        <w:t>THE FOLLOWING DISCUSSION IS FOR INFORMATION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THE ALTERNATIVE MINIMUM TAX, THE MEDICARE TAX ON NET INVESTMENT INCOME OR THE LAWS OF ANY STATE, LOCAL OR NON-UNITED STATES TAXING JURISDICTION OR UNDER ANY APPLICABLE TAX TREATY.</w:t>
      </w:r>
    </w:p>
    <w:p>
      <w:pPr>
        <w:spacing w:after="0" w:line="19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For purposes of the discussion below, a “United States Holder” is a beneficial owner of the ADSs that is, for United States federal income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purposes:</w:t>
      </w:r>
    </w:p>
    <w:p>
      <w:pPr>
        <w:spacing w:after="0" w:line="116"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30" w:lineRule="exact"/>
        <w:rPr>
          <w:rFonts w:ascii="Arial" w:cs="Arial" w:eastAsia="Arial" w:hAnsi="Arial"/>
          <w:sz w:val="18"/>
          <w:szCs w:val="18"/>
          <w:color w:val="auto"/>
        </w:rPr>
      </w:pPr>
    </w:p>
    <w:p>
      <w:pPr>
        <w:ind w:left="1080" w:right="20" w:hanging="424"/>
        <w:spacing w:after="0" w:line="311"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49"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jc w:val="both"/>
        <w:ind w:left="120" w:right="240" w:firstLine="991"/>
        <w:spacing w:after="0" w:line="263" w:lineRule="auto"/>
        <w:rPr>
          <w:sz w:val="20"/>
          <w:szCs w:val="20"/>
          <w:color w:val="auto"/>
        </w:rPr>
      </w:pPr>
      <w:r>
        <w:rPr>
          <w:rFonts w:ascii="Arial" w:cs="Arial" w:eastAsia="Arial" w:hAnsi="Arial"/>
          <w:sz w:val="18"/>
          <w:szCs w:val="18"/>
          <w:color w:val="auto"/>
        </w:rPr>
        <w:t>If you own our ADSs, then you should be treated as the owner of the underlying Class A ordinary shares represented by those ADSs for United States federal income tax purposes. Accordingly, deposits or withdrawals of Class A ordinary shares for ADSs should not be subject to United States federal income tax.</w:t>
      </w:r>
    </w:p>
    <w:p>
      <w:pPr>
        <w:spacing w:after="0" w:line="184" w:lineRule="exact"/>
        <w:rPr>
          <w:sz w:val="20"/>
          <w:szCs w:val="20"/>
          <w:color w:val="auto"/>
        </w:rPr>
      </w:pPr>
    </w:p>
    <w:p>
      <w:pPr>
        <w:ind w:left="120" w:right="20" w:firstLine="991"/>
        <w:spacing w:after="0" w:line="291" w:lineRule="auto"/>
        <w:rPr>
          <w:sz w:val="20"/>
          <w:szCs w:val="20"/>
          <w:color w:val="auto"/>
        </w:rPr>
      </w:pPr>
      <w:r>
        <w:rPr>
          <w:rFonts w:ascii="Arial" w:cs="Arial" w:eastAsia="Arial" w:hAnsi="Arial"/>
          <w:sz w:val="16"/>
          <w:szCs w:val="16"/>
          <w:color w:val="auto"/>
        </w:rPr>
        <w:t>The United States Treasury Department and the IRS have expressed concerns that United States holders of American depositary shares may be claiming foreign tax credits in situations where an intermediary in the chain of ownership between the holder of an American depositary share and the issuer of the security underlying the American depositary share has taken actions that are inconsistent with the ownership of the underlying security by the person claiming the credit. Such actions (for example, a pre-release of an ADS by a depositary) also may be inconsistent with the claiming of the reduced rate of tax applicable to certain dividends received by non-corporate United States holders of ADSs, including individual United States holders. Accordingly, the availability of foreign tax credits or the reduced tax rate for dividends received by non-corporate United States Holders, each discussed below, could be affected by actions taken by intermediaries in the chain of ownership between the holder of an ADS and our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Other Distributions on the ADSs</w:t>
      </w:r>
    </w:p>
    <w:p>
      <w:pPr>
        <w:spacing w:after="0" w:line="117" w:lineRule="exact"/>
        <w:rPr>
          <w:sz w:val="20"/>
          <w:szCs w:val="20"/>
          <w:color w:val="auto"/>
        </w:rPr>
      </w:pPr>
    </w:p>
    <w:p>
      <w:pPr>
        <w:ind w:left="120" w:right="280" w:firstLine="991"/>
        <w:spacing w:after="0" w:line="311" w:lineRule="auto"/>
        <w:rPr>
          <w:sz w:val="20"/>
          <w:szCs w:val="20"/>
          <w:color w:val="auto"/>
        </w:rPr>
      </w:pPr>
      <w:r>
        <w:rPr>
          <w:rFonts w:ascii="Arial" w:cs="Arial" w:eastAsia="Arial" w:hAnsi="Arial"/>
          <w:sz w:val="16"/>
          <w:szCs w:val="16"/>
          <w:color w:val="auto"/>
        </w:rPr>
        <w:t>Subject to the PFIC rules discussed below, the gross amount of any distribution that we make to you with respect to the ADSs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86"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depositary if you own ADSs.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dividends-received deduction allowed to qualifying corporations under the Code.</w:t>
      </w:r>
    </w:p>
    <w:p>
      <w:pPr>
        <w:spacing w:after="0" w:line="184" w:lineRule="exact"/>
        <w:rPr>
          <w:sz w:val="20"/>
          <w:szCs w:val="20"/>
          <w:color w:val="auto"/>
        </w:rPr>
      </w:pPr>
    </w:p>
    <w:p>
      <w:pPr>
        <w:ind w:left="120" w:right="40" w:firstLine="991"/>
        <w:spacing w:after="0" w:line="296" w:lineRule="auto"/>
        <w:rPr>
          <w:sz w:val="20"/>
          <w:szCs w:val="20"/>
          <w:color w:val="auto"/>
        </w:rPr>
      </w:pPr>
      <w:r>
        <w:rPr>
          <w:rFonts w:ascii="Arial" w:cs="Arial" w:eastAsia="Arial" w:hAnsi="Arial"/>
          <w:sz w:val="16"/>
          <w:szCs w:val="16"/>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with respect to dividends paid by that corporation on shares (or American depositary shares backed by such shares) that are readily tradable on an established securities market in the United States. However, a non-United States corporation will not be treated as a qualified foreign corporation if it is a PFIC in the taxable year in which the dividend is paid or the preceding taxable year.</w:t>
      </w:r>
    </w:p>
    <w:p>
      <w:pPr>
        <w:spacing w:after="0" w:line="161" w:lineRule="exact"/>
        <w:rPr>
          <w:sz w:val="20"/>
          <w:szCs w:val="20"/>
          <w:color w:val="auto"/>
        </w:rPr>
      </w:pPr>
    </w:p>
    <w:p>
      <w:pPr>
        <w:jc w:val="both"/>
        <w:ind w:left="120" w:right="120" w:firstLine="991"/>
        <w:spacing w:after="0" w:line="311" w:lineRule="auto"/>
        <w:rPr>
          <w:sz w:val="20"/>
          <w:szCs w:val="20"/>
          <w:color w:val="auto"/>
        </w:rPr>
      </w:pPr>
      <w:r>
        <w:rPr>
          <w:rFonts w:ascii="Arial" w:cs="Arial" w:eastAsia="Arial" w:hAnsi="Arial"/>
          <w:sz w:val="16"/>
          <w:szCs w:val="16"/>
          <w:color w:val="auto"/>
        </w:rPr>
        <w:t>Under a published IRS Notice, common or ordinary shares, or American depositary shares representing such shares, are considered to be readily tradable on an established securities market in the United States if they are listed on the New York Stock Exchange, as our ADSs are. Subject to the limitations described in the following paragraph, we believe that dividends we pay on our ADSs will be eligible for the reduced rates of taxation.</w:t>
      </w:r>
    </w:p>
    <w:p>
      <w:pPr>
        <w:spacing w:after="0" w:line="149" w:lineRule="exact"/>
        <w:rPr>
          <w:sz w:val="20"/>
          <w:szCs w:val="20"/>
          <w:color w:val="auto"/>
        </w:rPr>
      </w:pPr>
    </w:p>
    <w:p>
      <w:pPr>
        <w:ind w:left="120" w:right="160" w:firstLine="991"/>
        <w:spacing w:after="0" w:line="275" w:lineRule="auto"/>
        <w:rPr>
          <w:sz w:val="20"/>
          <w:szCs w:val="20"/>
          <w:color w:val="auto"/>
        </w:rPr>
      </w:pPr>
      <w:r>
        <w:rPr>
          <w:rFonts w:ascii="Arial" w:cs="Arial" w:eastAsia="Arial" w:hAnsi="Arial"/>
          <w:sz w:val="17"/>
          <w:szCs w:val="17"/>
          <w:color w:val="auto"/>
        </w:rPr>
        <w:t>Even if dividends were treated as paid by a qualified foreign corporation, a non-corporate United States Holder would not be eligible for reduced rates of taxation if either (i) it does not hold our ADSs for more than 60 days during the 121-day period beginning 60 days before the ex-dividend date or (ii) the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76" w:lineRule="exact"/>
        <w:rPr>
          <w:sz w:val="20"/>
          <w:szCs w:val="20"/>
          <w:color w:val="auto"/>
        </w:rPr>
      </w:pPr>
    </w:p>
    <w:p>
      <w:pPr>
        <w:ind w:left="120" w:right="140" w:firstLine="991"/>
        <w:spacing w:after="0" w:line="342" w:lineRule="auto"/>
        <w:rPr>
          <w:sz w:val="20"/>
          <w:szCs w:val="20"/>
          <w:color w:val="auto"/>
        </w:rPr>
      </w:pPr>
      <w:r>
        <w:rPr>
          <w:rFonts w:ascii="Arial" w:cs="Arial" w:eastAsia="Arial" w:hAnsi="Arial"/>
          <w:sz w:val="16"/>
          <w:szCs w:val="16"/>
          <w:color w:val="auto"/>
        </w:rPr>
        <w:t>You should consult your own tax advisors regarding the availability of the lower tax rates applicable to qualified dividend income for any dividends that we pay with respect to the ADSs, as well as the effect of any change in applicable law after the date of this annual report on Form 20-F.</w:t>
      </w:r>
    </w:p>
    <w:p>
      <w:pPr>
        <w:spacing w:after="0" w:line="124" w:lineRule="exact"/>
        <w:rPr>
          <w:sz w:val="20"/>
          <w:szCs w:val="20"/>
          <w:color w:val="auto"/>
        </w:rPr>
      </w:pPr>
    </w:p>
    <w:p>
      <w:pPr>
        <w:ind w:left="120" w:right="200" w:firstLine="991"/>
        <w:spacing w:after="0" w:line="311" w:lineRule="auto"/>
        <w:rPr>
          <w:sz w:val="20"/>
          <w:szCs w:val="20"/>
          <w:color w:val="auto"/>
        </w:rPr>
      </w:pPr>
      <w:r>
        <w:rPr>
          <w:rFonts w:ascii="Arial" w:cs="Arial" w:eastAsia="Arial" w:hAnsi="Arial"/>
          <w:sz w:val="16"/>
          <w:szCs w:val="16"/>
          <w:color w:val="auto"/>
        </w:rPr>
        <w:t>For purposes of calculating your foreign tax credit limitation, dividends paid to you with respect to the ADSs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Disposition of the ADSs</w:t>
      </w:r>
    </w:p>
    <w:p>
      <w:pPr>
        <w:spacing w:after="0" w:line="117"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You will recognize gain or loss on a sale or exchange of the ADSs in an amount equal to the difference between the amount realized on the sale or exchange and your tax basis in the ADSs. Subject to the discussion under “— Passive Foreign Investment Company” below, such gain or loss generally will be capital gain or loss. Capital gains of a non-corporate United States Holder, including an individual, that has held the ADS for more than one year currently are eligible for reduced tax rates. The deductibility of capital losses is subject to limitations.</w:t>
      </w:r>
    </w:p>
    <w:p>
      <w:pPr>
        <w:spacing w:after="0" w:line="171" w:lineRule="exact"/>
        <w:rPr>
          <w:sz w:val="20"/>
          <w:szCs w:val="20"/>
          <w:color w:val="auto"/>
        </w:rPr>
      </w:pPr>
    </w:p>
    <w:p>
      <w:pPr>
        <w:ind w:left="120" w:right="480" w:firstLine="991"/>
        <w:spacing w:after="0" w:line="277" w:lineRule="auto"/>
        <w:rPr>
          <w:sz w:val="20"/>
          <w:szCs w:val="20"/>
          <w:color w:val="auto"/>
        </w:rPr>
      </w:pPr>
      <w:r>
        <w:rPr>
          <w:rFonts w:ascii="Arial" w:cs="Arial" w:eastAsia="Arial" w:hAnsi="Arial"/>
          <w:sz w:val="18"/>
          <w:szCs w:val="18"/>
          <w:color w:val="auto"/>
        </w:rPr>
        <w:t>Any gain or loss that you recognize on a disposition of the ADSs generally will be treated as United States-source income or loss for foreign tax credit limitation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ind w:left="120" w:right="380" w:firstLine="991"/>
        <w:spacing w:after="0" w:line="277" w:lineRule="auto"/>
        <w:rPr>
          <w:sz w:val="20"/>
          <w:szCs w:val="20"/>
          <w:color w:val="auto"/>
        </w:rPr>
      </w:pPr>
      <w:r>
        <w:rPr>
          <w:rFonts w:ascii="Arial" w:cs="Arial" w:eastAsia="Arial" w:hAnsi="Arial"/>
          <w:sz w:val="18"/>
          <w:szCs w:val="18"/>
          <w:color w:val="auto"/>
        </w:rPr>
        <w:t>Based on the value of our assets and the composition of our income and assets, we do not believe we were a PFIC for our taxable year ended December 31, 2020. However, the determination of PFIC status involves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86"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extensive factual investigation, including ascertaining the fair market value of all of our assets on a quarterly basis and the character of each item of income that we earn, and is subject to uncertainty in several respects. Changes in the composition of our income or assets or the value of our assets may cause us to become a PFIC. The determination of the value of our assets may depend in part upon the value of our goodwill not reflected on our balance sheet (which may depend upon the market value of the ADSs from time to time, which may be volatile). Accordingly, we cannot assure you that we will not be a PFIC for our current taxable year ending December 31, 2020, or for any future taxable year. Our United States tax counsel therefore expresses no opinion with respect to our PFIC status for any taxable year or our beliefs and expectations relating to such status set forth in this discussion.</w:t>
      </w:r>
    </w:p>
    <w:p>
      <w:pPr>
        <w:spacing w:after="0" w:line="164"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A non-United States corporation such as ourselves will be treated as a PFIC for United States federal income tax purposes for any taxable year if, applying applicable look-through rules, either:</w:t>
      </w:r>
    </w:p>
    <w:p>
      <w:pPr>
        <w:spacing w:after="0" w:line="76"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or</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least 50% of the value of its assets (determined based on a quarterly average) during such year is attributable to assets that produce or are held for the production of passive income.</w:t>
      </w:r>
    </w:p>
    <w:p>
      <w:pPr>
        <w:spacing w:after="0" w:line="170"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For this purpose, passive income generally includes dividends, interest,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more than 25% by value of the stock.</w:t>
      </w:r>
    </w:p>
    <w:p>
      <w:pPr>
        <w:spacing w:after="0" w:line="149"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If we were a PFIC for any taxable year during which you hold ADSs, then, unless you make a “mark-to-market” election (as discussed below), you generally would be subject to special adverse tax rules with respect to any “excess distribution” that you receive from us and any gain that you recognize from a sale or other disposition, including, in certain circumstances, a pledge, of ADSs. For this purpose, distributions that you receive in a taxable year that are greater than 125% of the average annual distributions that you received during the shorter of the three preceding taxable years or your holding period for the ADSs will be treated as an excess distribution. Under these rules:</w:t>
      </w:r>
    </w:p>
    <w:p>
      <w:pPr>
        <w:spacing w:after="0" w:line="82"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excess distribution or recognized gain would be allocated ratably over your holding period for the ADSs;</w:t>
      </w:r>
    </w:p>
    <w:p>
      <w:pPr>
        <w:spacing w:after="0" w:line="130"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amount of the excess distribution or recognized gain allocated to the taxable year of distribution or gain, and to any taxable years in your holding period prior to the first taxable year in which we were treated as a PFIC, would be treated as ordinary income; and</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184"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If we were a PFIC for any taxable year during which you hold ADSs and any of our non-United States subsidiaries or other corporate entities in which we own equity interests is also a PFIC, you would be treated as 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w:t>
      </w:r>
    </w:p>
    <w:p>
      <w:pPr>
        <w:spacing w:after="0" w:line="187"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If we were a PFIC for any taxable year during which you hold ADSs, then in lieu of being subject to the tax and interest-charge rules discussed above, you may make an election to include gain on our ADSs as ordinary income under a mark-to-market method, provided that our ADSs constitute “marketable stock.” Marketable stock is stock that is regularly traded on a qualified exchange or other market, as defined in applicable Treasury regulations. Our ADSs, but not our ordinary shares, are listed on the New York Stock Exchange, which is a qualified exchange or other market for these purposes.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86"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91"/>
        <w:spacing w:after="0" w:line="342" w:lineRule="auto"/>
        <w:rPr>
          <w:sz w:val="20"/>
          <w:szCs w:val="20"/>
          <w:color w:val="auto"/>
        </w:rPr>
      </w:pPr>
      <w:r>
        <w:rPr>
          <w:rFonts w:ascii="Arial" w:cs="Arial" w:eastAsia="Arial" w:hAnsi="Arial"/>
          <w:sz w:val="16"/>
          <w:szCs w:val="16"/>
          <w:color w:val="auto"/>
        </w:rPr>
        <w:t>Consequently, if the ADSs continue to be listed on the New York Stock Exchange and are regularly traded, and you are a holder of ADSs, we expect that the mark-to-market election would be available to you if we were to become a PFIC, but no assurances are given in this regard.</w:t>
      </w:r>
    </w:p>
    <w:p>
      <w:pPr>
        <w:spacing w:after="0" w:line="124"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If you make an effective mark-to-market election, for each taxable year that we are a PFIC, you will include as ordinary income the excess of the fair market value of your ADSs at the end of the year over your adjusted basis in the ADSs. You will be entitled to deduct as an ordinary loss in each such year the excess of your adjusted basis in the ADSs over their fair market value at the end of the year, but only to the extent of the net amount previously included in income as a result of the mark-to-market election.</w:t>
      </w:r>
    </w:p>
    <w:p>
      <w:pPr>
        <w:spacing w:after="0" w:line="187"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If you make an effective mark-to-market election, any gain you recognize upon the sale or other disposition of your ADSs in a year that we are a PFIC will be treated as ordinary income and any loss will be treated as ordinary loss, but only to the extent of the net amount previously included in income as a result of the mark-to-market election.</w:t>
      </w:r>
    </w:p>
    <w:p>
      <w:pPr>
        <w:spacing w:after="0" w:line="184" w:lineRule="exact"/>
        <w:rPr>
          <w:sz w:val="20"/>
          <w:szCs w:val="20"/>
          <w:color w:val="auto"/>
        </w:rPr>
      </w:pPr>
    </w:p>
    <w:p>
      <w:pPr>
        <w:ind w:left="120" w:right="220" w:firstLine="991"/>
        <w:spacing w:after="0" w:line="259" w:lineRule="auto"/>
        <w:rPr>
          <w:sz w:val="20"/>
          <w:szCs w:val="20"/>
          <w:color w:val="auto"/>
        </w:rPr>
      </w:pPr>
      <w:r>
        <w:rPr>
          <w:rFonts w:ascii="Arial" w:cs="Arial" w:eastAsia="Arial" w:hAnsi="Arial"/>
          <w:sz w:val="18"/>
          <w:szCs w:val="18"/>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87" w:lineRule="exact"/>
        <w:rPr>
          <w:sz w:val="20"/>
          <w:szCs w:val="20"/>
          <w:color w:val="auto"/>
        </w:rPr>
      </w:pPr>
    </w:p>
    <w:p>
      <w:pPr>
        <w:ind w:left="120" w:right="280" w:firstLine="991"/>
        <w:spacing w:after="0" w:line="257" w:lineRule="auto"/>
        <w:rPr>
          <w:sz w:val="20"/>
          <w:szCs w:val="20"/>
          <w:color w:val="auto"/>
        </w:rPr>
      </w:pPr>
      <w:r>
        <w:rPr>
          <w:rFonts w:ascii="Arial" w:cs="Arial" w:eastAsia="Arial" w:hAnsi="Arial"/>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only if we agree to furnish you annually with a PFIC annual information statement as specified in the applicable Treasury regulations. There is no assurance that we will provide such information that would enable you to make a qualified electing fund election.</w:t>
      </w:r>
    </w:p>
    <w:p>
      <w:pPr>
        <w:spacing w:after="0" w:line="188"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A United States Holder that holds the ADSs in any year in which we were a PFIC would be required to file an annual report containing such information as the United States Treasury Department may require.</w:t>
      </w:r>
    </w:p>
    <w:p>
      <w:pPr>
        <w:spacing w:after="0" w:line="170"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You should consult your own tax advisor regarding the application of the PFIC rules to your ownership and disposition of the ADSs and the availability, application and consequences of the elections discussed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20" w:firstLine="991"/>
        <w:spacing w:after="0" w:line="293" w:lineRule="auto"/>
        <w:rPr>
          <w:sz w:val="20"/>
          <w:szCs w:val="20"/>
          <w:color w:val="auto"/>
        </w:rPr>
      </w:pPr>
      <w:r>
        <w:rPr>
          <w:rFonts w:ascii="Arial" w:cs="Arial" w:eastAsia="Arial" w:hAnsi="Arial"/>
          <w:sz w:val="16"/>
          <w:szCs w:val="16"/>
          <w:color w:val="auto"/>
        </w:rPr>
        <w:t>Information reporting to the IRS and backup withholding generally will apply to dividends in respect of our ADSs, and the proceeds from the sale or exchange of our ADSs,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United States Holders should consult their tax advisors regarding the application of the information reporting and backup withholding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rules.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United States Holders who are individuals (and certain entities closely held by individuals) generally will be required to report our name, address and such information relating to an interest in the ADSs as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86"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necessary to identify the class or issue of which the ADSs are a part. These requirements are subject to exceptions, including an exception for ADSs held in accounts maintained by certain financial institutions and an exception applicable if the aggregate value of all “specified foreign financial assets” (as defined in the Code) does not exceed US$50,000.</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United States Holders should consult their tax advisors regarding the application of these information reporting rules.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 DIVIDENDS AND PAYING AGENTS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76" w:lineRule="exact"/>
        <w:rPr>
          <w:sz w:val="20"/>
          <w:szCs w:val="20"/>
          <w:color w:val="auto"/>
        </w:rPr>
      </w:pPr>
    </w:p>
    <w:p>
      <w:pPr>
        <w:ind w:left="120" w:right="60" w:firstLine="991"/>
        <w:spacing w:after="0" w:line="279" w:lineRule="auto"/>
        <w:rPr>
          <w:sz w:val="20"/>
          <w:szCs w:val="20"/>
          <w:color w:val="auto"/>
        </w:rPr>
      </w:pPr>
      <w:r>
        <w:rPr>
          <w:rFonts w:ascii="Arial" w:cs="Arial" w:eastAsia="Arial" w:hAnsi="Arial"/>
          <w:sz w:val="17"/>
          <w:szCs w:val="17"/>
          <w:color w:val="auto"/>
        </w:rPr>
        <w:t>Copies of reports and other information, when so filed, may be inspected without charge at the SEC’s Public Reference Room at 100 F Street, N.E.,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spacing w:after="0" w:line="17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4"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Our financial statements have been prepared in accordance with U.S. GAAP. Our annual reports will include a review of operations and annual audited consolidated financial statements prepared in conformity with U.S. GAAP.</w:t>
      </w:r>
    </w:p>
    <w:p>
      <w:pPr>
        <w:spacing w:after="0" w:line="170"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 xml:space="preserve">In accordance with NYSE Rule 203.01, we will post this annual report on our website </w:t>
      </w:r>
      <w:r>
        <w:rPr>
          <w:rFonts w:ascii="Arial" w:cs="Arial" w:eastAsia="Arial" w:hAnsi="Arial"/>
          <w:sz w:val="18"/>
          <w:szCs w:val="18"/>
          <w:i w:val="1"/>
          <w:iCs w:val="1"/>
          <w:color w:val="auto"/>
        </w:rPr>
        <w:t>www.studiocity-macau.com</w:t>
      </w:r>
      <w:r>
        <w:rPr>
          <w:rFonts w:ascii="Arial" w:cs="Arial" w:eastAsia="Arial" w:hAnsi="Arial"/>
          <w:sz w:val="18"/>
          <w:szCs w:val="18"/>
          <w:color w:val="auto"/>
        </w:rPr>
        <w:t>. In addition, we will provide hardcopies of our annual report to shareholders, including ADS holders, free of charge upon request.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 SUBSIDIARY INFORMATION</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86"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Market risk is the risk of losses arising from adverse changes in market rates and prices, such as interest rates, foreign currency exchange rates and commodity prices. We believe our and our subsidiaries’ primary exposure to market risk will be foreign exchange risk associated with our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Our exposure to foreign exchange rate risk is associated with the currency of our operations and the presentation of our consolidated financial statements in U.S. Dollars. The majority of our revenues are denominated in Hong Kong Dollars, since the Hong Kong Dollar is the predominant currency used in Macau and is often used interchangeably with Patacas, while our expenses are denominated predominantly in Patacas and Hong Kong Dollars. A significant portion of our indebtedness as a result of the 2024 Notes, 2025 Notes, 2028 Notes and 2029 Notes and the costs associated with servicing and repaying such debts are denominated in U.S. Dollars. In addition, the 2028 Studio City Senior Secured Credit Facility and the costs associated with servicing and repaying such debt are denominated in Hong Kong Dollars. The Hong Kong Dollar is pegged to the U.S. Dollar within a narrow range and the Pataca is in turn pegged to the Hong Kong Dollar, and the exchange rates between these currencies have remained relatively stable over the past several years. However, we cannot assure you that the current peg or linkages between the U.S. Dollar, Hong Kong Dollar and Pataca will not be de-pegged, de-linked or modified and subjected to fluctuation as such exchange rates may be affected by, among other things, changes in political and economic conditions.</w:t>
      </w:r>
    </w:p>
    <w:p>
      <w:pPr>
        <w:spacing w:after="0" w:line="185"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Major currencies in which our cash and bank balances (including restricted cash) were held as of December 31, 2020 included U.S. Dollars, Hong Kong Dollars and Patacas. Based on the cash and bank balances as of December 31, 2020, an assumed 1% change in the exchange rates between currencies other than U.S. Dollars against the U.S. Dollar would cause a maximum foreign transaction gain or loss of approximately US$1.0 million for the year ended December 31, 2020.</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To date, we have not entered into any hedging transactions in an effort to reduce our exposure to foreign currency exchange risk.</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ind w:left="120" w:right="200" w:firstLine="991"/>
        <w:spacing w:after="0" w:line="279" w:lineRule="auto"/>
        <w:rPr>
          <w:sz w:val="20"/>
          <w:szCs w:val="20"/>
          <w:color w:val="auto"/>
        </w:rPr>
      </w:pPr>
      <w:r>
        <w:rPr>
          <w:rFonts w:ascii="Arial" w:cs="Arial" w:eastAsia="Arial" w:hAnsi="Arial"/>
          <w:sz w:val="17"/>
          <w:szCs w:val="17"/>
          <w:color w:val="auto"/>
        </w:rPr>
        <w:t>We generated all of our revenues from our operations in Macau in 2020, 2019 and 2018. Inflation did not have a material impact on our results of operations. According to the Statistics and Census Services of the Macau government, inflation as measured by the consumer price index in Macau was 0.81%, 2.75% and 3.01% in 2020, 2019 and 2018, respectively. Although we have not been materially affected by inflation since our inception, we can provide no assurance that we will not be affected in the future by higher rates of inflation in Macau.</w:t>
      </w:r>
    </w:p>
    <w:p>
      <w:pPr>
        <w:spacing w:after="0" w:line="31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DEBT SECURITIES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 WARRANTS AND RIGHTS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86"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 OTHER SECURITIES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 AMERICAN DEPOSITARY SHARES</w:t>
      </w:r>
    </w:p>
    <w:p>
      <w:pPr>
        <w:spacing w:after="0" w:line="229" w:lineRule="exact"/>
        <w:rPr>
          <w:sz w:val="20"/>
          <w:szCs w:val="20"/>
          <w:color w:val="auto"/>
        </w:rPr>
      </w:pPr>
    </w:p>
    <w:p>
      <w:pPr>
        <w:ind w:left="120" w:right="300" w:firstLine="991"/>
        <w:spacing w:after="0" w:line="263" w:lineRule="auto"/>
        <w:rPr>
          <w:sz w:val="20"/>
          <w:szCs w:val="20"/>
          <w:color w:val="auto"/>
        </w:rPr>
      </w:pPr>
      <w:r>
        <w:rPr>
          <w:rFonts w:ascii="Arial" w:cs="Arial" w:eastAsia="Arial" w:hAnsi="Arial"/>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Service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Fees</w:t>
            </w:r>
          </w:p>
        </w:tc>
      </w:tr>
      <w:tr>
        <w:trPr>
          <w:trHeight w:val="195"/>
        </w:trPr>
        <w:tc>
          <w:tcPr>
            <w:tcW w:w="5620" w:type="dxa"/>
            <w:vAlign w:val="bottom"/>
          </w:tcPr>
          <w:p>
            <w:pPr>
              <w:ind w:left="80"/>
              <w:spacing w:after="0" w:line="195" w:lineRule="exact"/>
              <w:rPr>
                <w:sz w:val="20"/>
                <w:szCs w:val="20"/>
                <w:color w:val="auto"/>
              </w:rPr>
            </w:pPr>
            <w:r>
              <w:rPr>
                <w:rFonts w:ascii="Arial" w:cs="Arial" w:eastAsia="Arial" w:hAnsi="Arial"/>
                <w:sz w:val="18"/>
                <w:szCs w:val="18"/>
                <w:color w:val="auto"/>
                <w:w w:val="98"/>
              </w:rPr>
              <w:t>•  To any person to which ADSs are issued or to any person to which a</w:t>
            </w:r>
          </w:p>
        </w:tc>
        <w:tc>
          <w:tcPr>
            <w:tcW w:w="2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Up to US$0.05 per ADS issued</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w w:val="96"/>
              </w:rPr>
              <w:t>distribution is made in respect of ADS distributions pursuant to stock</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w w:val="93"/>
              </w:rPr>
              <w:t>dividends or other free distributions of stock, bonus distributions, stock</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splits or other distributions (except where converted to cash)</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w w:val="97"/>
              </w:rPr>
              <w:t>•  Cancelation of ADSs, including the case of termination of the deposit</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canceled</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agreement</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5620" w:type="dxa"/>
            <w:vAlign w:val="bottom"/>
          </w:tcPr>
          <w:p>
            <w:pPr>
              <w:ind w:left="80"/>
              <w:spacing w:after="0"/>
              <w:rPr>
                <w:sz w:val="20"/>
                <w:szCs w:val="20"/>
                <w:color w:val="auto"/>
              </w:rPr>
            </w:pPr>
            <w:r>
              <w:rPr>
                <w:rFonts w:ascii="Arial" w:cs="Arial" w:eastAsia="Arial" w:hAnsi="Arial"/>
                <w:sz w:val="18"/>
                <w:szCs w:val="18"/>
                <w:color w:val="auto"/>
              </w:rPr>
              <w:t>•  Distribution of cash dividends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w w:val="93"/>
              </w:rPr>
              <w:t>•  Distribution of cash entitlements (other than cash dividends) and/or cash</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proceeds from the sale of rights, securities and other entitlements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5620" w:type="dxa"/>
            <w:vAlign w:val="bottom"/>
          </w:tcPr>
          <w:p>
            <w:pPr>
              <w:ind w:left="80"/>
              <w:spacing w:after="0"/>
              <w:rPr>
                <w:sz w:val="20"/>
                <w:szCs w:val="20"/>
                <w:color w:val="auto"/>
              </w:rPr>
            </w:pPr>
            <w:r>
              <w:rPr>
                <w:rFonts w:ascii="Arial" w:cs="Arial" w:eastAsia="Arial" w:hAnsi="Arial"/>
                <w:sz w:val="18"/>
                <w:szCs w:val="18"/>
                <w:color w:val="auto"/>
              </w:rPr>
              <w:t>•  Distribution of ADSs pursuant to exercise of rights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rPr>
              <w:t>•  Distribution of securities other than ADSs or rights to purchase</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additional ADSs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rPr>
              <w:t>•  Depositary services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 on the applicable record date(s)</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established by the depositary bank</w:t>
            </w:r>
          </w:p>
        </w:tc>
      </w:tr>
    </w:tbl>
    <w:p>
      <w:pPr>
        <w:spacing w:after="0" w:line="202" w:lineRule="exact"/>
        <w:rPr>
          <w:sz w:val="20"/>
          <w:szCs w:val="20"/>
          <w:color w:val="auto"/>
        </w:rPr>
      </w:pPr>
    </w:p>
    <w:p>
      <w:pPr>
        <w:ind w:left="120" w:right="380" w:firstLine="991"/>
        <w:spacing w:after="0" w:line="263"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9" w:lineRule="exact"/>
        <w:rPr>
          <w:sz w:val="20"/>
          <w:szCs w:val="20"/>
          <w:color w:val="auto"/>
        </w:rPr>
      </w:pPr>
    </w:p>
    <w:p>
      <w:pPr>
        <w:ind w:left="1080" w:right="14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Class A ordinary shares on deposit.</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Class A ordinary shares, deposited securities, ADSs and ADRs.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86"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The depositary fees payable upon the issuance and cancelation of ADSs are typically paid to the depositary bank by the brokers (on behalf of their clients) receiving the newly issued ADSs from the depositary bank and by the brokers (on behalf of their clients) delivering the ADSs to the depositary bank for cancelation.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8" w:lineRule="exact"/>
        <w:rPr>
          <w:sz w:val="20"/>
          <w:szCs w:val="20"/>
          <w:color w:val="auto"/>
        </w:rPr>
      </w:pPr>
    </w:p>
    <w:p>
      <w:pPr>
        <w:ind w:left="120" w:firstLine="1432"/>
        <w:spacing w:after="0" w:line="254" w:lineRule="auto"/>
        <w:rPr>
          <w:sz w:val="20"/>
          <w:szCs w:val="20"/>
          <w:color w:val="auto"/>
        </w:rPr>
      </w:pPr>
      <w:r>
        <w:rPr>
          <w:rFonts w:ascii="Arial" w:cs="Arial" w:eastAsia="Arial" w:hAnsi="Arial"/>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The Depository Trust Company, or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ind w:left="120" w:right="180" w:firstLine="991"/>
        <w:spacing w:after="0" w:line="308" w:lineRule="auto"/>
        <w:rPr>
          <w:sz w:val="20"/>
          <w:szCs w:val="20"/>
          <w:color w:val="auto"/>
        </w:rPr>
      </w:pPr>
      <w:r>
        <w:rPr>
          <w:rFonts w:ascii="Arial" w:cs="Arial" w:eastAsia="Arial" w:hAnsi="Arial"/>
          <w:sz w:val="17"/>
          <w:szCs w:val="17"/>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46" w:lineRule="exact"/>
        <w:rPr>
          <w:sz w:val="20"/>
          <w:szCs w:val="20"/>
          <w:color w:val="auto"/>
        </w:rPr>
      </w:pPr>
    </w:p>
    <w:p>
      <w:pPr>
        <w:ind w:left="120" w:right="240" w:firstLine="991"/>
        <w:spacing w:after="0" w:line="342" w:lineRule="auto"/>
        <w:rPr>
          <w:sz w:val="20"/>
          <w:szCs w:val="20"/>
          <w:color w:val="auto"/>
        </w:rPr>
      </w:pPr>
      <w:r>
        <w:rPr>
          <w:rFonts w:ascii="Arial" w:cs="Arial" w:eastAsia="Arial" w:hAnsi="Arial"/>
          <w:sz w:val="16"/>
          <w:szCs w:val="16"/>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2020, we did not receive any fees or other payments from the depositary.</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DEFAULTS, DIVIDEND ARREARAGES AND DELINQUENCIES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See “Item 7. Major Shareholders and Related Party Transactions — B. Related Party Transactions — Pre-IPO Organizational Transactions.”</w:t>
      </w:r>
    </w:p>
    <w:p>
      <w:pPr>
        <w:spacing w:after="0" w:line="38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20" w:right="360" w:firstLine="991"/>
        <w:spacing w:after="0" w:line="291" w:lineRule="auto"/>
        <w:rPr>
          <w:sz w:val="20"/>
          <w:szCs w:val="20"/>
          <w:color w:val="auto"/>
        </w:rPr>
      </w:pPr>
      <w:r>
        <w:rPr>
          <w:rFonts w:ascii="Arial" w:cs="Arial" w:eastAsia="Arial" w:hAnsi="Arial"/>
          <w:sz w:val="16"/>
          <w:szCs w:val="16"/>
          <w:color w:val="auto"/>
        </w:rPr>
        <w:t>As of the end of the period covered by this annual report, our management, with the participation of our property general manager and chief financial officer, has performed an evaluation of the effectiveness of our disclosure controls and procedures within the meaning</w:t>
      </w:r>
    </w:p>
    <w:p>
      <w:pPr>
        <w:jc w:val="both"/>
        <w:ind w:left="120" w:right="220"/>
        <w:spacing w:after="0" w:line="255" w:lineRule="auto"/>
        <w:rPr>
          <w:sz w:val="20"/>
          <w:szCs w:val="20"/>
          <w:color w:val="auto"/>
        </w:rPr>
      </w:pPr>
      <w:r>
        <w:rPr>
          <w:rFonts w:ascii="Arial" w:cs="Arial" w:eastAsia="Arial" w:hAnsi="Arial"/>
          <w:sz w:val="18"/>
          <w:szCs w:val="18"/>
          <w:color w:val="auto"/>
        </w:rPr>
        <w:t>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86"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cost-benefit relationship of possible controls and procedures. Based upon that evaluation, our property general manager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property general manager and chief financial officer, to allow timely decisions regarding required disclosure.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Our Company’s management is responsible for establishing and maintaining adequate internal control over financial reporting, as defined in Rules 13a-15(f) and 15d-15(f) of the Exchange Act.</w:t>
      </w:r>
    </w:p>
    <w:p>
      <w:pPr>
        <w:spacing w:after="0" w:line="170"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89" w:lineRule="exact"/>
        <w:rPr>
          <w:sz w:val="20"/>
          <w:szCs w:val="20"/>
          <w:color w:val="auto"/>
        </w:rPr>
      </w:pPr>
    </w:p>
    <w:p>
      <w:pPr>
        <w:ind w:left="1080" w:right="620" w:hanging="532"/>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Company’s assets;</w:t>
      </w:r>
    </w:p>
    <w:p>
      <w:pPr>
        <w:spacing w:after="0" w:line="75"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89"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Company’s assets that could have a material effect on the financial statements.</w:t>
      </w:r>
    </w:p>
    <w:p>
      <w:pPr>
        <w:spacing w:after="0" w:line="170"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right="320" w:firstLine="991"/>
        <w:spacing w:after="0" w:line="263" w:lineRule="auto"/>
        <w:rPr>
          <w:sz w:val="20"/>
          <w:szCs w:val="20"/>
          <w:color w:val="auto"/>
        </w:rPr>
      </w:pPr>
      <w:r>
        <w:rPr>
          <w:rFonts w:ascii="Arial" w:cs="Arial" w:eastAsia="Arial" w:hAnsi="Arial"/>
          <w:sz w:val="18"/>
          <w:szCs w:val="18"/>
          <w:color w:val="auto"/>
        </w:rPr>
        <w:t xml:space="preserve">Our Company’s management assessed the effectiveness of our Company’s internal control over financial reporting as of December 31, 2020. In making this assessment, our Company’s management used the framework set forth by the Committee of Sponsoring Organizations of the Treadway Commission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w:t>
      </w:r>
    </w:p>
    <w:p>
      <w:pPr>
        <w:spacing w:after="0" w:line="184" w:lineRule="exact"/>
        <w:rPr>
          <w:sz w:val="20"/>
          <w:szCs w:val="20"/>
          <w:color w:val="auto"/>
        </w:rPr>
      </w:pPr>
    </w:p>
    <w:p>
      <w:pPr>
        <w:jc w:val="both"/>
        <w:ind w:left="120" w:right="40" w:firstLine="991"/>
        <w:spacing w:after="0" w:line="263" w:lineRule="auto"/>
        <w:rPr>
          <w:sz w:val="20"/>
          <w:szCs w:val="20"/>
          <w:color w:val="auto"/>
        </w:rPr>
      </w:pPr>
      <w:r>
        <w:rPr>
          <w:rFonts w:ascii="Arial" w:cs="Arial" w:eastAsia="Arial" w:hAnsi="Arial"/>
          <w:sz w:val="18"/>
          <w:szCs w:val="18"/>
          <w:color w:val="auto"/>
        </w:rPr>
        <w:t xml:space="preserve">Based on this assessment, management concluded that, as of December 31, 2020, our Company’s internal control over financial reporting is effective based on the framework set forth by Committee of Sponsoring Organizations of the Treadway Commission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120" w:right="540" w:firstLine="991"/>
        <w:spacing w:after="0" w:line="277" w:lineRule="auto"/>
        <w:rPr>
          <w:sz w:val="20"/>
          <w:szCs w:val="20"/>
          <w:color w:val="auto"/>
        </w:rPr>
      </w:pPr>
      <w:r>
        <w:rPr>
          <w:rFonts w:ascii="Arial" w:cs="Arial" w:eastAsia="Arial" w:hAnsi="Arial"/>
          <w:sz w:val="18"/>
          <w:szCs w:val="18"/>
          <w:color w:val="auto"/>
        </w:rPr>
        <w:t>The effectiveness of our Company’s internal control over financial reporting as of December 31, 2020, has been audited by Ernst &amp; Young, an independent registered public accounting firm, as stated in their report which appears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There were no changes in our Company’s internal control over financial reporting (as such term is defined in Rules 13a-15(f) and 15d-15(f) under the Exchange Act) during the year ended December 31, 2020 that have materially affected, or are reasonably likely to materially affect, our Company’s internal control over financial reporting.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86"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121" w:lineRule="exact"/>
        <w:rPr>
          <w:sz w:val="20"/>
          <w:szCs w:val="20"/>
          <w:color w:val="auto"/>
        </w:rPr>
      </w:pPr>
    </w:p>
    <w:p>
      <w:pPr>
        <w:ind w:left="120" w:right="80" w:firstLine="991"/>
        <w:spacing w:after="0" w:line="286" w:lineRule="auto"/>
        <w:rPr>
          <w:sz w:val="20"/>
          <w:szCs w:val="20"/>
          <w:color w:val="auto"/>
        </w:rPr>
      </w:pPr>
      <w:r>
        <w:rPr>
          <w:rFonts w:ascii="Arial" w:cs="Arial" w:eastAsia="Arial" w:hAnsi="Arial"/>
          <w:sz w:val="17"/>
          <w:szCs w:val="17"/>
          <w:color w:val="auto"/>
        </w:rPr>
        <w:t>Our board has determined that Mr. Kevin F. Sullivan qualifies as “audit committee financial expert” as defined in Item 16A of Form 20-F. Each of the members of our audit and risk committee satisfies the “independence” requirements of Section 303A of the New York Stock Exchange Listed Company Manual and Rule 10A-3 under the Exchange Act. See “Item 6. Directors, Senior Management and Employees.”</w:t>
      </w:r>
    </w:p>
    <w:p>
      <w:pPr>
        <w:spacing w:after="0" w:line="31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16B.</w:t>
        <w:tab/>
        <w:t>CODE OF ETHICS</w:t>
      </w:r>
    </w:p>
    <w:p>
      <w:pPr>
        <w:spacing w:after="0" w:line="121" w:lineRule="exact"/>
        <w:rPr>
          <w:sz w:val="20"/>
          <w:szCs w:val="20"/>
          <w:color w:val="auto"/>
        </w:rPr>
      </w:pPr>
    </w:p>
    <w:p>
      <w:pPr>
        <w:ind w:left="120" w:right="220" w:firstLine="991"/>
        <w:spacing w:after="0" w:line="296" w:lineRule="auto"/>
        <w:rPr>
          <w:sz w:val="20"/>
          <w:szCs w:val="20"/>
          <w:color w:val="auto"/>
        </w:rPr>
      </w:pPr>
      <w:r>
        <w:rPr>
          <w:rFonts w:ascii="Arial" w:cs="Arial" w:eastAsia="Arial" w:hAnsi="Arial"/>
          <w:sz w:val="16"/>
          <w:szCs w:val="16"/>
          <w:color w:val="auto"/>
        </w:rPr>
        <w:t xml:space="preserve">Our board has adopted a code of business conduct and ethics that applies to our directors, officers, employees and agents, including our property general manager, chief financial officer and any other persons who perform similar functions for us. The code of business conduct was last amended on December 8, 2020 to include additional guidelines relating to workplace health and safety. We have posted our current code of business conduct and ethics on our website at </w:t>
      </w:r>
      <w:r>
        <w:rPr>
          <w:rFonts w:ascii="Arial" w:cs="Arial" w:eastAsia="Arial" w:hAnsi="Arial"/>
          <w:sz w:val="16"/>
          <w:szCs w:val="16"/>
          <w:i w:val="1"/>
          <w:iCs w:val="1"/>
          <w:color w:val="auto"/>
        </w:rPr>
        <w:t>www.studiocity-macau.com</w:t>
      </w:r>
      <w:r>
        <w:rPr>
          <w:rFonts w:ascii="Arial" w:cs="Arial" w:eastAsia="Arial" w:hAnsi="Arial"/>
          <w:sz w:val="16"/>
          <w:szCs w:val="16"/>
          <w:color w:val="auto"/>
        </w:rPr>
        <w:t>. We hereby undertake to provide to any person without charge, a copy of our code of business conduct and ethics within ten working days after we receive such person’s written request.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left="120" w:firstLine="991"/>
        <w:spacing w:after="0" w:line="308" w:lineRule="auto"/>
        <w:rPr>
          <w:sz w:val="20"/>
          <w:szCs w:val="20"/>
          <w:color w:val="auto"/>
        </w:rPr>
      </w:pPr>
      <w:r>
        <w:rPr>
          <w:rFonts w:ascii="Arial" w:cs="Arial" w:eastAsia="Arial" w:hAnsi="Arial"/>
          <w:sz w:val="17"/>
          <w:szCs w:val="17"/>
          <w:color w:val="auto"/>
        </w:rPr>
        <w:t>The following table sets forth the aggregate fees by categories specified below in connection with certain professional services rendered by our principal external auditors, for the years indicated. We did not pay any other fees to our auditor during the years indicated below.</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left="78"/>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6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w w:val="96"/>
              </w:rPr>
              <w:t>2020</w:t>
            </w:r>
          </w:p>
        </w:tc>
        <w:tc>
          <w:tcPr>
            <w:tcW w:w="118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r>
      <w:tr>
        <w:trPr>
          <w:trHeight w:val="142"/>
        </w:trPr>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left="78"/>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468</w:t>
            </w:r>
          </w:p>
        </w:tc>
        <w:tc>
          <w:tcPr>
            <w:tcW w:w="88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591</w:t>
            </w:r>
          </w:p>
        </w:tc>
      </w:tr>
      <w:tr>
        <w:trPr>
          <w:trHeight w:val="216"/>
        </w:trPr>
        <w:tc>
          <w:tcPr>
            <w:tcW w:w="6040" w:type="dxa"/>
            <w:vAlign w:val="bottom"/>
          </w:tcPr>
          <w:p>
            <w:pPr>
              <w:spacing w:after="0" w:line="21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960" w:type="dxa"/>
            <w:vAlign w:val="bottom"/>
          </w:tcPr>
          <w:p>
            <w:pPr>
              <w:jc w:val="right"/>
              <w:ind w:right="378"/>
              <w:spacing w:after="0"/>
              <w:rPr>
                <w:sz w:val="20"/>
                <w:szCs w:val="20"/>
                <w:color w:val="auto"/>
              </w:rPr>
            </w:pPr>
            <w:r>
              <w:rPr>
                <w:rFonts w:ascii="Arial" w:cs="Arial" w:eastAsia="Arial" w:hAnsi="Arial"/>
                <w:sz w:val="18"/>
                <w:szCs w:val="18"/>
                <w:color w:val="auto"/>
              </w:rPr>
              <w:t>417</w:t>
            </w:r>
          </w:p>
        </w:tc>
        <w:tc>
          <w:tcPr>
            <w:tcW w:w="8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20"/>
                <w:szCs w:val="20"/>
                <w:color w:val="auto"/>
              </w:rPr>
            </w:pPr>
          </w:p>
        </w:tc>
        <w:tc>
          <w:tcPr>
            <w:tcW w:w="96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“Audit fees” means the aggregate fees in each of the fiscal years indicated for our calendar year audits.</w:t>
      </w:r>
    </w:p>
    <w:p>
      <w:pPr>
        <w:spacing w:after="0" w:line="130"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“Audit-related fees” primarily include the aggregate fees for professional services provided in connection with the issuances of senior notes by the Company.</w:t>
      </w:r>
    </w:p>
    <w:p>
      <w:pPr>
        <w:spacing w:after="0" w:line="170"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 xml:space="preserve">The policy of our audit and risk committee is to pre-approve all audit and non-audit services provided by our independent registered public accounting firm, including audit services, audit-related services, tax services and other services, other than those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services which are approved by our audit and risk committee prior to the completion of the audit.</w:t>
      </w:r>
    </w:p>
    <w:p>
      <w:pPr>
        <w:spacing w:after="0" w:line="184"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For the years ended December 31, 2020 and 2019, none of the total audit-related fees as described above were approved by our audit and risk committee pursuant to paragraph (c)(7)(i)(C) of Rule 2-01 of Regulation S-X.</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16D.</w:t>
        <w:tab/>
        <w:t>EXEMPTIONS FROM THE LISTING STANDARDS FOR AUDIT COMMITTEES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121"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No purchase of equity security in the Company was made by or on behalf of the Company or any affiliated purchaser in the fiscal year ended December 31,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86"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991"/>
        <w:spacing w:after="0" w:line="286" w:lineRule="auto"/>
        <w:rPr>
          <w:sz w:val="20"/>
          <w:szCs w:val="20"/>
          <w:color w:val="auto"/>
        </w:rPr>
      </w:pPr>
      <w:r>
        <w:rPr>
          <w:rFonts w:ascii="Arial" w:cs="Arial" w:eastAsia="Arial" w:hAnsi="Arial"/>
          <w:sz w:val="17"/>
          <w:szCs w:val="17"/>
          <w:color w:val="auto"/>
        </w:rPr>
        <w:t>In connection with the Private Placements, MCO Cotai purchased 72,185,488 Class A shares, New Cotai purchased 30,774,116 Class A shares and funds managed by Silver Point, L.P. purchased 18,345,048 Class A shares, each at the purchase price of US$3.89 per Class A share. See “Item 7. Major Shareholders and Related Party Transactions — B. Related Party Transactions — Private Placements.”</w:t>
      </w:r>
    </w:p>
    <w:p>
      <w:pPr>
        <w:spacing w:after="0" w:line="31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16F.</w:t>
        <w:tab/>
        <w:t>CHANGE IN REGISTRANT’S CERTIFYING ACCOUNTANT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16G.</w:t>
        <w:tab/>
        <w:t>CORPORATE GOVERNANCE</w:t>
      </w:r>
    </w:p>
    <w:p>
      <w:pPr>
        <w:spacing w:after="0" w:line="121"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NYSE Rule 303A.00 permits foreign private issuers like us to follow “home country practice” in certain corporate governance matters. For example, NYSE Rule 303A.01 generally requires that a majority of an issuer’s board of directors must consist of independent directors. In addition, NYSE Rules 303A.04 and 303A.05, respectively, generally require that an issuer’s nominating and corporate governance committee and compensation committee must consist entirely of independent directors. We rely on this “home country practice” exception and do not have a majority of independent directors serving on our board and also do not have a nominating and corporate governance committee or compensation committee consisting entirely of independent directors. We also rely on this “home country practice” exception in relation to certain responsibilities of the compensation committee set forth in NYSE Rule 303A.05. The New York Stock Exchange rules also permit a foreign private issuer like us to follow the corporate governance practices of its home country with respect to shareholder approval requirements with respect to issuances of equity securities.</w:t>
      </w:r>
    </w:p>
    <w:p>
      <w:pPr>
        <w:spacing w:after="0" w:line="31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16H.</w:t>
        <w:tab/>
        <w:t>MINE SAFETY DISCLOSURE</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20" w:right="360" w:firstLine="991"/>
        <w:spacing w:after="0" w:line="277" w:lineRule="auto"/>
        <w:rPr>
          <w:sz w:val="20"/>
          <w:szCs w:val="20"/>
          <w:color w:val="auto"/>
        </w:rPr>
      </w:pPr>
      <w:r>
        <w:rPr>
          <w:rFonts w:ascii="Arial" w:cs="Arial" w:eastAsia="Arial" w:hAnsi="Arial"/>
          <w:sz w:val="18"/>
          <w:szCs w:val="18"/>
          <w:color w:val="auto"/>
        </w:rPr>
        <w:t>The consolidated financial statements of Studio City International Holdings Limited and its subsidiaries are included at the end of this annual report.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86"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19.EXHIBITS</w:t>
      </w:r>
    </w:p>
    <w:p>
      <w:pPr>
        <w:sectPr>
          <w:pgSz w:w="11900" w:h="16838" w:orient="portrait"/>
          <w:cols w:equalWidth="0" w:num="1">
            <w:col w:w="11060"/>
          </w:cols>
          <w:pgMar w:left="320" w:top="486" w:right="519" w:bottom="1440" w:gutter="0" w:footer="0" w:header="0"/>
        </w:sectPr>
      </w:pPr>
    </w:p>
    <w:p>
      <w:pPr>
        <w:spacing w:after="0" w:line="24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3"/>
          <w:szCs w:val="13"/>
          <w:b w:val="1"/>
          <w:bCs w:val="1"/>
          <w:u w:val="single" w:color="auto"/>
          <w:color w:val="auto"/>
        </w:rPr>
        <w:t>Number</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117" w:lineRule="exact"/>
        <w:rPr>
          <w:sz w:val="20"/>
          <w:szCs w:val="20"/>
          <w:color w:val="auto"/>
        </w:rPr>
      </w:pPr>
    </w:p>
    <w:p>
      <w:pPr>
        <w:ind w:right="20"/>
        <w:spacing w:after="0" w:line="342" w:lineRule="auto"/>
        <w:rPr>
          <w:rFonts w:ascii="Arial" w:cs="Arial" w:eastAsia="Arial" w:hAnsi="Arial"/>
          <w:sz w:val="16"/>
          <w:szCs w:val="16"/>
          <w:u w:val="single" w:color="auto"/>
          <w:color w:val="0000EE"/>
        </w:rPr>
      </w:pPr>
      <w:hyperlink r:id="rId170">
        <w:r>
          <w:rPr>
            <w:rFonts w:ascii="Arial" w:cs="Arial" w:eastAsia="Arial" w:hAnsi="Arial"/>
            <w:sz w:val="16"/>
            <w:szCs w:val="16"/>
            <w:u w:val="single" w:color="auto"/>
            <w:color w:val="0000EE"/>
          </w:rPr>
          <w:t>Amended and Restated Memorandum and Articles of Association of the Registrant (incorporated by reference to Exhibit 1.1 from our</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annual report on Form 20-F for the fiscal year ended December 31, 2018 (File No. 001-38699), filed with the SEC on March 29, 2019)</w:t>
        </w:r>
      </w:hyperlink>
    </w:p>
    <w:p>
      <w:pPr>
        <w:spacing w:after="0" w:line="1" w:lineRule="exact"/>
        <w:rPr>
          <w:sz w:val="20"/>
          <w:szCs w:val="20"/>
          <w:color w:val="auto"/>
        </w:rPr>
      </w:pPr>
    </w:p>
    <w:p>
      <w:pPr>
        <w:sectPr>
          <w:pgSz w:w="11900" w:h="16838" w:orient="portrait"/>
          <w:cols w:equalWidth="0" w:num="2">
            <w:col w:w="880" w:space="460"/>
            <w:col w:w="9720"/>
          </w:cols>
          <w:pgMar w:left="320" w:top="486" w:right="519" w:bottom="1440" w:gutter="0" w:footer="0" w:header="0"/>
          <w:type w:val="continuous"/>
        </w:sectPr>
      </w:pPr>
    </w:p>
    <w:tbl>
      <w:tblPr>
        <w:tblLayout w:type="fixed"/>
        <w:tblInd w:w="380" w:type="dxa"/>
        <w:tblCellMar>
          <w:top w:w="0" w:type="dxa"/>
          <w:left w:w="0" w:type="dxa"/>
          <w:bottom w:w="0" w:type="dxa"/>
          <w:right w:w="0" w:type="dxa"/>
        </w:tblCellMar>
      </w:tblPr>
      <w:tr>
        <w:trPr>
          <w:trHeight w:val="205"/>
        </w:trPr>
        <w:tc>
          <w:tcPr>
            <w:tcW w:w="960" w:type="dxa"/>
            <w:vAlign w:val="bottom"/>
          </w:tcPr>
          <w:p>
            <w:pPr>
              <w:spacing w:after="0" w:line="206" w:lineRule="exact"/>
              <w:rPr>
                <w:sz w:val="20"/>
                <w:szCs w:val="20"/>
                <w:color w:val="auto"/>
              </w:rPr>
            </w:pPr>
            <w:r>
              <w:rPr>
                <w:rFonts w:ascii="Arial" w:cs="Arial" w:eastAsia="Arial" w:hAnsi="Arial"/>
                <w:sz w:val="18"/>
                <w:szCs w:val="18"/>
                <w:color w:val="auto"/>
              </w:rPr>
              <w:t>1.2</w:t>
            </w:r>
          </w:p>
        </w:tc>
        <w:tc>
          <w:tcPr>
            <w:tcW w:w="9580" w:type="dxa"/>
            <w:vAlign w:val="bottom"/>
            <w:tcBorders>
              <w:bottom w:val="single" w:sz="8" w:color="0000EE"/>
            </w:tcBorders>
            <w:gridSpan w:val="13"/>
          </w:tcPr>
          <w:p>
            <w:pPr>
              <w:spacing w:after="0" w:line="20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Memorandum and Articles of Association of MSC Cotai Limited (incorporated by reference to Exhibit 1.2 from our annual report on</w:t>
              </w:r>
            </w:hyperlink>
          </w:p>
        </w:tc>
        <w:tc>
          <w:tcPr>
            <w:tcW w:w="140" w:type="dxa"/>
            <w:vAlign w:val="bottom"/>
            <w:gridSpan w:val="6"/>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720" w:type="dxa"/>
            <w:vAlign w:val="bottom"/>
            <w:gridSpan w:val="19"/>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Form 20-F for the fiscal year ended December 31, 2018 (File No. 001-38699), filed with the SEC on March 29, 2019)</w:t>
              </w:r>
            </w:hyperlink>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2.1</w:t>
            </w:r>
          </w:p>
        </w:tc>
        <w:tc>
          <w:tcPr>
            <w:tcW w:w="62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Form of Registrant’s Specimen American Depositary Receipt (included in Exhibit 2.3)</w:t>
              </w:r>
            </w:hyperlink>
          </w:p>
        </w:tc>
        <w:tc>
          <w:tcPr>
            <w:tcW w:w="2240" w:type="dxa"/>
            <w:vAlign w:val="bottom"/>
            <w:tcBorders>
              <w:top w:val="single" w:sz="8" w:color="0000EE"/>
            </w:tcBorders>
            <w:gridSpan w:val="3"/>
          </w:tcPr>
          <w:p>
            <w:pPr>
              <w:spacing w:after="0"/>
              <w:rPr>
                <w:sz w:val="24"/>
                <w:szCs w:val="24"/>
                <w:color w:val="auto"/>
              </w:rPr>
            </w:pPr>
          </w:p>
        </w:tc>
        <w:tc>
          <w:tcPr>
            <w:tcW w:w="1240" w:type="dxa"/>
            <w:vAlign w:val="bottom"/>
            <w:gridSpan w:val="13"/>
          </w:tcPr>
          <w:p>
            <w:pPr>
              <w:spacing w:after="0"/>
              <w:rPr>
                <w:sz w:val="24"/>
                <w:szCs w:val="24"/>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2.2</w:t>
            </w:r>
          </w:p>
        </w:tc>
        <w:tc>
          <w:tcPr>
            <w:tcW w:w="9640" w:type="dxa"/>
            <w:vAlign w:val="bottom"/>
            <w:tcBorders>
              <w:bottom w:val="single" w:sz="8" w:color="0000EE"/>
            </w:tcBorders>
            <w:gridSpan w:val="16"/>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Registrant’s Specimen Certificate for Ordinary Shares (incorporated herein by reference to Exhibit 4.2 from our registration statement</w:t>
              </w:r>
            </w:hyperlink>
          </w:p>
        </w:tc>
        <w:tc>
          <w:tcPr>
            <w:tcW w:w="8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72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on Form F-1 (File No. 333-227232), as amended, initially filed with the SEC on September 7, 2018)</w:t>
              </w:r>
            </w:hyperlink>
          </w:p>
        </w:tc>
        <w:tc>
          <w:tcPr>
            <w:tcW w:w="2500" w:type="dxa"/>
            <w:vAlign w:val="bottom"/>
            <w:gridSpan w:val="15"/>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2.3†</w:t>
            </w:r>
          </w:p>
        </w:tc>
        <w:tc>
          <w:tcPr>
            <w:tcW w:w="9720" w:type="dxa"/>
            <w:vAlign w:val="bottom"/>
            <w:gridSpan w:val="19"/>
          </w:tcPr>
          <w:p>
            <w:pPr>
              <w:spacing w:after="0"/>
              <w:rPr>
                <w:rFonts w:ascii="Arial" w:cs="Arial" w:eastAsia="Arial" w:hAnsi="Arial"/>
                <w:sz w:val="18"/>
                <w:szCs w:val="18"/>
                <w:color w:val="0000EE"/>
              </w:rPr>
            </w:pPr>
            <w:hyperlink r:id="rId174">
              <w:r>
                <w:rPr>
                  <w:rFonts w:ascii="Arial" w:cs="Arial" w:eastAsia="Arial" w:hAnsi="Arial"/>
                  <w:sz w:val="18"/>
                  <w:szCs w:val="18"/>
                  <w:color w:val="0000EE"/>
                </w:rPr>
                <w:t>Form of Deposit Agreement between the Registrant, the depositary and owners and holders of the ADSs</w:t>
              </w:r>
            </w:hyperlink>
          </w:p>
        </w:tc>
      </w:tr>
      <w:tr>
        <w:trPr>
          <w:trHeight w:val="20"/>
        </w:trPr>
        <w:tc>
          <w:tcPr>
            <w:tcW w:w="9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2.4</w:t>
            </w:r>
          </w:p>
        </w:tc>
        <w:tc>
          <w:tcPr>
            <w:tcW w:w="9720" w:type="dxa"/>
            <w:vAlign w:val="bottom"/>
            <w:gridSpan w:val="19"/>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Indenture relating to 5.875% senior secured notes due 2019 and dated November 30, 2016, among Studio City Company Limited, as</w:t>
              </w:r>
            </w:hyperlink>
          </w:p>
        </w:tc>
      </w:tr>
      <w:tr>
        <w:trPr>
          <w:trHeight w:val="196"/>
        </w:trPr>
        <w:tc>
          <w:tcPr>
            <w:tcW w:w="960" w:type="dxa"/>
            <w:vAlign w:val="bottom"/>
          </w:tcPr>
          <w:p>
            <w:pPr>
              <w:spacing w:after="0"/>
              <w:rPr>
                <w:sz w:val="17"/>
                <w:szCs w:val="17"/>
                <w:color w:val="auto"/>
              </w:rPr>
            </w:pPr>
          </w:p>
        </w:tc>
        <w:tc>
          <w:tcPr>
            <w:tcW w:w="954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175">
              <w:r>
                <w:rPr>
                  <w:rFonts w:ascii="Arial" w:cs="Arial" w:eastAsia="Arial" w:hAnsi="Arial"/>
                  <w:sz w:val="18"/>
                  <w:szCs w:val="18"/>
                  <w:color w:val="0000EE"/>
                  <w:w w:val="93"/>
                </w:rPr>
                <w:t>issuer, Studio City Investments Limited, as parent guarantor, the subsidiary guarantors parties thereto, and Deutsche Bank Trust</w:t>
              </w:r>
            </w:hyperlink>
          </w:p>
        </w:tc>
        <w:tc>
          <w:tcPr>
            <w:tcW w:w="180" w:type="dxa"/>
            <w:vAlign w:val="bottom"/>
            <w:gridSpan w:val="7"/>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6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Company Americas, as trustee (incorporated herein by reference to Exhibit 4.9 from our registration statement on Form F-1 (File No.</w:t>
              </w:r>
            </w:hyperlink>
          </w:p>
        </w:tc>
        <w:tc>
          <w:tcPr>
            <w:tcW w:w="120" w:type="dxa"/>
            <w:vAlign w:val="bottom"/>
            <w:gridSpan w:val="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720" w:type="dxa"/>
            <w:vAlign w:val="bottom"/>
            <w:gridSpan w:val="19"/>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333-227232), as amended, initially filed with the SEC on September 7, 2018)</w:t>
              </w:r>
            </w:hyperlink>
          </w:p>
        </w:tc>
      </w:tr>
      <w:tr>
        <w:trPr>
          <w:trHeight w:val="20"/>
        </w:trPr>
        <w:tc>
          <w:tcPr>
            <w:tcW w:w="9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2.5</w:t>
            </w:r>
          </w:p>
        </w:tc>
        <w:tc>
          <w:tcPr>
            <w:tcW w:w="9720" w:type="dxa"/>
            <w:vAlign w:val="bottom"/>
            <w:tcBorders>
              <w:bottom w:val="single" w:sz="8" w:color="0000EE"/>
            </w:tcBorders>
            <w:gridSpan w:val="19"/>
          </w:tcPr>
          <w:p>
            <w:pPr>
              <w:spacing w:after="0"/>
              <w:rPr>
                <w:rFonts w:ascii="Arial" w:cs="Arial" w:eastAsia="Arial" w:hAnsi="Arial"/>
                <w:sz w:val="18"/>
                <w:szCs w:val="18"/>
                <w:color w:val="0000EE"/>
                <w:w w:val="89"/>
              </w:rPr>
            </w:pPr>
            <w:hyperlink r:id="rId176">
              <w:r>
                <w:rPr>
                  <w:rFonts w:ascii="Arial" w:cs="Arial" w:eastAsia="Arial" w:hAnsi="Arial"/>
                  <w:sz w:val="18"/>
                  <w:szCs w:val="18"/>
                  <w:color w:val="0000EE"/>
                  <w:w w:val="89"/>
                </w:rPr>
                <w:t>Supplemental Indenture relating to 5.875% senior secured notes due 2019 and dated November 30, 2016, among Studio City Company</w:t>
              </w:r>
            </w:hyperlink>
          </w:p>
        </w:tc>
      </w:tr>
      <w:tr>
        <w:trPr>
          <w:trHeight w:val="196"/>
        </w:trPr>
        <w:tc>
          <w:tcPr>
            <w:tcW w:w="960" w:type="dxa"/>
            <w:vAlign w:val="bottom"/>
          </w:tcPr>
          <w:p>
            <w:pPr>
              <w:spacing w:after="0"/>
              <w:rPr>
                <w:sz w:val="17"/>
                <w:szCs w:val="17"/>
                <w:color w:val="auto"/>
              </w:rPr>
            </w:pPr>
          </w:p>
        </w:tc>
        <w:tc>
          <w:tcPr>
            <w:tcW w:w="96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Limited, Industrial and Commercial Bank of China (Macau) Limited, as the security agent, DB Trustees (Hong Kong) Limited, as the</w:t>
              </w:r>
            </w:hyperlink>
          </w:p>
        </w:tc>
        <w:tc>
          <w:tcPr>
            <w:tcW w:w="10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720" w:type="dxa"/>
            <w:vAlign w:val="bottom"/>
            <w:gridSpan w:val="19"/>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intercreditor agent and Deutsche Bank Trust Company Americas, as trustee (incorporated herein by reference to Exhibit 4.10 from our</w:t>
              </w:r>
            </w:hyperlink>
          </w:p>
        </w:tc>
      </w:tr>
      <w:tr>
        <w:trPr>
          <w:trHeight w:val="196"/>
        </w:trPr>
        <w:tc>
          <w:tcPr>
            <w:tcW w:w="96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registration statement on Form F-1 (File No. 333-227232), as amended, initially filed with the SEC on September 7, 2018)</w:t>
              </w:r>
            </w:hyperlink>
          </w:p>
        </w:tc>
        <w:tc>
          <w:tcPr>
            <w:tcW w:w="840" w:type="dxa"/>
            <w:vAlign w:val="bottom"/>
            <w:tcBorders>
              <w:top w:val="single" w:sz="8" w:color="0000EE"/>
            </w:tcBorders>
            <w:gridSpan w:val="10"/>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2.6</w:t>
            </w:r>
          </w:p>
        </w:tc>
        <w:tc>
          <w:tcPr>
            <w:tcW w:w="9100" w:type="dxa"/>
            <w:vAlign w:val="bottom"/>
            <w:tcBorders>
              <w:bottom w:val="single" w:sz="8" w:color="0000EE"/>
            </w:tcBorders>
            <w:gridSpan w:val="9"/>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Second Supplemental Indenture relating to 5.875% senior secured notes due 2019 and dated July 30, 2018, among Studio City</w:t>
              </w:r>
            </w:hyperlink>
          </w:p>
        </w:tc>
        <w:tc>
          <w:tcPr>
            <w:tcW w:w="620" w:type="dxa"/>
            <w:vAlign w:val="bottom"/>
            <w:gridSpan w:val="10"/>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92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Company Limited, Studio City (HK) Two Limited, as a new guarantor, Studio City Investments Limited, as parent guarantor, the</w:t>
              </w:r>
            </w:hyperlink>
          </w:p>
        </w:tc>
        <w:tc>
          <w:tcPr>
            <w:tcW w:w="440" w:type="dxa"/>
            <w:vAlign w:val="bottom"/>
            <w:gridSpan w:val="8"/>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720" w:type="dxa"/>
            <w:vAlign w:val="bottom"/>
            <w:gridSpan w:val="19"/>
          </w:tcPr>
          <w:p>
            <w:pPr>
              <w:spacing w:after="0" w:line="196" w:lineRule="exact"/>
              <w:rPr>
                <w:rFonts w:ascii="Arial" w:cs="Arial" w:eastAsia="Arial" w:hAnsi="Arial"/>
                <w:sz w:val="18"/>
                <w:szCs w:val="18"/>
                <w:color w:val="0000EE"/>
                <w:w w:val="90"/>
              </w:rPr>
            </w:pPr>
            <w:hyperlink r:id="rId177">
              <w:r>
                <w:rPr>
                  <w:rFonts w:ascii="Arial" w:cs="Arial" w:eastAsia="Arial" w:hAnsi="Arial"/>
                  <w:sz w:val="18"/>
                  <w:szCs w:val="18"/>
                  <w:color w:val="0000EE"/>
                  <w:w w:val="90"/>
                </w:rPr>
                <w:t>subsidiary guarantors parties thereto and Deutsche Bank Trust Company Americas, as the trustee (incorporated herein by reference to</w:t>
              </w:r>
            </w:hyperlink>
          </w:p>
        </w:tc>
      </w:tr>
      <w:tr>
        <w:trPr>
          <w:trHeight w:val="196"/>
        </w:trPr>
        <w:tc>
          <w:tcPr>
            <w:tcW w:w="960" w:type="dxa"/>
            <w:vAlign w:val="bottom"/>
          </w:tcPr>
          <w:p>
            <w:pPr>
              <w:spacing w:after="0"/>
              <w:rPr>
                <w:sz w:val="17"/>
                <w:szCs w:val="17"/>
                <w:color w:val="auto"/>
              </w:rPr>
            </w:pPr>
          </w:p>
        </w:tc>
        <w:tc>
          <w:tcPr>
            <w:tcW w:w="9600" w:type="dxa"/>
            <w:vAlign w:val="bottom"/>
            <w:tcBorders>
              <w:top w:val="single" w:sz="8" w:color="0000EE"/>
            </w:tcBorders>
            <w:gridSpan w:val="14"/>
          </w:tcPr>
          <w:p>
            <w:pPr>
              <w:spacing w:after="0" w:line="196" w:lineRule="exact"/>
              <w:rPr>
                <w:rFonts w:ascii="Arial" w:cs="Arial" w:eastAsia="Arial" w:hAnsi="Arial"/>
                <w:sz w:val="18"/>
                <w:szCs w:val="18"/>
                <w:color w:val="0000EE"/>
                <w:w w:val="98"/>
              </w:rPr>
            </w:pPr>
            <w:hyperlink r:id="rId177">
              <w:r>
                <w:rPr>
                  <w:rFonts w:ascii="Arial" w:cs="Arial" w:eastAsia="Arial" w:hAnsi="Arial"/>
                  <w:sz w:val="18"/>
                  <w:szCs w:val="18"/>
                  <w:color w:val="0000EE"/>
                  <w:w w:val="98"/>
                </w:rPr>
                <w:t>Exhibit 4.11 from our registration statement on Form F-1 (File No. 333-227232), as amended, initially filed with the SEC on</w:t>
              </w:r>
            </w:hyperlink>
          </w:p>
        </w:tc>
        <w:tc>
          <w:tcPr>
            <w:tcW w:w="120" w:type="dxa"/>
            <w:vAlign w:val="bottom"/>
            <w:gridSpan w:val="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9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September 7, 2018)</w:t>
              </w:r>
            </w:hyperlink>
          </w:p>
        </w:tc>
        <w:tc>
          <w:tcPr>
            <w:tcW w:w="760" w:type="dxa"/>
            <w:vAlign w:val="bottom"/>
            <w:gridSpan w:val="11"/>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700" w:type="dxa"/>
            <w:vAlign w:val="bottom"/>
            <w:gridSpan w:val="8"/>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2.7</w:t>
            </w:r>
          </w:p>
        </w:tc>
        <w:tc>
          <w:tcPr>
            <w:tcW w:w="9720" w:type="dxa"/>
            <w:vAlign w:val="bottom"/>
            <w:gridSpan w:val="19"/>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Indenture relating to 7.250% senior secured notes due 2021 and dated November 30, 2016, among Studio City Company Limited, as</w:t>
              </w:r>
            </w:hyperlink>
          </w:p>
        </w:tc>
      </w:tr>
      <w:tr>
        <w:trPr>
          <w:trHeight w:val="196"/>
        </w:trPr>
        <w:tc>
          <w:tcPr>
            <w:tcW w:w="960" w:type="dxa"/>
            <w:vAlign w:val="bottom"/>
          </w:tcPr>
          <w:p>
            <w:pPr>
              <w:spacing w:after="0"/>
              <w:rPr>
                <w:sz w:val="17"/>
                <w:szCs w:val="17"/>
                <w:color w:val="auto"/>
              </w:rPr>
            </w:pPr>
          </w:p>
        </w:tc>
        <w:tc>
          <w:tcPr>
            <w:tcW w:w="954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178">
              <w:r>
                <w:rPr>
                  <w:rFonts w:ascii="Arial" w:cs="Arial" w:eastAsia="Arial" w:hAnsi="Arial"/>
                  <w:sz w:val="18"/>
                  <w:szCs w:val="18"/>
                  <w:color w:val="0000EE"/>
                  <w:w w:val="93"/>
                </w:rPr>
                <w:t>issuer, Studio City Investments Limited, as parent guarantor, the subsidiary guarantors parties thereto, and Deutsche Bank Trust</w:t>
              </w:r>
            </w:hyperlink>
          </w:p>
        </w:tc>
        <w:tc>
          <w:tcPr>
            <w:tcW w:w="180" w:type="dxa"/>
            <w:vAlign w:val="bottom"/>
            <w:gridSpan w:val="7"/>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10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720" w:type="dxa"/>
            <w:vAlign w:val="bottom"/>
            <w:gridSpan w:val="19"/>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Company Americas, as trustee (incorporated herein by reference to Exhibit 4.12 from our registration statement on Form F-1 (File No.</w:t>
              </w:r>
            </w:hyperlink>
          </w:p>
        </w:tc>
      </w:tr>
      <w:tr>
        <w:trPr>
          <w:trHeight w:val="196"/>
        </w:trPr>
        <w:tc>
          <w:tcPr>
            <w:tcW w:w="960" w:type="dxa"/>
            <w:vAlign w:val="bottom"/>
          </w:tcPr>
          <w:p>
            <w:pPr>
              <w:spacing w:after="0"/>
              <w:rPr>
                <w:sz w:val="17"/>
                <w:szCs w:val="17"/>
                <w:color w:val="auto"/>
              </w:rPr>
            </w:pPr>
          </w:p>
        </w:tc>
        <w:tc>
          <w:tcPr>
            <w:tcW w:w="9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333-227232), as amended, initially filed with the SEC on September 7, 2018)</w:t>
              </w:r>
            </w:hyperlink>
          </w:p>
        </w:tc>
        <w:tc>
          <w:tcPr>
            <w:tcW w:w="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560" w:type="dxa"/>
            <w:vAlign w:val="bottom"/>
            <w:gridSpan w:val="2"/>
            <w:shd w:val="clear" w:color="auto" w:fill="0000EE"/>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2.8</w:t>
            </w:r>
          </w:p>
        </w:tc>
        <w:tc>
          <w:tcPr>
            <w:tcW w:w="9720" w:type="dxa"/>
            <w:vAlign w:val="bottom"/>
            <w:tcBorders>
              <w:bottom w:val="single" w:sz="8" w:color="0000EE"/>
            </w:tcBorders>
            <w:gridSpan w:val="19"/>
          </w:tcPr>
          <w:p>
            <w:pPr>
              <w:spacing w:after="0"/>
              <w:rPr>
                <w:rFonts w:ascii="Arial" w:cs="Arial" w:eastAsia="Arial" w:hAnsi="Arial"/>
                <w:sz w:val="18"/>
                <w:szCs w:val="18"/>
                <w:color w:val="0000EE"/>
                <w:w w:val="89"/>
              </w:rPr>
            </w:pPr>
            <w:hyperlink r:id="rId179">
              <w:r>
                <w:rPr>
                  <w:rFonts w:ascii="Arial" w:cs="Arial" w:eastAsia="Arial" w:hAnsi="Arial"/>
                  <w:sz w:val="18"/>
                  <w:szCs w:val="18"/>
                  <w:color w:val="0000EE"/>
                  <w:w w:val="89"/>
                </w:rPr>
                <w:t>Supplemental Indenture relating to 7.250% senior secured notes due 2021 and dated November 30, 2016, among Studio City Company</w:t>
              </w:r>
            </w:hyperlink>
          </w:p>
        </w:tc>
      </w:tr>
      <w:tr>
        <w:trPr>
          <w:trHeight w:val="196"/>
        </w:trPr>
        <w:tc>
          <w:tcPr>
            <w:tcW w:w="960" w:type="dxa"/>
            <w:vAlign w:val="bottom"/>
          </w:tcPr>
          <w:p>
            <w:pPr>
              <w:spacing w:after="0"/>
              <w:rPr>
                <w:sz w:val="17"/>
                <w:szCs w:val="17"/>
                <w:color w:val="auto"/>
              </w:rPr>
            </w:pPr>
          </w:p>
        </w:tc>
        <w:tc>
          <w:tcPr>
            <w:tcW w:w="96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Limited, Industrial and Commercial Bank of China (Macau) Limited, as the security agent, DB Trustees (Hong Kong) Limited, as the</w:t>
              </w:r>
            </w:hyperlink>
          </w:p>
        </w:tc>
        <w:tc>
          <w:tcPr>
            <w:tcW w:w="10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720" w:type="dxa"/>
            <w:vAlign w:val="bottom"/>
            <w:gridSpan w:val="19"/>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intercreditor agent and Deutsche Bank Trust Company Americas, as the trustee (incorporated herein by reference to Exhibit 4.13 from</w:t>
              </w:r>
            </w:hyperlink>
          </w:p>
        </w:tc>
      </w:tr>
      <w:tr>
        <w:trPr>
          <w:trHeight w:val="196"/>
        </w:trPr>
        <w:tc>
          <w:tcPr>
            <w:tcW w:w="960" w:type="dxa"/>
            <w:vAlign w:val="bottom"/>
          </w:tcPr>
          <w:p>
            <w:pPr>
              <w:spacing w:after="0"/>
              <w:rPr>
                <w:sz w:val="17"/>
                <w:szCs w:val="17"/>
                <w:color w:val="auto"/>
              </w:rPr>
            </w:pPr>
          </w:p>
        </w:tc>
        <w:tc>
          <w:tcPr>
            <w:tcW w:w="9640" w:type="dxa"/>
            <w:vAlign w:val="bottom"/>
            <w:tcBorders>
              <w:top w:val="single" w:sz="8" w:color="0000EE"/>
            </w:tcBorders>
            <w:gridSpan w:val="16"/>
          </w:tcPr>
          <w:p>
            <w:pPr>
              <w:spacing w:after="0" w:line="196" w:lineRule="exact"/>
              <w:rPr>
                <w:rFonts w:ascii="Arial" w:cs="Arial" w:eastAsia="Arial" w:hAnsi="Arial"/>
                <w:sz w:val="18"/>
                <w:szCs w:val="18"/>
                <w:color w:val="0000EE"/>
                <w:w w:val="96"/>
              </w:rPr>
            </w:pPr>
            <w:hyperlink r:id="rId179">
              <w:r>
                <w:rPr>
                  <w:rFonts w:ascii="Arial" w:cs="Arial" w:eastAsia="Arial" w:hAnsi="Arial"/>
                  <w:sz w:val="18"/>
                  <w:szCs w:val="18"/>
                  <w:color w:val="0000EE"/>
                  <w:w w:val="96"/>
                </w:rPr>
                <w:t>our registration statement on Form F-1 (File No. 333-227232), as amended, initially filed with the SEC on September 7, 2018)</w:t>
              </w:r>
            </w:hyperlink>
          </w:p>
        </w:tc>
        <w:tc>
          <w:tcPr>
            <w:tcW w:w="80" w:type="dxa"/>
            <w:vAlign w:val="bottom"/>
            <w:gridSpan w:val="3"/>
          </w:tcPr>
          <w:p>
            <w:pPr>
              <w:spacing w:after="0"/>
              <w:rPr>
                <w:sz w:val="17"/>
                <w:szCs w:val="17"/>
                <w:color w:val="auto"/>
              </w:rPr>
            </w:pPr>
          </w:p>
        </w:tc>
      </w:tr>
      <w:tr>
        <w:trPr>
          <w:trHeight w:val="385"/>
        </w:trPr>
        <w:tc>
          <w:tcPr>
            <w:tcW w:w="960" w:type="dxa"/>
            <w:vAlign w:val="bottom"/>
          </w:tcPr>
          <w:p>
            <w:pPr>
              <w:spacing w:after="0"/>
              <w:rPr>
                <w:sz w:val="24"/>
                <w:szCs w:val="24"/>
                <w:color w:val="auto"/>
              </w:rPr>
            </w:pPr>
          </w:p>
        </w:tc>
        <w:tc>
          <w:tcPr>
            <w:tcW w:w="5560" w:type="dxa"/>
            <w:vAlign w:val="bottom"/>
            <w:tcBorders>
              <w:top w:val="single" w:sz="8" w:color="0000EE"/>
            </w:tcBorders>
            <w:gridSpan w:val="2"/>
          </w:tcPr>
          <w:p>
            <w:pPr>
              <w:ind w:left="4140"/>
              <w:spacing w:after="0"/>
              <w:rPr>
                <w:sz w:val="20"/>
                <w:szCs w:val="20"/>
                <w:color w:val="auto"/>
              </w:rPr>
            </w:pPr>
            <w:r>
              <w:rPr>
                <w:rFonts w:ascii="Arial" w:cs="Arial" w:eastAsia="Arial" w:hAnsi="Arial"/>
                <w:sz w:val="18"/>
                <w:szCs w:val="18"/>
                <w:color w:val="auto"/>
              </w:rPr>
              <w:t>146</w:t>
            </w:r>
          </w:p>
        </w:tc>
        <w:tc>
          <w:tcPr>
            <w:tcW w:w="6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type w:val="continuous"/>
        </w:sectPr>
      </w:pPr>
    </w:p>
    <w:bookmarkStart w:id="150" w:name="page151"/>
    <w:bookmarkEnd w:id="1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86" w:right="479" w:bottom="1440" w:gutter="0" w:footer="0" w:header="0"/>
        </w:sectPr>
      </w:pPr>
    </w:p>
    <w:p>
      <w:pPr>
        <w:spacing w:after="0" w:line="32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3"/>
          <w:szCs w:val="13"/>
          <w:b w:val="1"/>
          <w:bCs w:val="1"/>
          <w:u w:val="single" w:color="auto"/>
          <w:color w:val="auto"/>
        </w:rPr>
        <w:t>Number</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117" w:lineRule="exact"/>
        <w:rPr>
          <w:sz w:val="20"/>
          <w:szCs w:val="20"/>
          <w:color w:val="auto"/>
        </w:rPr>
      </w:pPr>
    </w:p>
    <w:p>
      <w:pPr>
        <w:spacing w:after="0" w:line="301" w:lineRule="auto"/>
        <w:rPr>
          <w:rFonts w:ascii="Arial" w:cs="Arial" w:eastAsia="Arial" w:hAnsi="Arial"/>
          <w:sz w:val="16"/>
          <w:szCs w:val="16"/>
          <w:u w:val="single" w:color="auto"/>
          <w:color w:val="0000EE"/>
        </w:rPr>
      </w:pPr>
      <w:hyperlink r:id="rId181">
        <w:r>
          <w:rPr>
            <w:rFonts w:ascii="Arial" w:cs="Arial" w:eastAsia="Arial" w:hAnsi="Arial"/>
            <w:sz w:val="16"/>
            <w:szCs w:val="16"/>
            <w:u w:val="single" w:color="auto"/>
            <w:color w:val="0000EE"/>
          </w:rPr>
          <w:t>Second Supplemental Indenture relating to 7.250% senior secured notes due 2021 and dated July 30, 2018, among Studio City (HK)</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Two Limited, as a new guarantor, Studio City Company Limited, Studio City Investments Limited, as parent guarantor, the subsidiary</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guarantors parties thereto and Deutsche Bank Trust Company Americas, as the trustee (incorporated herein by reference to Exhibit 4.14</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from our registration statement on Form F-1 (File No. 333-227232), as amended, initially filed with the SEC on September 7, 2018)</w:t>
        </w:r>
      </w:hyperlink>
    </w:p>
    <w:p>
      <w:pPr>
        <w:spacing w:after="0" w:line="32" w:lineRule="exact"/>
        <w:rPr>
          <w:rFonts w:ascii="Arial" w:cs="Arial" w:eastAsia="Arial" w:hAnsi="Arial"/>
          <w:sz w:val="16"/>
          <w:szCs w:val="16"/>
          <w:u w:val="single" w:color="auto"/>
          <w:color w:val="0000EE"/>
        </w:rPr>
      </w:pPr>
    </w:p>
    <w:p>
      <w:pPr>
        <w:sectPr>
          <w:pgSz w:w="11900" w:h="16838" w:orient="portrait"/>
          <w:cols w:equalWidth="0" w:num="2">
            <w:col w:w="880" w:space="460"/>
            <w:col w:w="9760"/>
          </w:cols>
          <w:pgMar w:left="320" w:top="486" w:right="479" w:bottom="1440" w:gutter="0" w:footer="0" w:header="0"/>
          <w:type w:val="continuous"/>
        </w:sectPr>
      </w:pPr>
    </w:p>
    <w:tbl>
      <w:tblPr>
        <w:tblLayout w:type="fixed"/>
        <w:tblInd w:w="3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2.10</w:t>
            </w:r>
          </w:p>
        </w:tc>
        <w:tc>
          <w:tcPr>
            <w:tcW w:w="9400" w:type="dxa"/>
            <w:vAlign w:val="bottom"/>
            <w:tcBorders>
              <w:bottom w:val="single" w:sz="8" w:color="0000EE"/>
            </w:tcBorders>
            <w:gridSpan w:val="14"/>
          </w:tcPr>
          <w:p>
            <w:pPr>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 xml:space="preserve">Amended and Restated Credit Agreement relating to </w:t>
              </w:r>
              <w:r>
                <w:rPr>
                  <w:rFonts w:ascii="Arial" w:cs="Arial" w:eastAsia="Arial" w:hAnsi="Arial"/>
                  <w:sz w:val="18"/>
                  <w:szCs w:val="18"/>
                  <w:u w:val="single" w:color="auto"/>
                  <w:color w:val="0000EE"/>
                  <w:w w:val="93"/>
                </w:rPr>
                <w:t>HK$</w:t>
              </w:r>
              <w:r>
                <w:rPr>
                  <w:rFonts w:ascii="Arial" w:cs="Arial" w:eastAsia="Arial" w:hAnsi="Arial"/>
                  <w:sz w:val="18"/>
                  <w:szCs w:val="18"/>
                  <w:color w:val="0000EE"/>
                  <w:w w:val="93"/>
                </w:rPr>
                <w:t xml:space="preserve">233 million revolving credit facility and </w:t>
              </w:r>
              <w:r>
                <w:rPr>
                  <w:rFonts w:ascii="Arial" w:cs="Arial" w:eastAsia="Arial" w:hAnsi="Arial"/>
                  <w:sz w:val="18"/>
                  <w:szCs w:val="18"/>
                  <w:u w:val="single" w:color="auto"/>
                  <w:color w:val="0000EE"/>
                  <w:w w:val="93"/>
                </w:rPr>
                <w:t>HK$</w:t>
              </w:r>
              <w:r>
                <w:rPr>
                  <w:rFonts w:ascii="Arial" w:cs="Arial" w:eastAsia="Arial" w:hAnsi="Arial"/>
                  <w:sz w:val="18"/>
                  <w:szCs w:val="18"/>
                  <w:color w:val="0000EE"/>
                  <w:w w:val="93"/>
                </w:rPr>
                <w:t>1 million term loan facility</w:t>
              </w:r>
            </w:hyperlink>
          </w:p>
        </w:tc>
        <w:tc>
          <w:tcPr>
            <w:tcW w:w="320" w:type="dxa"/>
            <w:vAlign w:val="bottom"/>
            <w:gridSpan w:val="7"/>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720" w:type="dxa"/>
            <w:vAlign w:val="bottom"/>
            <w:gridSpan w:val="21"/>
          </w:tcPr>
          <w:p>
            <w:pPr>
              <w:spacing w:after="0" w:line="196" w:lineRule="exact"/>
              <w:rPr>
                <w:rFonts w:ascii="Arial" w:cs="Arial" w:eastAsia="Arial" w:hAnsi="Arial"/>
                <w:sz w:val="18"/>
                <w:szCs w:val="18"/>
                <w:color w:val="0000EE"/>
                <w:w w:val="96"/>
              </w:rPr>
            </w:pPr>
            <w:hyperlink r:id="rId182">
              <w:r>
                <w:rPr>
                  <w:rFonts w:ascii="Arial" w:cs="Arial" w:eastAsia="Arial" w:hAnsi="Arial"/>
                  <w:sz w:val="18"/>
                  <w:szCs w:val="18"/>
                  <w:color w:val="0000EE"/>
                  <w:w w:val="96"/>
                </w:rPr>
                <w:t>dated November 23, 2016, among Studio City Company Limited and certain of its subsidiaries and affiliates with Bank of China</w:t>
              </w:r>
            </w:hyperlink>
          </w:p>
        </w:tc>
      </w:tr>
      <w:tr>
        <w:trPr>
          <w:trHeight w:val="20"/>
        </w:trPr>
        <w:tc>
          <w:tcPr>
            <w:tcW w:w="9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720" w:type="dxa"/>
            <w:vAlign w:val="bottom"/>
            <w:gridSpan w:val="21"/>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Limited, Macau Branch, among others (incorporated herein by reference to Exhibit 4.15 from our registration statement on Form F-1</w:t>
              </w:r>
            </w:hyperlink>
          </w:p>
        </w:tc>
      </w:tr>
      <w:tr>
        <w:trPr>
          <w:trHeight w:val="196"/>
        </w:trPr>
        <w:tc>
          <w:tcPr>
            <w:tcW w:w="960" w:type="dxa"/>
            <w:vAlign w:val="bottom"/>
          </w:tcPr>
          <w:p>
            <w:pPr>
              <w:spacing w:after="0"/>
              <w:rPr>
                <w:sz w:val="17"/>
                <w:szCs w:val="17"/>
                <w:color w:val="auto"/>
              </w:rPr>
            </w:pPr>
          </w:p>
        </w:tc>
        <w:tc>
          <w:tcPr>
            <w:tcW w:w="95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(File No. 333-227232), as amended, initially filed with the SEC on September 7, 2018)</w:t>
              </w:r>
            </w:hyperlink>
          </w:p>
        </w:tc>
        <w:tc>
          <w:tcPr>
            <w:tcW w:w="160" w:type="dxa"/>
            <w:vAlign w:val="bottom"/>
            <w:gridSpan w:val="3"/>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2.11</w:t>
            </w:r>
          </w:p>
        </w:tc>
        <w:tc>
          <w:tcPr>
            <w:tcW w:w="9600" w:type="dxa"/>
            <w:vAlign w:val="bottom"/>
            <w:tcBorders>
              <w:bottom w:val="single" w:sz="8" w:color="0000EE"/>
            </w:tcBorders>
            <w:gridSpan w:val="19"/>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Intercreditor Agreement dated December 1, 2016, among Studio City Company Limited, the guarantors of the 5.875% senior secured</w:t>
              </w:r>
            </w:hyperlink>
          </w:p>
        </w:tc>
        <w:tc>
          <w:tcPr>
            <w:tcW w:w="12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9720" w:type="dxa"/>
            <w:vAlign w:val="bottom"/>
            <w:gridSpan w:val="21"/>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 xml:space="preserve">notes due 2019 and 7.250% senior secured notes due 2021, the lenders and agent for Studio City Company Limited’s </w:t>
              </w:r>
              <w:r>
                <w:rPr>
                  <w:rFonts w:ascii="Arial" w:cs="Arial" w:eastAsia="Arial" w:hAnsi="Arial"/>
                  <w:sz w:val="18"/>
                  <w:szCs w:val="18"/>
                  <w:u w:val="single" w:color="auto"/>
                  <w:color w:val="0000EE"/>
                  <w:w w:val="91"/>
                </w:rPr>
                <w:t>HK$</w:t>
              </w:r>
              <w:r>
                <w:rPr>
                  <w:rFonts w:ascii="Arial" w:cs="Arial" w:eastAsia="Arial" w:hAnsi="Arial"/>
                  <w:sz w:val="18"/>
                  <w:szCs w:val="18"/>
                  <w:color w:val="0000EE"/>
                  <w:w w:val="91"/>
                </w:rPr>
                <w:t>233 million</w:t>
              </w:r>
            </w:hyperlink>
          </w:p>
        </w:tc>
      </w:tr>
      <w:tr>
        <w:trPr>
          <w:trHeight w:val="196"/>
        </w:trPr>
        <w:tc>
          <w:tcPr>
            <w:tcW w:w="96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 xml:space="preserve">revolving credit facility and </w:t>
              </w:r>
              <w:r>
                <w:rPr>
                  <w:rFonts w:ascii="Arial" w:cs="Arial" w:eastAsia="Arial" w:hAnsi="Arial"/>
                  <w:sz w:val="18"/>
                  <w:szCs w:val="18"/>
                  <w:u w:val="single" w:color="auto"/>
                  <w:color w:val="0000EE"/>
                  <w:w w:val="92"/>
                </w:rPr>
                <w:t>HK$</w:t>
              </w:r>
              <w:r>
                <w:rPr>
                  <w:rFonts w:ascii="Arial" w:cs="Arial" w:eastAsia="Arial" w:hAnsi="Arial"/>
                  <w:sz w:val="18"/>
                  <w:szCs w:val="18"/>
                  <w:color w:val="0000EE"/>
                  <w:w w:val="92"/>
                </w:rPr>
                <w:t>1 million term loan facility, the security agent and intercreditor agent named therein, among others</w:t>
              </w:r>
            </w:hyperlink>
          </w:p>
        </w:tc>
        <w:tc>
          <w:tcPr>
            <w:tcW w:w="14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4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(incorporated herein by reference to Exhibit 4.16 from our registration statement on Form F-1 (File No. 333-227232), as amended,</w:t>
              </w:r>
            </w:hyperlink>
          </w:p>
        </w:tc>
        <w:tc>
          <w:tcPr>
            <w:tcW w:w="320" w:type="dxa"/>
            <w:vAlign w:val="bottom"/>
            <w:gridSpan w:val="7"/>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6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initially filed with the SEC on September 7, 2018)</w:t>
              </w:r>
            </w:hyperlink>
          </w:p>
        </w:tc>
        <w:tc>
          <w:tcPr>
            <w:tcW w:w="6100" w:type="dxa"/>
            <w:vAlign w:val="bottom"/>
            <w:gridSpan w:val="17"/>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2.12</w:t>
            </w:r>
          </w:p>
        </w:tc>
        <w:tc>
          <w:tcPr>
            <w:tcW w:w="9720" w:type="dxa"/>
            <w:vAlign w:val="bottom"/>
            <w:gridSpan w:val="21"/>
          </w:tcPr>
          <w:p>
            <w:pPr>
              <w:spacing w:after="0"/>
              <w:rPr>
                <w:rFonts w:ascii="Arial" w:cs="Arial" w:eastAsia="Arial" w:hAnsi="Arial"/>
                <w:sz w:val="18"/>
                <w:szCs w:val="18"/>
                <w:color w:val="0000EE"/>
                <w:w w:val="96"/>
              </w:rPr>
            </w:pPr>
            <w:hyperlink r:id="rId184">
              <w:r>
                <w:rPr>
                  <w:rFonts w:ascii="Arial" w:cs="Arial" w:eastAsia="Arial" w:hAnsi="Arial"/>
                  <w:sz w:val="18"/>
                  <w:szCs w:val="18"/>
                  <w:color w:val="0000EE"/>
                  <w:w w:val="96"/>
                </w:rPr>
                <w:t>Amended and Restated Shareholders’ Agreement, among MCO Cotai Investments Limited, New Cotai, LLC, Melco Resorts &amp;</w:t>
              </w:r>
            </w:hyperlink>
          </w:p>
        </w:tc>
      </w:tr>
      <w:tr>
        <w:trPr>
          <w:trHeight w:val="20"/>
        </w:trPr>
        <w:tc>
          <w:tcPr>
            <w:tcW w:w="9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7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Entertainment Limited and the Registrant (incorporated by reference to Exhibit 2.12 from our annual report on Form 20-F for the fiscal</w:t>
              </w:r>
            </w:hyperlink>
          </w:p>
        </w:tc>
      </w:tr>
      <w:tr>
        <w:trPr>
          <w:trHeight w:val="196"/>
        </w:trPr>
        <w:tc>
          <w:tcPr>
            <w:tcW w:w="960" w:type="dxa"/>
            <w:vAlign w:val="bottom"/>
          </w:tcPr>
          <w:p>
            <w:pPr>
              <w:spacing w:after="0"/>
              <w:rPr>
                <w:sz w:val="17"/>
                <w:szCs w:val="17"/>
                <w:color w:val="auto"/>
              </w:rPr>
            </w:pPr>
          </w:p>
        </w:tc>
        <w:tc>
          <w:tcPr>
            <w:tcW w:w="67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year ended December 31, 2018 (File No. 001-38699), filed with the SEC on March 29, 2019)</w:t>
              </w:r>
            </w:hyperlink>
          </w:p>
        </w:tc>
        <w:tc>
          <w:tcPr>
            <w:tcW w:w="3000" w:type="dxa"/>
            <w:vAlign w:val="bottom"/>
            <w:gridSpan w:val="15"/>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2.13</w:t>
            </w:r>
          </w:p>
        </w:tc>
        <w:tc>
          <w:tcPr>
            <w:tcW w:w="9500" w:type="dxa"/>
            <w:vAlign w:val="bottom"/>
            <w:tcBorders>
              <w:bottom w:val="single" w:sz="8" w:color="0000EE"/>
            </w:tcBorders>
            <w:gridSpan w:val="17"/>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Amended and Restated Registration Rights Agreement, between New Cotai, LLC and the Registrant (form of which is incorporated</w:t>
              </w:r>
            </w:hyperlink>
          </w:p>
        </w:tc>
        <w:tc>
          <w:tcPr>
            <w:tcW w:w="22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97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herein by reference to Exhibit 10.5 from our registration statement on Form F-1 (File No. 333-227232), as amended, initially filed with</w:t>
              </w:r>
            </w:hyperlink>
          </w:p>
        </w:tc>
      </w:tr>
      <w:tr>
        <w:trPr>
          <w:trHeight w:val="196"/>
        </w:trPr>
        <w:tc>
          <w:tcPr>
            <w:tcW w:w="960" w:type="dxa"/>
            <w:vAlign w:val="bottom"/>
          </w:tcPr>
          <w:p>
            <w:pPr>
              <w:spacing w:after="0"/>
              <w:rPr>
                <w:sz w:val="17"/>
                <w:szCs w:val="17"/>
                <w:color w:val="auto"/>
              </w:rPr>
            </w:pPr>
          </w:p>
        </w:tc>
        <w:tc>
          <w:tcPr>
            <w:tcW w:w="9720" w:type="dxa"/>
            <w:vAlign w:val="bottom"/>
            <w:gridSpan w:val="21"/>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the SEC on September 7, 2018)</w:t>
              </w:r>
            </w:hyperlink>
          </w:p>
        </w:tc>
      </w:tr>
      <w:tr>
        <w:trPr>
          <w:trHeight w:val="20"/>
        </w:trPr>
        <w:tc>
          <w:tcPr>
            <w:tcW w:w="9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2.14</w:t>
            </w:r>
          </w:p>
        </w:tc>
        <w:tc>
          <w:tcPr>
            <w:tcW w:w="8980" w:type="dxa"/>
            <w:vAlign w:val="bottom"/>
            <w:tcBorders>
              <w:bottom w:val="single" w:sz="8" w:color="0000EE"/>
            </w:tcBorders>
            <w:gridSpan w:val="10"/>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Subscription Agreement between Melco International Development Limited and the Registrant (incorporated by reference to</w:t>
              </w:r>
            </w:hyperlink>
          </w:p>
        </w:tc>
        <w:tc>
          <w:tcPr>
            <w:tcW w:w="740" w:type="dxa"/>
            <w:vAlign w:val="bottom"/>
            <w:gridSpan w:val="11"/>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94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Exhibit 2.14 from our annual report on Form 20-F for the fiscal year ended December 31, 2018 (File No. 001-38699), filed with the</w:t>
              </w:r>
            </w:hyperlink>
          </w:p>
        </w:tc>
        <w:tc>
          <w:tcPr>
            <w:tcW w:w="240" w:type="dxa"/>
            <w:vAlign w:val="bottom"/>
            <w:gridSpan w:val="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86">
              <w:r>
                <w:rPr>
                  <w:rFonts w:ascii="Arial" w:cs="Arial" w:eastAsia="Arial" w:hAnsi="Arial"/>
                  <w:sz w:val="18"/>
                  <w:szCs w:val="18"/>
                  <w:color w:val="0000EE"/>
                  <w:w w:val="89"/>
                </w:rPr>
                <w:t>SEC on March 29, 2019)</w:t>
              </w:r>
            </w:hyperlink>
          </w:p>
        </w:tc>
        <w:tc>
          <w:tcPr>
            <w:tcW w:w="7920" w:type="dxa"/>
            <w:vAlign w:val="bottom"/>
            <w:gridSpan w:val="20"/>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2.15</w:t>
            </w:r>
          </w:p>
        </w:tc>
        <w:tc>
          <w:tcPr>
            <w:tcW w:w="9720" w:type="dxa"/>
            <w:vAlign w:val="bottom"/>
            <w:gridSpan w:val="21"/>
          </w:tcPr>
          <w:p>
            <w:pPr>
              <w:spacing w:after="0"/>
              <w:rPr>
                <w:rFonts w:ascii="Arial" w:cs="Arial" w:eastAsia="Arial" w:hAnsi="Arial"/>
                <w:sz w:val="18"/>
                <w:szCs w:val="18"/>
                <w:color w:val="0000EE"/>
                <w:w w:val="92"/>
              </w:rPr>
            </w:pPr>
            <w:hyperlink r:id="rId187">
              <w:r>
                <w:rPr>
                  <w:rFonts w:ascii="Arial" w:cs="Arial" w:eastAsia="Arial" w:hAnsi="Arial"/>
                  <w:sz w:val="18"/>
                  <w:szCs w:val="18"/>
                  <w:color w:val="0000EE"/>
                  <w:w w:val="92"/>
                </w:rPr>
                <w:t>Indenture relating to 7.250% senior notes due 2024 and dated February 11, 2019, among Studio City Finance Limited, as issuer, the</w:t>
              </w:r>
            </w:hyperlink>
          </w:p>
        </w:tc>
      </w:tr>
      <w:tr>
        <w:trPr>
          <w:trHeight w:val="196"/>
        </w:trPr>
        <w:tc>
          <w:tcPr>
            <w:tcW w:w="96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87">
              <w:r>
                <w:rPr>
                  <w:rFonts w:ascii="Arial" w:cs="Arial" w:eastAsia="Arial" w:hAnsi="Arial"/>
                  <w:sz w:val="18"/>
                  <w:szCs w:val="18"/>
                  <w:color w:val="0000EE"/>
                  <w:w w:val="89"/>
                </w:rPr>
                <w:t>subsidiary guarantors parties thereto, and Deutsche Bank Trust Company Americas, as trustee (incorporated by reference to</w:t>
              </w:r>
            </w:hyperlink>
          </w:p>
        </w:tc>
        <w:tc>
          <w:tcPr>
            <w:tcW w:w="560" w:type="dxa"/>
            <w:vAlign w:val="bottom"/>
            <w:tcBorders>
              <w:top w:val="single" w:sz="8" w:color="0000EE"/>
            </w:tcBorders>
            <w:gridSpan w:val="6"/>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4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Exhibit 2.15 from our annual report on Form 20-F for the fiscal year ended December 31, 2018 (File No. 001-38699), filed with the</w:t>
              </w:r>
            </w:hyperlink>
          </w:p>
        </w:tc>
        <w:tc>
          <w:tcPr>
            <w:tcW w:w="240" w:type="dxa"/>
            <w:vAlign w:val="bottom"/>
            <w:gridSpan w:val="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87">
              <w:r>
                <w:rPr>
                  <w:rFonts w:ascii="Arial" w:cs="Arial" w:eastAsia="Arial" w:hAnsi="Arial"/>
                  <w:sz w:val="18"/>
                  <w:szCs w:val="18"/>
                  <w:color w:val="0000EE"/>
                  <w:w w:val="89"/>
                </w:rPr>
                <w:t>SEC on March 29, 2019)</w:t>
              </w:r>
            </w:hyperlink>
          </w:p>
        </w:tc>
        <w:tc>
          <w:tcPr>
            <w:tcW w:w="7920" w:type="dxa"/>
            <w:vAlign w:val="bottom"/>
            <w:gridSpan w:val="20"/>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2.16*</w:t>
            </w:r>
          </w:p>
        </w:tc>
        <w:tc>
          <w:tcPr>
            <w:tcW w:w="9720" w:type="dxa"/>
            <w:vAlign w:val="bottom"/>
            <w:gridSpan w:val="21"/>
          </w:tcPr>
          <w:p>
            <w:pPr>
              <w:spacing w:after="0"/>
              <w:rPr>
                <w:rFonts w:ascii="Arial" w:cs="Arial" w:eastAsia="Arial" w:hAnsi="Arial"/>
                <w:sz w:val="18"/>
                <w:szCs w:val="18"/>
                <w:color w:val="0000EE"/>
                <w:w w:val="95"/>
              </w:rPr>
            </w:pPr>
            <w:hyperlink w:anchor="page206">
              <w:r>
                <w:rPr>
                  <w:rFonts w:ascii="Arial" w:cs="Arial" w:eastAsia="Arial" w:hAnsi="Arial"/>
                  <w:sz w:val="18"/>
                  <w:szCs w:val="18"/>
                  <w:color w:val="0000EE"/>
                  <w:w w:val="95"/>
                </w:rPr>
                <w:t>Indenture relating to 6.000% senior notes due 2025 and dated July 15, 2020, among Studio City Finance Limited, as issuer, the</w:t>
              </w:r>
            </w:hyperlink>
          </w:p>
        </w:tc>
      </w:tr>
      <w:tr>
        <w:trPr>
          <w:trHeight w:val="196"/>
        </w:trPr>
        <w:tc>
          <w:tcPr>
            <w:tcW w:w="96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06">
              <w:r>
                <w:rPr>
                  <w:rFonts w:ascii="Arial" w:cs="Arial" w:eastAsia="Arial" w:hAnsi="Arial"/>
                  <w:sz w:val="18"/>
                  <w:szCs w:val="18"/>
                  <w:color w:val="0000EE"/>
                  <w:w w:val="89"/>
                </w:rPr>
                <w:t>subsidiary guarantors parties thereto, and Deutsche Bank Trust Company Americas, as trustee</w:t>
              </w:r>
            </w:hyperlink>
          </w:p>
        </w:tc>
        <w:tc>
          <w:tcPr>
            <w:tcW w:w="2380" w:type="dxa"/>
            <w:vAlign w:val="bottom"/>
            <w:tcBorders>
              <w:top w:val="single" w:sz="8" w:color="0000EE"/>
            </w:tcBorders>
            <w:gridSpan w:val="3"/>
          </w:tcPr>
          <w:p>
            <w:pPr>
              <w:spacing w:after="0"/>
              <w:rPr>
                <w:sz w:val="17"/>
                <w:szCs w:val="17"/>
                <w:color w:val="auto"/>
              </w:rPr>
            </w:pPr>
          </w:p>
        </w:tc>
        <w:tc>
          <w:tcPr>
            <w:tcW w:w="560" w:type="dxa"/>
            <w:vAlign w:val="bottom"/>
            <w:gridSpan w:val="10"/>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2.17*</w:t>
            </w:r>
          </w:p>
        </w:tc>
        <w:tc>
          <w:tcPr>
            <w:tcW w:w="9720" w:type="dxa"/>
            <w:vAlign w:val="bottom"/>
            <w:gridSpan w:val="21"/>
          </w:tcPr>
          <w:p>
            <w:pPr>
              <w:spacing w:after="0"/>
              <w:rPr>
                <w:rFonts w:ascii="Arial" w:cs="Arial" w:eastAsia="Arial" w:hAnsi="Arial"/>
                <w:sz w:val="18"/>
                <w:szCs w:val="18"/>
                <w:color w:val="0000EE"/>
                <w:w w:val="95"/>
              </w:rPr>
            </w:pPr>
            <w:hyperlink w:anchor="page336">
              <w:r>
                <w:rPr>
                  <w:rFonts w:ascii="Arial" w:cs="Arial" w:eastAsia="Arial" w:hAnsi="Arial"/>
                  <w:sz w:val="18"/>
                  <w:szCs w:val="18"/>
                  <w:color w:val="0000EE"/>
                  <w:w w:val="95"/>
                </w:rPr>
                <w:t>Indenture relating to 6.500% senior notes due 2028 and dated July 15, 2020, among Studio City Finance Limited, as issuer, the</w:t>
              </w:r>
            </w:hyperlink>
          </w:p>
        </w:tc>
      </w:tr>
      <w:tr>
        <w:trPr>
          <w:trHeight w:val="196"/>
        </w:trPr>
        <w:tc>
          <w:tcPr>
            <w:tcW w:w="96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36">
              <w:r>
                <w:rPr>
                  <w:rFonts w:ascii="Arial" w:cs="Arial" w:eastAsia="Arial" w:hAnsi="Arial"/>
                  <w:sz w:val="18"/>
                  <w:szCs w:val="18"/>
                  <w:color w:val="0000EE"/>
                  <w:w w:val="89"/>
                </w:rPr>
                <w:t>subsidiary guarantors parties thereto, and Deutsche Bank Trust Company Americas, as trustee</w:t>
              </w:r>
            </w:hyperlink>
          </w:p>
        </w:tc>
        <w:tc>
          <w:tcPr>
            <w:tcW w:w="2380" w:type="dxa"/>
            <w:vAlign w:val="bottom"/>
            <w:tcBorders>
              <w:top w:val="single" w:sz="8" w:color="0000EE"/>
            </w:tcBorders>
            <w:gridSpan w:val="3"/>
          </w:tcPr>
          <w:p>
            <w:pPr>
              <w:spacing w:after="0"/>
              <w:rPr>
                <w:sz w:val="17"/>
                <w:szCs w:val="17"/>
                <w:color w:val="auto"/>
              </w:rPr>
            </w:pPr>
          </w:p>
        </w:tc>
        <w:tc>
          <w:tcPr>
            <w:tcW w:w="560" w:type="dxa"/>
            <w:vAlign w:val="bottom"/>
            <w:gridSpan w:val="10"/>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2.18*</w:t>
            </w:r>
          </w:p>
        </w:tc>
        <w:tc>
          <w:tcPr>
            <w:tcW w:w="9720" w:type="dxa"/>
            <w:vAlign w:val="bottom"/>
            <w:gridSpan w:val="21"/>
          </w:tcPr>
          <w:p>
            <w:pPr>
              <w:spacing w:after="0"/>
              <w:rPr>
                <w:rFonts w:ascii="Arial" w:cs="Arial" w:eastAsia="Arial" w:hAnsi="Arial"/>
                <w:sz w:val="18"/>
                <w:szCs w:val="18"/>
                <w:color w:val="0000EE"/>
                <w:w w:val="92"/>
              </w:rPr>
            </w:pPr>
            <w:hyperlink w:anchor="page466">
              <w:r>
                <w:rPr>
                  <w:rFonts w:ascii="Arial" w:cs="Arial" w:eastAsia="Arial" w:hAnsi="Arial"/>
                  <w:sz w:val="18"/>
                  <w:szCs w:val="18"/>
                  <w:color w:val="0000EE"/>
                  <w:w w:val="92"/>
                </w:rPr>
                <w:t>Indenture relating to 5.000% senior notes due 2029 and dated January 14, 2021, among Studio City Finance Limited, as issuer, the</w:t>
              </w:r>
            </w:hyperlink>
          </w:p>
        </w:tc>
      </w:tr>
      <w:tr>
        <w:trPr>
          <w:trHeight w:val="196"/>
        </w:trPr>
        <w:tc>
          <w:tcPr>
            <w:tcW w:w="96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466">
              <w:r>
                <w:rPr>
                  <w:rFonts w:ascii="Arial" w:cs="Arial" w:eastAsia="Arial" w:hAnsi="Arial"/>
                  <w:sz w:val="18"/>
                  <w:szCs w:val="18"/>
                  <w:color w:val="0000EE"/>
                  <w:w w:val="89"/>
                </w:rPr>
                <w:t>subsidiary guarantors parties thereto, and Deutsche Bank Trust Company Americas, as trustee</w:t>
              </w:r>
            </w:hyperlink>
          </w:p>
        </w:tc>
        <w:tc>
          <w:tcPr>
            <w:tcW w:w="2620" w:type="dxa"/>
            <w:vAlign w:val="bottom"/>
            <w:tcBorders>
              <w:top w:val="single" w:sz="8" w:color="0000EE"/>
            </w:tcBorders>
            <w:gridSpan w:val="6"/>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2.19*</w:t>
            </w:r>
          </w:p>
        </w:tc>
        <w:tc>
          <w:tcPr>
            <w:tcW w:w="9720" w:type="dxa"/>
            <w:vAlign w:val="bottom"/>
            <w:gridSpan w:val="21"/>
          </w:tcPr>
          <w:p>
            <w:pPr>
              <w:spacing w:after="0"/>
              <w:rPr>
                <w:rFonts w:ascii="Arial" w:cs="Arial" w:eastAsia="Arial" w:hAnsi="Arial"/>
                <w:sz w:val="18"/>
                <w:szCs w:val="18"/>
                <w:color w:val="0000EE"/>
              </w:rPr>
            </w:pPr>
            <w:hyperlink w:anchor="page596">
              <w:r>
                <w:rPr>
                  <w:rFonts w:ascii="Arial" w:cs="Arial" w:eastAsia="Arial" w:hAnsi="Arial"/>
                  <w:sz w:val="18"/>
                  <w:szCs w:val="18"/>
                  <w:color w:val="0000EE"/>
                </w:rPr>
                <w:t>Description of Registrant’s Securities</w:t>
              </w:r>
            </w:hyperlink>
          </w:p>
        </w:tc>
      </w:tr>
      <w:tr>
        <w:trPr>
          <w:trHeight w:val="385"/>
        </w:trPr>
        <w:tc>
          <w:tcPr>
            <w:tcW w:w="960" w:type="dxa"/>
            <w:vAlign w:val="bottom"/>
          </w:tcPr>
          <w:p>
            <w:pPr>
              <w:spacing w:after="0"/>
              <w:rPr>
                <w:sz w:val="24"/>
                <w:szCs w:val="24"/>
                <w:color w:val="auto"/>
              </w:rPr>
            </w:pPr>
          </w:p>
        </w:tc>
        <w:tc>
          <w:tcPr>
            <w:tcW w:w="2680" w:type="dxa"/>
            <w:vAlign w:val="bottom"/>
            <w:tcBorders>
              <w:top w:val="single" w:sz="8" w:color="0000EE"/>
            </w:tcBorders>
            <w:gridSpan w:val="3"/>
          </w:tcPr>
          <w:p>
            <w:pPr>
              <w:spacing w:after="0"/>
              <w:rPr>
                <w:sz w:val="24"/>
                <w:szCs w:val="24"/>
                <w:color w:val="auto"/>
              </w:rPr>
            </w:pPr>
          </w:p>
        </w:tc>
        <w:tc>
          <w:tcPr>
            <w:tcW w:w="3580" w:type="dxa"/>
            <w:vAlign w:val="bottom"/>
            <w:gridSpan w:val="2"/>
          </w:tcPr>
          <w:p>
            <w:pPr>
              <w:jc w:val="right"/>
              <w:ind w:right="1840"/>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type w:val="continuous"/>
        </w:sectPr>
      </w:pPr>
    </w:p>
    <w:bookmarkStart w:id="151" w:name="page152"/>
    <w:bookmarkEnd w:id="1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86" w:right="479" w:bottom="1440" w:gutter="0" w:footer="0" w:header="0"/>
        </w:sectPr>
      </w:pPr>
    </w:p>
    <w:p>
      <w:pPr>
        <w:spacing w:after="0" w:line="32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3"/>
          <w:szCs w:val="13"/>
          <w:b w:val="1"/>
          <w:bCs w:val="1"/>
          <w:u w:val="single" w:color="auto"/>
          <w:color w:val="auto"/>
        </w:rPr>
        <w:t>Number</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117" w:lineRule="exact"/>
        <w:rPr>
          <w:sz w:val="20"/>
          <w:szCs w:val="20"/>
          <w:color w:val="auto"/>
        </w:rPr>
      </w:pPr>
    </w:p>
    <w:p>
      <w:pPr>
        <w:ind w:right="140"/>
        <w:spacing w:after="0" w:line="263" w:lineRule="auto"/>
        <w:rPr>
          <w:rFonts w:ascii="Arial" w:cs="Arial" w:eastAsia="Arial" w:hAnsi="Arial"/>
          <w:sz w:val="18"/>
          <w:szCs w:val="18"/>
          <w:u w:val="single" w:color="auto"/>
          <w:color w:val="0000EE"/>
        </w:rPr>
      </w:pPr>
      <w:hyperlink w:anchor="page604">
        <w:r>
          <w:rPr>
            <w:rFonts w:ascii="Arial" w:cs="Arial" w:eastAsia="Arial" w:hAnsi="Arial"/>
            <w:sz w:val="18"/>
            <w:szCs w:val="18"/>
            <w:u w:val="single" w:color="auto"/>
            <w:color w:val="0000EE"/>
          </w:rPr>
          <w:t>Amended and Restated Credit Agreement relating to HK$233 million revolving credit facility and HK$1 million term loan facility</w:t>
        </w:r>
      </w:hyperlink>
      <w:r>
        <w:rPr>
          <w:rFonts w:ascii="Arial" w:cs="Arial" w:eastAsia="Arial" w:hAnsi="Arial"/>
          <w:sz w:val="18"/>
          <w:szCs w:val="18"/>
          <w:u w:val="single" w:color="auto"/>
          <w:color w:val="0000EE"/>
        </w:rPr>
        <w:t xml:space="preserve"> </w:t>
      </w:r>
      <w:hyperlink w:anchor="page604">
        <w:r>
          <w:rPr>
            <w:rFonts w:ascii="Arial" w:cs="Arial" w:eastAsia="Arial" w:hAnsi="Arial"/>
            <w:sz w:val="18"/>
            <w:szCs w:val="18"/>
            <w:u w:val="single" w:color="auto"/>
            <w:color w:val="0000EE"/>
          </w:rPr>
          <w:t>dated March 15, 2021, among Studio City Company Limited and certain of its subsidiaries and affiliates with Bank of China Limited,</w:t>
        </w:r>
      </w:hyperlink>
      <w:r>
        <w:rPr>
          <w:rFonts w:ascii="Arial" w:cs="Arial" w:eastAsia="Arial" w:hAnsi="Arial"/>
          <w:sz w:val="18"/>
          <w:szCs w:val="18"/>
          <w:u w:val="single" w:color="auto"/>
          <w:color w:val="0000EE"/>
        </w:rPr>
        <w:t xml:space="preserve"> </w:t>
      </w:r>
      <w:hyperlink w:anchor="page604">
        <w:r>
          <w:rPr>
            <w:rFonts w:ascii="Arial" w:cs="Arial" w:eastAsia="Arial" w:hAnsi="Arial"/>
            <w:sz w:val="18"/>
            <w:szCs w:val="18"/>
            <w:u w:val="single" w:color="auto"/>
            <w:color w:val="0000EE"/>
          </w:rPr>
          <w:t>Macau Branch, among others</w:t>
        </w:r>
      </w:hyperlink>
    </w:p>
    <w:p>
      <w:pPr>
        <w:spacing w:after="0" w:line="58" w:lineRule="exact"/>
        <w:rPr>
          <w:rFonts w:ascii="Arial" w:cs="Arial" w:eastAsia="Arial" w:hAnsi="Arial"/>
          <w:sz w:val="18"/>
          <w:szCs w:val="18"/>
          <w:u w:val="single" w:color="auto"/>
          <w:color w:val="0000EE"/>
        </w:rPr>
      </w:pPr>
    </w:p>
    <w:p>
      <w:pPr>
        <w:sectPr>
          <w:pgSz w:w="11900" w:h="16838" w:orient="portrait"/>
          <w:cols w:equalWidth="0" w:num="2">
            <w:col w:w="880" w:space="460"/>
            <w:col w:w="9760"/>
          </w:cols>
          <w:pgMar w:left="320" w:top="486" w:right="479" w:bottom="1440" w:gutter="0" w:footer="0" w:header="0"/>
          <w:type w:val="continuous"/>
        </w:sectPr>
      </w:pPr>
    </w:p>
    <w:tbl>
      <w:tblPr>
        <w:tblLayout w:type="fixed"/>
        <w:tblInd w:w="380" w:type="dxa"/>
        <w:tblCellMar>
          <w:top w:w="0" w:type="dxa"/>
          <w:left w:w="0" w:type="dxa"/>
          <w:bottom w:w="0" w:type="dxa"/>
          <w:right w:w="0" w:type="dxa"/>
        </w:tblCellMar>
      </w:tblPr>
      <w:tr>
        <w:trPr>
          <w:trHeight w:val="207"/>
        </w:trPr>
        <w:tc>
          <w:tcPr>
            <w:tcW w:w="960" w:type="dxa"/>
            <w:vAlign w:val="bottom"/>
          </w:tcPr>
          <w:p>
            <w:pPr>
              <w:jc w:val="right"/>
              <w:ind w:right="630"/>
              <w:spacing w:after="0"/>
              <w:rPr>
                <w:sz w:val="20"/>
                <w:szCs w:val="20"/>
                <w:color w:val="auto"/>
              </w:rPr>
            </w:pPr>
            <w:r>
              <w:rPr>
                <w:rFonts w:ascii="Arial" w:cs="Arial" w:eastAsia="Arial" w:hAnsi="Arial"/>
                <w:sz w:val="18"/>
                <w:szCs w:val="18"/>
                <w:color w:val="auto"/>
                <w:w w:val="87"/>
              </w:rPr>
              <w:t>4.1</w:t>
            </w:r>
          </w:p>
        </w:tc>
        <w:tc>
          <w:tcPr>
            <w:tcW w:w="9440" w:type="dxa"/>
            <w:vAlign w:val="bottom"/>
            <w:tcBorders>
              <w:bottom w:val="single" w:sz="8" w:color="0000EE"/>
            </w:tcBorders>
            <w:gridSpan w:val="12"/>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Form of Indemnification Agreement between the Registrant and each of its directors and executive officers (incorporated herein by</w:t>
              </w:r>
            </w:hyperlink>
          </w:p>
        </w:tc>
        <w:tc>
          <w:tcPr>
            <w:tcW w:w="320" w:type="dxa"/>
            <w:vAlign w:val="bottom"/>
            <w:gridSpan w:val="10"/>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6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reference to Exhibit 10.1 from our registration statement on Form F-1 (File No. 333-227232), as amended, initially filed with the SEC</w:t>
              </w:r>
            </w:hyperlink>
          </w:p>
        </w:tc>
        <w:tc>
          <w:tcPr>
            <w:tcW w:w="10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89">
              <w:r>
                <w:rPr>
                  <w:rFonts w:ascii="Arial" w:cs="Arial" w:eastAsia="Arial" w:hAnsi="Arial"/>
                  <w:sz w:val="18"/>
                  <w:szCs w:val="18"/>
                  <w:color w:val="0000EE"/>
                  <w:w w:val="87"/>
                </w:rPr>
                <w:t>on September 7, 2018)</w:t>
              </w:r>
            </w:hyperlink>
          </w:p>
        </w:tc>
        <w:tc>
          <w:tcPr>
            <w:tcW w:w="8120" w:type="dxa"/>
            <w:vAlign w:val="bottom"/>
            <w:gridSpan w:val="21"/>
          </w:tcPr>
          <w:p>
            <w:pPr>
              <w:spacing w:after="0"/>
              <w:rPr>
                <w:sz w:val="17"/>
                <w:szCs w:val="17"/>
                <w:color w:val="auto"/>
              </w:rPr>
            </w:pPr>
          </w:p>
        </w:tc>
      </w:tr>
      <w:tr>
        <w:trPr>
          <w:trHeight w:val="304"/>
        </w:trPr>
        <w:tc>
          <w:tcPr>
            <w:tcW w:w="960" w:type="dxa"/>
            <w:vAlign w:val="bottom"/>
          </w:tcPr>
          <w:p>
            <w:pPr>
              <w:jc w:val="right"/>
              <w:ind w:right="630"/>
              <w:spacing w:after="0"/>
              <w:rPr>
                <w:sz w:val="20"/>
                <w:szCs w:val="20"/>
                <w:color w:val="auto"/>
              </w:rPr>
            </w:pPr>
            <w:r>
              <w:rPr>
                <w:rFonts w:ascii="Arial" w:cs="Arial" w:eastAsia="Arial" w:hAnsi="Arial"/>
                <w:sz w:val="18"/>
                <w:szCs w:val="18"/>
                <w:color w:val="auto"/>
                <w:w w:val="87"/>
              </w:rPr>
              <w:t>4.2</w:t>
            </w:r>
          </w:p>
        </w:tc>
        <w:tc>
          <w:tcPr>
            <w:tcW w:w="9640" w:type="dxa"/>
            <w:vAlign w:val="bottom"/>
            <w:tcBorders>
              <w:bottom w:val="single" w:sz="8" w:color="0000EE"/>
            </w:tcBorders>
            <w:gridSpan w:val="18"/>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Form of Employment Agreement with the Executive Officers of the Registrant (incorporated herein by reference to Exhibit 10.2 from</w:t>
              </w:r>
            </w:hyperlink>
          </w:p>
        </w:tc>
        <w:tc>
          <w:tcPr>
            <w:tcW w:w="12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91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our registration statement on Form F-1 (File No. 333-227232), as amended, initially filed with the SEC on September 7, 2018)</w:t>
              </w:r>
            </w:hyperlink>
          </w:p>
        </w:tc>
        <w:tc>
          <w:tcPr>
            <w:tcW w:w="640" w:type="dxa"/>
            <w:vAlign w:val="bottom"/>
            <w:gridSpan w:val="14"/>
          </w:tcPr>
          <w:p>
            <w:pPr>
              <w:spacing w:after="0"/>
              <w:rPr>
                <w:sz w:val="17"/>
                <w:szCs w:val="17"/>
                <w:color w:val="auto"/>
              </w:rPr>
            </w:pPr>
          </w:p>
        </w:tc>
      </w:tr>
      <w:tr>
        <w:trPr>
          <w:trHeight w:val="304"/>
        </w:trPr>
        <w:tc>
          <w:tcPr>
            <w:tcW w:w="960" w:type="dxa"/>
            <w:vAlign w:val="bottom"/>
          </w:tcPr>
          <w:p>
            <w:pPr>
              <w:jc w:val="right"/>
              <w:ind w:right="630"/>
              <w:spacing w:after="0"/>
              <w:rPr>
                <w:sz w:val="20"/>
                <w:szCs w:val="20"/>
                <w:color w:val="auto"/>
              </w:rPr>
            </w:pPr>
            <w:r>
              <w:rPr>
                <w:rFonts w:ascii="Arial" w:cs="Arial" w:eastAsia="Arial" w:hAnsi="Arial"/>
                <w:sz w:val="18"/>
                <w:szCs w:val="18"/>
                <w:color w:val="auto"/>
                <w:w w:val="87"/>
              </w:rPr>
              <w:t>4.3</w:t>
            </w:r>
          </w:p>
        </w:tc>
        <w:tc>
          <w:tcPr>
            <w:tcW w:w="9400" w:type="dxa"/>
            <w:vAlign w:val="bottom"/>
            <w:tcBorders>
              <w:bottom w:val="single" w:sz="8" w:color="0000EE"/>
            </w:tcBorders>
            <w:gridSpan w:val="11"/>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English Translation of subconcession contract for operating casino games of chance or games of other forms in the Macau Special</w:t>
              </w:r>
            </w:hyperlink>
          </w:p>
        </w:tc>
        <w:tc>
          <w:tcPr>
            <w:tcW w:w="360" w:type="dxa"/>
            <w:vAlign w:val="bottom"/>
            <w:gridSpan w:val="11"/>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97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Administrative Region dated September 8, 2006, between Wynn Resorts (Macau) S.A. and Melco Resorts (Macau) Limited, which was</w:t>
              </w:r>
            </w:hyperlink>
          </w:p>
        </w:tc>
      </w:tr>
      <w:tr>
        <w:trPr>
          <w:trHeight w:val="196"/>
        </w:trPr>
        <w:tc>
          <w:tcPr>
            <w:tcW w:w="960" w:type="dxa"/>
            <w:vAlign w:val="bottom"/>
          </w:tcPr>
          <w:p>
            <w:pPr>
              <w:spacing w:after="0"/>
              <w:rPr>
                <w:sz w:val="17"/>
                <w:szCs w:val="17"/>
                <w:color w:val="auto"/>
              </w:rPr>
            </w:pPr>
          </w:p>
        </w:tc>
        <w:tc>
          <w:tcPr>
            <w:tcW w:w="97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91">
              <w:r>
                <w:rPr>
                  <w:rFonts w:ascii="Arial" w:cs="Arial" w:eastAsia="Arial" w:hAnsi="Arial"/>
                  <w:sz w:val="18"/>
                  <w:szCs w:val="18"/>
                  <w:color w:val="0000EE"/>
                  <w:w w:val="92"/>
                </w:rPr>
                <w:t>formerly known as Melco Crown (Macau) Limited (incorporated herein by reference to Exhibit 10.3 from our registration statement on</w:t>
              </w:r>
            </w:hyperlink>
          </w:p>
        </w:tc>
        <w:tc>
          <w:tcPr>
            <w:tcW w:w="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70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Form F-1 (File No. 333-227232), as amended, initially filed with the SEC on September 7, 2018)</w:t>
              </w:r>
            </w:hyperlink>
          </w:p>
        </w:tc>
        <w:tc>
          <w:tcPr>
            <w:tcW w:w="2760" w:type="dxa"/>
            <w:vAlign w:val="bottom"/>
            <w:gridSpan w:val="18"/>
          </w:tcPr>
          <w:p>
            <w:pPr>
              <w:spacing w:after="0"/>
              <w:rPr>
                <w:sz w:val="17"/>
                <w:szCs w:val="17"/>
                <w:color w:val="auto"/>
              </w:rPr>
            </w:pPr>
          </w:p>
        </w:tc>
      </w:tr>
      <w:tr>
        <w:trPr>
          <w:trHeight w:val="304"/>
        </w:trPr>
        <w:tc>
          <w:tcPr>
            <w:tcW w:w="960" w:type="dxa"/>
            <w:vAlign w:val="bottom"/>
          </w:tcPr>
          <w:p>
            <w:pPr>
              <w:jc w:val="right"/>
              <w:ind w:right="630"/>
              <w:spacing w:after="0"/>
              <w:rPr>
                <w:sz w:val="20"/>
                <w:szCs w:val="20"/>
                <w:color w:val="auto"/>
              </w:rPr>
            </w:pPr>
            <w:r>
              <w:rPr>
                <w:rFonts w:ascii="Arial" w:cs="Arial" w:eastAsia="Arial" w:hAnsi="Arial"/>
                <w:sz w:val="18"/>
                <w:szCs w:val="18"/>
                <w:color w:val="auto"/>
                <w:w w:val="87"/>
              </w:rPr>
              <w:t>4.4</w:t>
            </w:r>
          </w:p>
        </w:tc>
        <w:tc>
          <w:tcPr>
            <w:tcW w:w="9760" w:type="dxa"/>
            <w:vAlign w:val="bottom"/>
            <w:tcBorders>
              <w:bottom w:val="single" w:sz="8" w:color="0000EE"/>
            </w:tcBorders>
            <w:gridSpan w:val="22"/>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Services and Right to Use Agreement dated May 11, 2007, as amended, between Studio City Entertainment Limited and Melco Resorts</w:t>
              </w:r>
            </w:hyperlink>
          </w:p>
        </w:tc>
      </w:tr>
      <w:tr>
        <w:trPr>
          <w:trHeight w:val="196"/>
        </w:trPr>
        <w:tc>
          <w:tcPr>
            <w:tcW w:w="960" w:type="dxa"/>
            <w:vAlign w:val="bottom"/>
          </w:tcPr>
          <w:p>
            <w:pPr>
              <w:spacing w:after="0"/>
              <w:rPr>
                <w:sz w:val="17"/>
                <w:szCs w:val="17"/>
                <w:color w:val="auto"/>
              </w:rPr>
            </w:pPr>
          </w:p>
        </w:tc>
        <w:tc>
          <w:tcPr>
            <w:tcW w:w="9760" w:type="dxa"/>
            <w:vAlign w:val="bottom"/>
            <w:gridSpan w:val="22"/>
          </w:tcPr>
          <w:p>
            <w:pPr>
              <w:spacing w:after="0" w:line="196" w:lineRule="exact"/>
              <w:rPr>
                <w:rFonts w:ascii="Arial" w:cs="Arial" w:eastAsia="Arial" w:hAnsi="Arial"/>
                <w:sz w:val="18"/>
                <w:szCs w:val="18"/>
                <w:color w:val="0000EE"/>
                <w:w w:val="92"/>
              </w:rPr>
            </w:pPr>
            <w:hyperlink r:id="rId192">
              <w:r>
                <w:rPr>
                  <w:rFonts w:ascii="Arial" w:cs="Arial" w:eastAsia="Arial" w:hAnsi="Arial"/>
                  <w:sz w:val="18"/>
                  <w:szCs w:val="18"/>
                  <w:color w:val="0000EE"/>
                  <w:w w:val="92"/>
                </w:rPr>
                <w:t>(Macau) Limited, which was formerly known as Melco Crown (Macau) Limited (incorporated herein by reference to Exhibit 10.7 from</w:t>
              </w:r>
            </w:hyperlink>
          </w:p>
        </w:tc>
      </w:tr>
      <w:tr>
        <w:trPr>
          <w:trHeight w:val="196"/>
        </w:trPr>
        <w:tc>
          <w:tcPr>
            <w:tcW w:w="960" w:type="dxa"/>
            <w:vAlign w:val="bottom"/>
          </w:tcPr>
          <w:p>
            <w:pPr>
              <w:spacing w:after="0"/>
              <w:rPr>
                <w:sz w:val="17"/>
                <w:szCs w:val="17"/>
                <w:color w:val="auto"/>
              </w:rPr>
            </w:pPr>
          </w:p>
        </w:tc>
        <w:tc>
          <w:tcPr>
            <w:tcW w:w="9740" w:type="dxa"/>
            <w:vAlign w:val="bottom"/>
            <w:tcBorders>
              <w:top w:val="single" w:sz="8" w:color="0000EE"/>
            </w:tcBorders>
            <w:gridSpan w:val="21"/>
          </w:tcPr>
          <w:p>
            <w:pPr>
              <w:spacing w:after="0" w:line="196" w:lineRule="exact"/>
              <w:rPr>
                <w:rFonts w:ascii="Arial" w:cs="Arial" w:eastAsia="Arial" w:hAnsi="Arial"/>
                <w:sz w:val="18"/>
                <w:szCs w:val="18"/>
                <w:color w:val="0000EE"/>
                <w:w w:val="97"/>
              </w:rPr>
            </w:pPr>
            <w:hyperlink r:id="rId192">
              <w:r>
                <w:rPr>
                  <w:rFonts w:ascii="Arial" w:cs="Arial" w:eastAsia="Arial" w:hAnsi="Arial"/>
                  <w:sz w:val="18"/>
                  <w:szCs w:val="18"/>
                  <w:color w:val="0000EE"/>
                  <w:w w:val="97"/>
                </w:rPr>
                <w:t>our registration statement on Form F-1 (File No. 333-227232), as amended, initially filed with the SEC on September 7, 2018)</w:t>
              </w:r>
            </w:hyperlink>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60" w:type="dxa"/>
            <w:vAlign w:val="bottom"/>
          </w:tcPr>
          <w:p>
            <w:pPr>
              <w:jc w:val="right"/>
              <w:ind w:right="630"/>
              <w:spacing w:after="0"/>
              <w:rPr>
                <w:sz w:val="20"/>
                <w:szCs w:val="20"/>
                <w:color w:val="auto"/>
              </w:rPr>
            </w:pPr>
            <w:r>
              <w:rPr>
                <w:rFonts w:ascii="Arial" w:cs="Arial" w:eastAsia="Arial" w:hAnsi="Arial"/>
                <w:sz w:val="18"/>
                <w:szCs w:val="18"/>
                <w:color w:val="auto"/>
                <w:w w:val="87"/>
              </w:rPr>
              <w:t>4.5</w:t>
            </w:r>
          </w:p>
        </w:tc>
        <w:tc>
          <w:tcPr>
            <w:tcW w:w="9760" w:type="dxa"/>
            <w:vAlign w:val="bottom"/>
            <w:gridSpan w:val="22"/>
          </w:tcPr>
          <w:p>
            <w:pPr>
              <w:spacing w:after="0"/>
              <w:rPr>
                <w:rFonts w:ascii="Arial" w:cs="Arial" w:eastAsia="Arial" w:hAnsi="Arial"/>
                <w:sz w:val="18"/>
                <w:szCs w:val="18"/>
                <w:color w:val="0000EE"/>
                <w:w w:val="94"/>
              </w:rPr>
            </w:pPr>
            <w:hyperlink r:id="rId193">
              <w:r>
                <w:rPr>
                  <w:rFonts w:ascii="Arial" w:cs="Arial" w:eastAsia="Arial" w:hAnsi="Arial"/>
                  <w:sz w:val="18"/>
                  <w:szCs w:val="18"/>
                  <w:color w:val="0000EE"/>
                  <w:w w:val="94"/>
                </w:rPr>
                <w:t>Reimbursement Agreement dated June 15, 2012, between Studio City Entertainment Limited and Melco Resorts (Macau) Limited,</w:t>
              </w:r>
            </w:hyperlink>
          </w:p>
        </w:tc>
      </w:tr>
      <w:tr>
        <w:trPr>
          <w:trHeight w:val="20"/>
        </w:trPr>
        <w:tc>
          <w:tcPr>
            <w:tcW w:w="96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5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93">
              <w:r>
                <w:rPr>
                  <w:rFonts w:ascii="Arial" w:cs="Arial" w:eastAsia="Arial" w:hAnsi="Arial"/>
                  <w:sz w:val="18"/>
                  <w:szCs w:val="18"/>
                  <w:color w:val="0000EE"/>
                  <w:w w:val="92"/>
                </w:rPr>
                <w:t>which was formerly known as Melco Crown (Macau) Limited (incorporated herein by reference to Exhibit 10.8 from our registration</w:t>
              </w:r>
            </w:hyperlink>
          </w:p>
        </w:tc>
        <w:tc>
          <w:tcPr>
            <w:tcW w:w="180" w:type="dxa"/>
            <w:vAlign w:val="bottom"/>
            <w:gridSpan w:val="6"/>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79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statement on Form F-1 (File No. 333-227232), as amended, initially filed with the SEC on September 7, 2018)</w:t>
              </w:r>
            </w:hyperlink>
          </w:p>
        </w:tc>
        <w:tc>
          <w:tcPr>
            <w:tcW w:w="1800" w:type="dxa"/>
            <w:vAlign w:val="bottom"/>
            <w:gridSpan w:val="17"/>
          </w:tcPr>
          <w:p>
            <w:pPr>
              <w:spacing w:after="0"/>
              <w:rPr>
                <w:sz w:val="17"/>
                <w:szCs w:val="17"/>
                <w:color w:val="auto"/>
              </w:rPr>
            </w:pPr>
          </w:p>
        </w:tc>
      </w:tr>
      <w:tr>
        <w:trPr>
          <w:trHeight w:val="304"/>
        </w:trPr>
        <w:tc>
          <w:tcPr>
            <w:tcW w:w="960" w:type="dxa"/>
            <w:vAlign w:val="bottom"/>
          </w:tcPr>
          <w:p>
            <w:pPr>
              <w:jc w:val="right"/>
              <w:ind w:right="630"/>
              <w:spacing w:after="0"/>
              <w:rPr>
                <w:sz w:val="20"/>
                <w:szCs w:val="20"/>
                <w:color w:val="auto"/>
              </w:rPr>
            </w:pPr>
            <w:r>
              <w:rPr>
                <w:rFonts w:ascii="Arial" w:cs="Arial" w:eastAsia="Arial" w:hAnsi="Arial"/>
                <w:sz w:val="18"/>
                <w:szCs w:val="18"/>
                <w:color w:val="auto"/>
                <w:w w:val="87"/>
              </w:rPr>
              <w:t>4.6</w:t>
            </w:r>
          </w:p>
        </w:tc>
        <w:tc>
          <w:tcPr>
            <w:tcW w:w="9400" w:type="dxa"/>
            <w:vAlign w:val="bottom"/>
            <w:tcBorders>
              <w:bottom w:val="single" w:sz="8" w:color="0000EE"/>
            </w:tcBorders>
            <w:gridSpan w:val="11"/>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Services and Right to Use Direct Agreement dated November 26, 2013, among Studio City Company Limited as borrower, Melco</w:t>
              </w:r>
            </w:hyperlink>
          </w:p>
        </w:tc>
        <w:tc>
          <w:tcPr>
            <w:tcW w:w="360" w:type="dxa"/>
            <w:vAlign w:val="bottom"/>
            <w:gridSpan w:val="11"/>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9760" w:type="dxa"/>
            <w:vAlign w:val="bottom"/>
            <w:gridSpan w:val="22"/>
          </w:tcPr>
          <w:p>
            <w:pPr>
              <w:spacing w:after="0" w:line="196" w:lineRule="exact"/>
              <w:rPr>
                <w:rFonts w:ascii="Arial" w:cs="Arial" w:eastAsia="Arial" w:hAnsi="Arial"/>
                <w:sz w:val="18"/>
                <w:szCs w:val="18"/>
                <w:color w:val="0000EE"/>
                <w:w w:val="93"/>
              </w:rPr>
            </w:pPr>
            <w:hyperlink r:id="rId194">
              <w:r>
                <w:rPr>
                  <w:rFonts w:ascii="Arial" w:cs="Arial" w:eastAsia="Arial" w:hAnsi="Arial"/>
                  <w:sz w:val="18"/>
                  <w:szCs w:val="18"/>
                  <w:color w:val="0000EE"/>
                  <w:w w:val="93"/>
                </w:rPr>
                <w:t>Resorts (Macau) Limited, which was formerly known as Melco Crown (Macau) Limited, Studio City Holdings Five Limited, Industrial</w:t>
              </w:r>
            </w:hyperlink>
          </w:p>
        </w:tc>
      </w:tr>
      <w:tr>
        <w:trPr>
          <w:trHeight w:val="196"/>
        </w:trPr>
        <w:tc>
          <w:tcPr>
            <w:tcW w:w="96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and Commercial Bank of China (Macau) Limited as security agent and POA agent and Deutsche Bank AG, Hong Kong Branch as</w:t>
              </w:r>
            </w:hyperlink>
          </w:p>
        </w:tc>
        <w:tc>
          <w:tcPr>
            <w:tcW w:w="34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760" w:type="dxa"/>
            <w:vAlign w:val="bottom"/>
            <w:gridSpan w:val="22"/>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agent, among others (incorporated herein by reference to Exhibit 10.9 from our registration statement on Form F-1 (File</w:t>
              </w:r>
            </w:hyperlink>
          </w:p>
        </w:tc>
      </w:tr>
      <w:tr>
        <w:trPr>
          <w:trHeight w:val="196"/>
        </w:trPr>
        <w:tc>
          <w:tcPr>
            <w:tcW w:w="96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No. 333-227232), as amended, initially filed with the SEC on September 7, 2018)</w:t>
              </w:r>
            </w:hyperlink>
          </w:p>
        </w:tc>
        <w:tc>
          <w:tcPr>
            <w:tcW w:w="2740" w:type="dxa"/>
            <w:vAlign w:val="bottom"/>
            <w:tcBorders>
              <w:top w:val="single" w:sz="8" w:color="0000EE"/>
            </w:tcBorders>
            <w:gridSpan w:val="3"/>
          </w:tcPr>
          <w:p>
            <w:pPr>
              <w:spacing w:after="0"/>
              <w:rPr>
                <w:sz w:val="17"/>
                <w:szCs w:val="17"/>
                <w:color w:val="auto"/>
              </w:rPr>
            </w:pPr>
          </w:p>
        </w:tc>
        <w:tc>
          <w:tcPr>
            <w:tcW w:w="1140" w:type="dxa"/>
            <w:vAlign w:val="bottom"/>
            <w:gridSpan w:val="16"/>
          </w:tcPr>
          <w:p>
            <w:pPr>
              <w:spacing w:after="0"/>
              <w:rPr>
                <w:sz w:val="17"/>
                <w:szCs w:val="17"/>
                <w:color w:val="auto"/>
              </w:rPr>
            </w:pPr>
          </w:p>
        </w:tc>
      </w:tr>
      <w:tr>
        <w:trPr>
          <w:trHeight w:val="304"/>
        </w:trPr>
        <w:tc>
          <w:tcPr>
            <w:tcW w:w="960" w:type="dxa"/>
            <w:vAlign w:val="bottom"/>
          </w:tcPr>
          <w:p>
            <w:pPr>
              <w:jc w:val="right"/>
              <w:ind w:right="630"/>
              <w:spacing w:after="0"/>
              <w:rPr>
                <w:sz w:val="20"/>
                <w:szCs w:val="20"/>
                <w:color w:val="auto"/>
              </w:rPr>
            </w:pPr>
            <w:r>
              <w:rPr>
                <w:rFonts w:ascii="Arial" w:cs="Arial" w:eastAsia="Arial" w:hAnsi="Arial"/>
                <w:sz w:val="18"/>
                <w:szCs w:val="18"/>
                <w:color w:val="auto"/>
                <w:w w:val="87"/>
              </w:rPr>
              <w:t>4.7</w:t>
            </w:r>
          </w:p>
        </w:tc>
        <w:tc>
          <w:tcPr>
            <w:tcW w:w="9460" w:type="dxa"/>
            <w:vAlign w:val="bottom"/>
            <w:tcBorders>
              <w:bottom w:val="single" w:sz="8" w:color="0000EE"/>
            </w:tcBorders>
            <w:gridSpan w:val="13"/>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Master Services Agreement dated December 21, 2015, among Studio City Entertainment Limited, Melco Resorts (Macau) Limited,</w:t>
              </w:r>
            </w:hyperlink>
          </w:p>
        </w:tc>
        <w:tc>
          <w:tcPr>
            <w:tcW w:w="300" w:type="dxa"/>
            <w:vAlign w:val="bottom"/>
            <w:gridSpan w:val="9"/>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9760" w:type="dxa"/>
            <w:vAlign w:val="bottom"/>
            <w:gridSpan w:val="22"/>
          </w:tcPr>
          <w:p>
            <w:pPr>
              <w:spacing w:after="0" w:line="196" w:lineRule="exact"/>
              <w:rPr>
                <w:rFonts w:ascii="Arial" w:cs="Arial" w:eastAsia="Arial" w:hAnsi="Arial"/>
                <w:sz w:val="18"/>
                <w:szCs w:val="18"/>
                <w:color w:val="0000EE"/>
                <w:w w:val="95"/>
              </w:rPr>
            </w:pPr>
            <w:hyperlink r:id="rId195">
              <w:r>
                <w:rPr>
                  <w:rFonts w:ascii="Arial" w:cs="Arial" w:eastAsia="Arial" w:hAnsi="Arial"/>
                  <w:sz w:val="18"/>
                  <w:szCs w:val="18"/>
                  <w:color w:val="0000EE"/>
                  <w:w w:val="95"/>
                </w:rPr>
                <w:t>which was formerly known as Melco Crown (Macau) Limited, and other subsidiaries and affiliates of the Registrant (incorporated</w:t>
              </w:r>
            </w:hyperlink>
          </w:p>
        </w:tc>
      </w:tr>
      <w:tr>
        <w:trPr>
          <w:trHeight w:val="20"/>
        </w:trPr>
        <w:tc>
          <w:tcPr>
            <w:tcW w:w="96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760" w:type="dxa"/>
            <w:vAlign w:val="bottom"/>
            <w:gridSpan w:val="22"/>
          </w:tcPr>
          <w:p>
            <w:pPr>
              <w:spacing w:after="0" w:line="196" w:lineRule="exact"/>
              <w:rPr>
                <w:rFonts w:ascii="Arial" w:cs="Arial" w:eastAsia="Arial" w:hAnsi="Arial"/>
                <w:sz w:val="18"/>
                <w:szCs w:val="18"/>
                <w:color w:val="0000EE"/>
                <w:w w:val="94"/>
              </w:rPr>
            </w:pPr>
            <w:hyperlink r:id="rId195">
              <w:r>
                <w:rPr>
                  <w:rFonts w:ascii="Arial" w:cs="Arial" w:eastAsia="Arial" w:hAnsi="Arial"/>
                  <w:sz w:val="18"/>
                  <w:szCs w:val="18"/>
                  <w:color w:val="0000EE"/>
                  <w:w w:val="94"/>
                </w:rPr>
                <w:t>herein by reference to Exhibit 10.10 from our registration statement on Form F-1 (File No. 333-227232), as amended, initially filed</w:t>
              </w:r>
            </w:hyperlink>
          </w:p>
        </w:tc>
      </w:tr>
      <w:tr>
        <w:trPr>
          <w:trHeight w:val="196"/>
        </w:trPr>
        <w:tc>
          <w:tcPr>
            <w:tcW w:w="96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with the SEC on September 7, 2018)</w:t>
              </w:r>
            </w:hyperlink>
          </w:p>
        </w:tc>
        <w:tc>
          <w:tcPr>
            <w:tcW w:w="6800" w:type="dxa"/>
            <w:vAlign w:val="bottom"/>
            <w:tcBorders>
              <w:top w:val="single" w:sz="8" w:color="0000EE"/>
            </w:tcBorders>
            <w:gridSpan w:val="10"/>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304"/>
        </w:trPr>
        <w:tc>
          <w:tcPr>
            <w:tcW w:w="960" w:type="dxa"/>
            <w:vAlign w:val="bottom"/>
          </w:tcPr>
          <w:p>
            <w:pPr>
              <w:jc w:val="right"/>
              <w:ind w:right="630"/>
              <w:spacing w:after="0"/>
              <w:rPr>
                <w:sz w:val="20"/>
                <w:szCs w:val="20"/>
                <w:color w:val="auto"/>
              </w:rPr>
            </w:pPr>
            <w:r>
              <w:rPr>
                <w:rFonts w:ascii="Arial" w:cs="Arial" w:eastAsia="Arial" w:hAnsi="Arial"/>
                <w:sz w:val="18"/>
                <w:szCs w:val="18"/>
                <w:color w:val="auto"/>
                <w:w w:val="87"/>
              </w:rPr>
              <w:t>4.8</w:t>
            </w:r>
          </w:p>
        </w:tc>
        <w:tc>
          <w:tcPr>
            <w:tcW w:w="9620" w:type="dxa"/>
            <w:vAlign w:val="bottom"/>
            <w:tcBorders>
              <w:bottom w:val="single" w:sz="8" w:color="0000EE"/>
            </w:tcBorders>
            <w:gridSpan w:val="17"/>
          </w:tcPr>
          <w:p>
            <w:pPr>
              <w:spacing w:after="0"/>
              <w:rPr>
                <w:rFonts w:ascii="Arial" w:cs="Arial" w:eastAsia="Arial" w:hAnsi="Arial"/>
                <w:sz w:val="18"/>
                <w:szCs w:val="18"/>
                <w:color w:val="0000EE"/>
                <w:w w:val="89"/>
              </w:rPr>
            </w:pPr>
            <w:hyperlink r:id="rId196">
              <w:r>
                <w:rPr>
                  <w:rFonts w:ascii="Arial" w:cs="Arial" w:eastAsia="Arial" w:hAnsi="Arial"/>
                  <w:sz w:val="18"/>
                  <w:szCs w:val="18"/>
                  <w:color w:val="0000EE"/>
                  <w:w w:val="89"/>
                </w:rPr>
                <w:t>Work Agreement No. 1 dated December 21, 2015, related to sale and purchase of certain property, plant and equipment and inventory</w:t>
              </w:r>
            </w:hyperlink>
          </w:p>
        </w:tc>
        <w:tc>
          <w:tcPr>
            <w:tcW w:w="14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95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and supplies among Studio City Entertainment Limited and other subsidiaries and affiliates of the Registrant (incorporated herein by</w:t>
              </w:r>
            </w:hyperlink>
          </w:p>
        </w:tc>
        <w:tc>
          <w:tcPr>
            <w:tcW w:w="220" w:type="dxa"/>
            <w:vAlign w:val="bottom"/>
            <w:gridSpan w:val="7"/>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760" w:type="dxa"/>
            <w:vAlign w:val="bottom"/>
            <w:gridSpan w:val="22"/>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reference to Exhibit 10.11 from our registration statement on Form F-1 (File No. 333-227232), as amended, initially filed with the SEC</w:t>
              </w:r>
            </w:hyperlink>
          </w:p>
        </w:tc>
      </w:tr>
      <w:tr>
        <w:trPr>
          <w:trHeight w:val="196"/>
        </w:trPr>
        <w:tc>
          <w:tcPr>
            <w:tcW w:w="960" w:type="dxa"/>
            <w:vAlign w:val="bottom"/>
          </w:tcPr>
          <w:p>
            <w:pPr>
              <w:spacing w:after="0"/>
              <w:rPr>
                <w:sz w:val="17"/>
                <w:szCs w:val="17"/>
                <w:color w:val="auto"/>
              </w:rPr>
            </w:pPr>
          </w:p>
        </w:tc>
        <w:tc>
          <w:tcPr>
            <w:tcW w:w="1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96">
              <w:r>
                <w:rPr>
                  <w:rFonts w:ascii="Arial" w:cs="Arial" w:eastAsia="Arial" w:hAnsi="Arial"/>
                  <w:sz w:val="18"/>
                  <w:szCs w:val="18"/>
                  <w:color w:val="0000EE"/>
                  <w:w w:val="87"/>
                </w:rPr>
                <w:t>on September 7, 2018)</w:t>
              </w:r>
            </w:hyperlink>
          </w:p>
        </w:tc>
        <w:tc>
          <w:tcPr>
            <w:tcW w:w="8080" w:type="dxa"/>
            <w:vAlign w:val="bottom"/>
            <w:tcBorders>
              <w:top w:val="single" w:sz="8" w:color="0000EE"/>
            </w:tcBorders>
            <w:gridSpan w:val="1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960" w:type="dxa"/>
            <w:vAlign w:val="bottom"/>
          </w:tcPr>
          <w:p>
            <w:pPr>
              <w:jc w:val="right"/>
              <w:ind w:right="630"/>
              <w:spacing w:after="0"/>
              <w:rPr>
                <w:sz w:val="20"/>
                <w:szCs w:val="20"/>
                <w:color w:val="auto"/>
              </w:rPr>
            </w:pPr>
            <w:r>
              <w:rPr>
                <w:rFonts w:ascii="Arial" w:cs="Arial" w:eastAsia="Arial" w:hAnsi="Arial"/>
                <w:sz w:val="18"/>
                <w:szCs w:val="18"/>
                <w:color w:val="auto"/>
                <w:w w:val="87"/>
              </w:rPr>
              <w:t>4.9</w:t>
            </w:r>
          </w:p>
        </w:tc>
        <w:tc>
          <w:tcPr>
            <w:tcW w:w="9760" w:type="dxa"/>
            <w:vAlign w:val="bottom"/>
            <w:gridSpan w:val="22"/>
          </w:tcPr>
          <w:p>
            <w:pPr>
              <w:spacing w:after="0"/>
              <w:rPr>
                <w:rFonts w:ascii="Arial" w:cs="Arial" w:eastAsia="Arial" w:hAnsi="Arial"/>
                <w:sz w:val="18"/>
                <w:szCs w:val="18"/>
                <w:color w:val="0000EE"/>
                <w:w w:val="93"/>
              </w:rPr>
            </w:pPr>
            <w:hyperlink r:id="rId197">
              <w:r>
                <w:rPr>
                  <w:rFonts w:ascii="Arial" w:cs="Arial" w:eastAsia="Arial" w:hAnsi="Arial"/>
                  <w:sz w:val="18"/>
                  <w:szCs w:val="18"/>
                  <w:color w:val="0000EE"/>
                  <w:w w:val="93"/>
                </w:rPr>
                <w:t>Work Agreement No. 2 dated December 21, 2015, related to corporate services among Studio City Entertainment Limited and other</w:t>
              </w:r>
            </w:hyperlink>
          </w:p>
        </w:tc>
      </w:tr>
      <w:tr>
        <w:trPr>
          <w:trHeight w:val="196"/>
        </w:trPr>
        <w:tc>
          <w:tcPr>
            <w:tcW w:w="960" w:type="dxa"/>
            <w:vAlign w:val="bottom"/>
          </w:tcPr>
          <w:p>
            <w:pPr>
              <w:spacing w:after="0"/>
              <w:rPr>
                <w:sz w:val="17"/>
                <w:szCs w:val="17"/>
                <w:color w:val="auto"/>
              </w:rPr>
            </w:pPr>
          </w:p>
        </w:tc>
        <w:tc>
          <w:tcPr>
            <w:tcW w:w="9480" w:type="dxa"/>
            <w:vAlign w:val="bottom"/>
            <w:tcBorders>
              <w:top w:val="single" w:sz="8" w:color="0000EE"/>
            </w:tcBorders>
            <w:gridSpan w:val="14"/>
          </w:tcPr>
          <w:p>
            <w:pPr>
              <w:spacing w:after="0" w:line="196" w:lineRule="exact"/>
              <w:rPr>
                <w:rFonts w:ascii="Arial" w:cs="Arial" w:eastAsia="Arial" w:hAnsi="Arial"/>
                <w:sz w:val="18"/>
                <w:szCs w:val="18"/>
                <w:color w:val="0000EE"/>
                <w:w w:val="93"/>
              </w:rPr>
            </w:pPr>
            <w:hyperlink r:id="rId197">
              <w:r>
                <w:rPr>
                  <w:rFonts w:ascii="Arial" w:cs="Arial" w:eastAsia="Arial" w:hAnsi="Arial"/>
                  <w:sz w:val="18"/>
                  <w:szCs w:val="18"/>
                  <w:color w:val="0000EE"/>
                  <w:w w:val="93"/>
                </w:rPr>
                <w:t>subsidiaries and affiliates of the Registrant (incorporated herein by reference to Exhibit 10.12 from our registration statement on</w:t>
              </w:r>
            </w:hyperlink>
          </w:p>
        </w:tc>
        <w:tc>
          <w:tcPr>
            <w:tcW w:w="280" w:type="dxa"/>
            <w:vAlign w:val="bottom"/>
            <w:gridSpan w:val="8"/>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Form F-1 (File No. 333-227232), as amended, initially filed with the SEC on September 7, 2018)</w:t>
              </w:r>
            </w:hyperlink>
          </w:p>
        </w:tc>
        <w:tc>
          <w:tcPr>
            <w:tcW w:w="540" w:type="dxa"/>
            <w:vAlign w:val="bottom"/>
            <w:gridSpan w:val="13"/>
          </w:tcPr>
          <w:p>
            <w:pPr>
              <w:spacing w:after="0"/>
              <w:rPr>
                <w:sz w:val="17"/>
                <w:szCs w:val="17"/>
                <w:color w:val="auto"/>
              </w:rPr>
            </w:pPr>
          </w:p>
        </w:tc>
      </w:tr>
      <w:tr>
        <w:trPr>
          <w:trHeight w:val="385"/>
        </w:trPr>
        <w:tc>
          <w:tcPr>
            <w:tcW w:w="960" w:type="dxa"/>
            <w:vAlign w:val="bottom"/>
          </w:tcPr>
          <w:p>
            <w:pPr>
              <w:spacing w:after="0"/>
              <w:rPr>
                <w:sz w:val="24"/>
                <w:szCs w:val="24"/>
                <w:color w:val="auto"/>
              </w:rPr>
            </w:pPr>
          </w:p>
        </w:tc>
        <w:tc>
          <w:tcPr>
            <w:tcW w:w="5880" w:type="dxa"/>
            <w:vAlign w:val="bottom"/>
            <w:tcBorders>
              <w:top w:val="single" w:sz="8" w:color="0000EE"/>
            </w:tcBorders>
            <w:gridSpan w:val="3"/>
          </w:tcPr>
          <w:p>
            <w:pPr>
              <w:ind w:left="4140"/>
              <w:spacing w:after="0"/>
              <w:rPr>
                <w:sz w:val="20"/>
                <w:szCs w:val="20"/>
                <w:color w:val="auto"/>
              </w:rPr>
            </w:pPr>
            <w:r>
              <w:rPr>
                <w:rFonts w:ascii="Arial" w:cs="Arial" w:eastAsia="Arial" w:hAnsi="Arial"/>
                <w:sz w:val="18"/>
                <w:szCs w:val="18"/>
                <w:color w:val="auto"/>
              </w:rPr>
              <w:t>148</w:t>
            </w:r>
          </w:p>
        </w:tc>
        <w:tc>
          <w:tcPr>
            <w:tcW w:w="112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4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640" w:type="dxa"/>
            <w:vAlign w:val="bottom"/>
            <w:gridSpan w:val="25"/>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7"/>
        </w:trPr>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4.10</w:t>
            </w:r>
          </w:p>
        </w:tc>
        <w:tc>
          <w:tcPr>
            <w:tcW w:w="520" w:type="dxa"/>
            <w:vAlign w:val="bottom"/>
          </w:tcPr>
          <w:p>
            <w:pPr>
              <w:spacing w:after="0"/>
              <w:rPr>
                <w:sz w:val="24"/>
                <w:szCs w:val="24"/>
                <w:color w:val="auto"/>
              </w:rPr>
            </w:pPr>
          </w:p>
        </w:tc>
        <w:tc>
          <w:tcPr>
            <w:tcW w:w="9460" w:type="dxa"/>
            <w:vAlign w:val="bottom"/>
            <w:tcBorders>
              <w:bottom w:val="single" w:sz="8" w:color="0000EE"/>
            </w:tcBorders>
            <w:gridSpan w:val="19"/>
          </w:tcPr>
          <w:p>
            <w:pPr>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Work Agreement No. 3 dated December 21, 2015, related to certain pay-as-used charges among Studio City Entertainment Limited</w:t>
              </w:r>
            </w:hyperlink>
          </w:p>
        </w:tc>
        <w:tc>
          <w:tcPr>
            <w:tcW w:w="180" w:type="dxa"/>
            <w:vAlign w:val="bottom"/>
            <w:gridSpan w:val="6"/>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gridSpan w:val="25"/>
          </w:tcPr>
          <w:p>
            <w:pPr>
              <w:spacing w:after="0" w:line="196" w:lineRule="exact"/>
              <w:rPr>
                <w:rFonts w:ascii="Arial" w:cs="Arial" w:eastAsia="Arial" w:hAnsi="Arial"/>
                <w:sz w:val="18"/>
                <w:szCs w:val="18"/>
                <w:color w:val="0000EE"/>
                <w:w w:val="97"/>
              </w:rPr>
            </w:pPr>
            <w:hyperlink r:id="rId199">
              <w:r>
                <w:rPr>
                  <w:rFonts w:ascii="Arial" w:cs="Arial" w:eastAsia="Arial" w:hAnsi="Arial"/>
                  <w:sz w:val="18"/>
                  <w:szCs w:val="18"/>
                  <w:color w:val="0000EE"/>
                  <w:w w:val="97"/>
                </w:rPr>
                <w:t>and other subsidiaries and affiliates of the Registrant (incorporated herein by reference to Exhibit 10.13 from our registration</w:t>
              </w:r>
            </w:hyperlink>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statement on Form F-1 (File No. 333-227232), as amended, initially filed with the SEC on September 7, 2018)</w:t>
              </w:r>
            </w:hyperlink>
          </w:p>
        </w:tc>
        <w:tc>
          <w:tcPr>
            <w:tcW w:w="1020" w:type="dxa"/>
            <w:vAlign w:val="bottom"/>
            <w:tcBorders>
              <w:top w:val="single" w:sz="8" w:color="0000EE"/>
            </w:tcBorders>
            <w:gridSpan w:val="3"/>
          </w:tcPr>
          <w:p>
            <w:pPr>
              <w:spacing w:after="0"/>
              <w:rPr>
                <w:sz w:val="17"/>
                <w:szCs w:val="17"/>
                <w:color w:val="auto"/>
              </w:rPr>
            </w:pPr>
          </w:p>
        </w:tc>
        <w:tc>
          <w:tcPr>
            <w:tcW w:w="660" w:type="dxa"/>
            <w:vAlign w:val="bottom"/>
            <w:gridSpan w:val="15"/>
          </w:tcPr>
          <w:p>
            <w:pPr>
              <w:spacing w:after="0"/>
              <w:rPr>
                <w:sz w:val="17"/>
                <w:szCs w:val="17"/>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4.11</w:t>
            </w:r>
          </w:p>
        </w:tc>
        <w:tc>
          <w:tcPr>
            <w:tcW w:w="520" w:type="dxa"/>
            <w:vAlign w:val="bottom"/>
          </w:tcPr>
          <w:p>
            <w:pPr>
              <w:spacing w:after="0"/>
              <w:rPr>
                <w:sz w:val="24"/>
                <w:szCs w:val="24"/>
                <w:color w:val="auto"/>
              </w:rPr>
            </w:pPr>
          </w:p>
        </w:tc>
        <w:tc>
          <w:tcPr>
            <w:tcW w:w="8760" w:type="dxa"/>
            <w:vAlign w:val="bottom"/>
            <w:tcBorders>
              <w:bottom w:val="single" w:sz="8" w:color="0000EE"/>
            </w:tcBorders>
            <w:gridSpan w:val="8"/>
          </w:tcPr>
          <w:p>
            <w:pPr>
              <w:spacing w:after="0"/>
              <w:rPr>
                <w:rFonts w:ascii="Arial" w:cs="Arial" w:eastAsia="Arial" w:hAnsi="Arial"/>
                <w:sz w:val="18"/>
                <w:szCs w:val="18"/>
                <w:color w:val="0000EE"/>
                <w:w w:val="90"/>
              </w:rPr>
            </w:pPr>
            <w:hyperlink r:id="rId200">
              <w:r>
                <w:rPr>
                  <w:rFonts w:ascii="Arial" w:cs="Arial" w:eastAsia="Arial" w:hAnsi="Arial"/>
                  <w:sz w:val="18"/>
                  <w:szCs w:val="18"/>
                  <w:color w:val="0000EE"/>
                  <w:w w:val="90"/>
                </w:rPr>
                <w:t>Work Agreement No. 4 dated December 21, 2015, related to operational and property sharing services among Studio City</w:t>
              </w:r>
            </w:hyperlink>
          </w:p>
        </w:tc>
        <w:tc>
          <w:tcPr>
            <w:tcW w:w="880" w:type="dxa"/>
            <w:vAlign w:val="bottom"/>
            <w:gridSpan w:val="17"/>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Entertainment Limited and other subsidiaries and affiliates of the Registrant (incorporated herein by reference to Exhibit 10.14 from</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gridSpan w:val="25"/>
          </w:tcPr>
          <w:p>
            <w:pPr>
              <w:spacing w:after="0" w:line="196" w:lineRule="exact"/>
              <w:rPr>
                <w:rFonts w:ascii="Arial" w:cs="Arial" w:eastAsia="Arial" w:hAnsi="Arial"/>
                <w:sz w:val="18"/>
                <w:szCs w:val="18"/>
                <w:color w:val="0000EE"/>
                <w:w w:val="96"/>
              </w:rPr>
            </w:pPr>
            <w:hyperlink r:id="rId200">
              <w:r>
                <w:rPr>
                  <w:rFonts w:ascii="Arial" w:cs="Arial" w:eastAsia="Arial" w:hAnsi="Arial"/>
                  <w:sz w:val="18"/>
                  <w:szCs w:val="18"/>
                  <w:color w:val="0000EE"/>
                  <w:w w:val="96"/>
                </w:rPr>
                <w:t>our registration statement on Form F-1 (File No. 333-227232), as amended, initially filed with the SEC on September 7, 2018)</w:t>
              </w:r>
            </w:hyperlink>
          </w:p>
        </w:tc>
      </w:tr>
      <w:tr>
        <w:trPr>
          <w:trHeight w:val="20"/>
        </w:trPr>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4.12</w:t>
            </w:r>
          </w:p>
        </w:tc>
        <w:tc>
          <w:tcPr>
            <w:tcW w:w="520" w:type="dxa"/>
            <w:vAlign w:val="bottom"/>
          </w:tcPr>
          <w:p>
            <w:pPr>
              <w:spacing w:after="0"/>
              <w:rPr>
                <w:sz w:val="24"/>
                <w:szCs w:val="24"/>
                <w:color w:val="auto"/>
              </w:rPr>
            </w:pPr>
          </w:p>
        </w:tc>
        <w:tc>
          <w:tcPr>
            <w:tcW w:w="9640" w:type="dxa"/>
            <w:vAlign w:val="bottom"/>
            <w:gridSpan w:val="25"/>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Work Agreement No. 5 dated December 21, 2015, related to limousine transportation services among Studio City Hotels Limited and</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other subsidiaries and affiliates of the Registrant (incorporated herein by reference to Exhibit 10.15 from our registration statement on</w:t>
              </w:r>
            </w:hyperlink>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Form F-1 (File No. 333-227232), as amended, initially filed with the SEC on September 7, 2018)</w:t>
              </w:r>
            </w:hyperlink>
          </w:p>
        </w:tc>
        <w:tc>
          <w:tcPr>
            <w:tcW w:w="2640" w:type="dxa"/>
            <w:vAlign w:val="bottom"/>
            <w:gridSpan w:val="20"/>
          </w:tcPr>
          <w:p>
            <w:pPr>
              <w:spacing w:after="0"/>
              <w:rPr>
                <w:sz w:val="17"/>
                <w:szCs w:val="17"/>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4.13</w:t>
            </w:r>
          </w:p>
        </w:tc>
        <w:tc>
          <w:tcPr>
            <w:tcW w:w="520" w:type="dxa"/>
            <w:vAlign w:val="bottom"/>
          </w:tcPr>
          <w:p>
            <w:pPr>
              <w:spacing w:after="0"/>
              <w:rPr>
                <w:sz w:val="24"/>
                <w:szCs w:val="24"/>
                <w:color w:val="auto"/>
              </w:rPr>
            </w:pPr>
          </w:p>
        </w:tc>
        <w:tc>
          <w:tcPr>
            <w:tcW w:w="9400" w:type="dxa"/>
            <w:vAlign w:val="bottom"/>
            <w:tcBorders>
              <w:bottom w:val="single" w:sz="8" w:color="0000EE"/>
            </w:tcBorders>
            <w:gridSpan w:val="17"/>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Work Agreement No. 6 dated December 21, 2015, related to aviation services among Studio City Entertainment Limited and other</w:t>
              </w:r>
            </w:hyperlink>
          </w:p>
        </w:tc>
        <w:tc>
          <w:tcPr>
            <w:tcW w:w="240" w:type="dxa"/>
            <w:vAlign w:val="bottom"/>
            <w:gridSpan w:val="8"/>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gridSpan w:val="25"/>
          </w:tcPr>
          <w:p>
            <w:pPr>
              <w:spacing w:after="0" w:line="196" w:lineRule="exact"/>
              <w:rPr>
                <w:rFonts w:ascii="Arial" w:cs="Arial" w:eastAsia="Arial" w:hAnsi="Arial"/>
                <w:sz w:val="18"/>
                <w:szCs w:val="18"/>
                <w:color w:val="0000EE"/>
                <w:w w:val="94"/>
              </w:rPr>
            </w:pPr>
            <w:hyperlink r:id="rId202">
              <w:r>
                <w:rPr>
                  <w:rFonts w:ascii="Arial" w:cs="Arial" w:eastAsia="Arial" w:hAnsi="Arial"/>
                  <w:sz w:val="18"/>
                  <w:szCs w:val="18"/>
                  <w:color w:val="0000EE"/>
                  <w:w w:val="94"/>
                </w:rPr>
                <w:t>subsidiaries and affiliates of the Registrant (incorporated herein by reference to Exhibit 10.16 from our registration statement on</w:t>
              </w:r>
            </w:hyperlink>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Form F-1 (File No. 333-227232), as amended, initially filed with the SEC on September 7, 2018)</w:t>
              </w:r>
            </w:hyperlink>
          </w:p>
        </w:tc>
        <w:tc>
          <w:tcPr>
            <w:tcW w:w="2200" w:type="dxa"/>
            <w:vAlign w:val="bottom"/>
            <w:tcBorders>
              <w:top w:val="single" w:sz="8" w:color="0000EE"/>
            </w:tcBorders>
            <w:gridSpan w:val="7"/>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4.14</w:t>
            </w:r>
          </w:p>
        </w:tc>
        <w:tc>
          <w:tcPr>
            <w:tcW w:w="520" w:type="dxa"/>
            <w:vAlign w:val="bottom"/>
          </w:tcPr>
          <w:p>
            <w:pPr>
              <w:spacing w:after="0"/>
              <w:rPr>
                <w:sz w:val="24"/>
                <w:szCs w:val="24"/>
                <w:color w:val="auto"/>
              </w:rPr>
            </w:pPr>
          </w:p>
        </w:tc>
        <w:tc>
          <w:tcPr>
            <w:tcW w:w="9160" w:type="dxa"/>
            <w:vAlign w:val="bottom"/>
            <w:tcBorders>
              <w:bottom w:val="single" w:sz="8" w:color="0000EE"/>
            </w:tcBorders>
            <w:gridSpan w:val="12"/>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Work Agreement No. 7 dated December 21, 2015, related to collection and payment services among Studio City Entertainment</w:t>
              </w:r>
            </w:hyperlink>
          </w:p>
        </w:tc>
        <w:tc>
          <w:tcPr>
            <w:tcW w:w="480" w:type="dxa"/>
            <w:vAlign w:val="bottom"/>
            <w:gridSpan w:val="1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Limited and other subsidiaries and affiliates of the Registrant (incorporated herein by reference to Exhibit 10.17 from our registration</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9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statement on Form F-1 (File No. 333-227232), as amended, initially filed with the SEC on September 7, 2018)</w:t>
              </w:r>
            </w:hyperlink>
          </w:p>
        </w:tc>
        <w:tc>
          <w:tcPr>
            <w:tcW w:w="1680" w:type="dxa"/>
            <w:vAlign w:val="bottom"/>
            <w:gridSpan w:val="18"/>
          </w:tcPr>
          <w:p>
            <w:pPr>
              <w:spacing w:after="0"/>
              <w:rPr>
                <w:sz w:val="17"/>
                <w:szCs w:val="17"/>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4.15</w:t>
            </w:r>
          </w:p>
        </w:tc>
        <w:tc>
          <w:tcPr>
            <w:tcW w:w="520" w:type="dxa"/>
            <w:vAlign w:val="bottom"/>
          </w:tcPr>
          <w:p>
            <w:pPr>
              <w:spacing w:after="0"/>
              <w:rPr>
                <w:sz w:val="24"/>
                <w:szCs w:val="24"/>
                <w:color w:val="auto"/>
              </w:rPr>
            </w:pPr>
          </w:p>
        </w:tc>
        <w:tc>
          <w:tcPr>
            <w:tcW w:w="9640" w:type="dxa"/>
            <w:vAlign w:val="bottom"/>
            <w:gridSpan w:val="25"/>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Work Agreement No. 8 dated December 21, 2015, related to limousine transportation services among Studio City Hotels Limited and</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other subsidiaries and affiliates of the Registrant (incorporated herein by reference to Exhibit 10.18 from our registration statement on</w:t>
              </w:r>
            </w:hyperlink>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Form F-1 (File No. 333-227232), as amended, initially filed with the SEC on September 7, 2018)</w:t>
              </w:r>
            </w:hyperlink>
          </w:p>
        </w:tc>
        <w:tc>
          <w:tcPr>
            <w:tcW w:w="2640" w:type="dxa"/>
            <w:vAlign w:val="bottom"/>
            <w:gridSpan w:val="20"/>
          </w:tcPr>
          <w:p>
            <w:pPr>
              <w:spacing w:after="0"/>
              <w:rPr>
                <w:sz w:val="17"/>
                <w:szCs w:val="17"/>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4.16</w:t>
            </w:r>
          </w:p>
        </w:tc>
        <w:tc>
          <w:tcPr>
            <w:tcW w:w="520" w:type="dxa"/>
            <w:vAlign w:val="bottom"/>
          </w:tcPr>
          <w:p>
            <w:pPr>
              <w:spacing w:after="0"/>
              <w:rPr>
                <w:sz w:val="24"/>
                <w:szCs w:val="24"/>
                <w:color w:val="auto"/>
              </w:rPr>
            </w:pPr>
          </w:p>
        </w:tc>
        <w:tc>
          <w:tcPr>
            <w:tcW w:w="9620" w:type="dxa"/>
            <w:vAlign w:val="bottom"/>
            <w:tcBorders>
              <w:bottom w:val="single" w:sz="8" w:color="0000EE"/>
            </w:tcBorders>
            <w:gridSpan w:val="24"/>
          </w:tcPr>
          <w:p>
            <w:pPr>
              <w:spacing w:after="0"/>
              <w:rPr>
                <w:rFonts w:ascii="Arial" w:cs="Arial" w:eastAsia="Arial" w:hAnsi="Arial"/>
                <w:sz w:val="18"/>
                <w:szCs w:val="18"/>
                <w:color w:val="0000EE"/>
                <w:w w:val="91"/>
              </w:rPr>
            </w:pPr>
            <w:hyperlink r:id="rId205">
              <w:r>
                <w:rPr>
                  <w:rFonts w:ascii="Arial" w:cs="Arial" w:eastAsia="Arial" w:hAnsi="Arial"/>
                  <w:sz w:val="18"/>
                  <w:szCs w:val="18"/>
                  <w:color w:val="0000EE"/>
                  <w:w w:val="91"/>
                </w:rPr>
                <w:t>English Translation of the Order of Secretary for Public Works and Transportation published in Macau Official Gazette No. 100/2001</w:t>
              </w:r>
            </w:hyperlink>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dated October 9, 2001, in relation to the Studio City Land Concession (incorporated herein by reference to Exhibit 10.19 from our</w:t>
              </w:r>
            </w:hyperlink>
          </w:p>
        </w:tc>
        <w:tc>
          <w:tcPr>
            <w:tcW w:w="260" w:type="dxa"/>
            <w:vAlign w:val="bottom"/>
            <w:gridSpan w:val="9"/>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gridSpan w:val="25"/>
          </w:tcPr>
          <w:p>
            <w:pPr>
              <w:spacing w:after="0" w:line="196" w:lineRule="exact"/>
              <w:rPr>
                <w:rFonts w:ascii="Arial" w:cs="Arial" w:eastAsia="Arial" w:hAnsi="Arial"/>
                <w:sz w:val="18"/>
                <w:szCs w:val="18"/>
                <w:color w:val="0000EE"/>
                <w:w w:val="99"/>
              </w:rPr>
            </w:pPr>
            <w:hyperlink r:id="rId205">
              <w:r>
                <w:rPr>
                  <w:rFonts w:ascii="Arial" w:cs="Arial" w:eastAsia="Arial" w:hAnsi="Arial"/>
                  <w:sz w:val="18"/>
                  <w:szCs w:val="18"/>
                  <w:color w:val="0000EE"/>
                  <w:w w:val="99"/>
                </w:rPr>
                <w:t>registration statement on Form F-1 (File No. 333-227232), as amended, initially filed with the SEC on September 7, 2018)</w:t>
              </w:r>
            </w:hyperlink>
          </w:p>
        </w:tc>
      </w:tr>
      <w:tr>
        <w:trPr>
          <w:trHeight w:val="20"/>
        </w:trPr>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2940" w:type="dxa"/>
            <w:vAlign w:val="bottom"/>
            <w:gridSpan w:val="5"/>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4.17</w:t>
            </w:r>
          </w:p>
        </w:tc>
        <w:tc>
          <w:tcPr>
            <w:tcW w:w="520" w:type="dxa"/>
            <w:vAlign w:val="bottom"/>
          </w:tcPr>
          <w:p>
            <w:pPr>
              <w:spacing w:after="0"/>
              <w:rPr>
                <w:sz w:val="24"/>
                <w:szCs w:val="24"/>
                <w:color w:val="auto"/>
              </w:rPr>
            </w:pPr>
          </w:p>
        </w:tc>
        <w:tc>
          <w:tcPr>
            <w:tcW w:w="9280" w:type="dxa"/>
            <w:vAlign w:val="bottom"/>
            <w:tcBorders>
              <w:bottom w:val="single" w:sz="8" w:color="0000EE"/>
            </w:tcBorders>
            <w:gridSpan w:val="14"/>
          </w:tcPr>
          <w:p>
            <w:pPr>
              <w:spacing w:after="0"/>
              <w:rPr>
                <w:rFonts w:ascii="Arial" w:cs="Arial" w:eastAsia="Arial" w:hAnsi="Arial"/>
                <w:sz w:val="18"/>
                <w:szCs w:val="18"/>
                <w:color w:val="0000EE"/>
                <w:w w:val="91"/>
              </w:rPr>
            </w:pPr>
            <w:hyperlink r:id="rId206">
              <w:r>
                <w:rPr>
                  <w:rFonts w:ascii="Arial" w:cs="Arial" w:eastAsia="Arial" w:hAnsi="Arial"/>
                  <w:sz w:val="18"/>
                  <w:szCs w:val="18"/>
                  <w:color w:val="0000EE"/>
                  <w:w w:val="91"/>
                </w:rPr>
                <w:t>English Translation of the amended Order of Secretary for Public Works and Transportation published in Macau Official Gazette</w:t>
              </w:r>
            </w:hyperlink>
          </w:p>
        </w:tc>
        <w:tc>
          <w:tcPr>
            <w:tcW w:w="360" w:type="dxa"/>
            <w:vAlign w:val="bottom"/>
            <w:gridSpan w:val="11"/>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gridSpan w:val="25"/>
          </w:tcPr>
          <w:p>
            <w:pPr>
              <w:spacing w:after="0" w:line="19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No. 31/2012 dated July 19, 2012, in relation to the Studio City Land Concession (incorporated herein by reference to Exhibit 10.20</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3480" w:type="dxa"/>
            <w:vAlign w:val="bottom"/>
            <w:gridSpan w:val="11"/>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gridSpan w:val="25"/>
          </w:tcPr>
          <w:p>
            <w:pPr>
              <w:spacing w:after="0" w:line="19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from our registration statement on Form F-1 (File No. 333-227232), as amended, initially filed with the SEC on September 7, 2018)</w:t>
              </w:r>
            </w:hyperlink>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4.18</w:t>
            </w:r>
          </w:p>
        </w:tc>
        <w:tc>
          <w:tcPr>
            <w:tcW w:w="520" w:type="dxa"/>
            <w:vAlign w:val="bottom"/>
          </w:tcPr>
          <w:p>
            <w:pPr>
              <w:spacing w:after="0"/>
              <w:rPr>
                <w:sz w:val="24"/>
                <w:szCs w:val="24"/>
                <w:color w:val="auto"/>
              </w:rPr>
            </w:pPr>
          </w:p>
        </w:tc>
        <w:tc>
          <w:tcPr>
            <w:tcW w:w="92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r:id="rId207">
              <w:r>
                <w:rPr>
                  <w:rFonts w:ascii="Arial" w:cs="Arial" w:eastAsia="Arial" w:hAnsi="Arial"/>
                  <w:sz w:val="18"/>
                  <w:szCs w:val="18"/>
                  <w:color w:val="0000EE"/>
                  <w:w w:val="91"/>
                </w:rPr>
                <w:t>English Translation of the amended Order of Secretary for Public Works and Transportation published in Macau Official Gazette</w:t>
              </w:r>
            </w:hyperlink>
          </w:p>
        </w:tc>
        <w:tc>
          <w:tcPr>
            <w:tcW w:w="220" w:type="dxa"/>
            <w:vAlign w:val="bottom"/>
            <w:tcBorders>
              <w:top w:val="single" w:sz="8" w:color="0000EE"/>
            </w:tcBorders>
            <w:gridSpan w:val="7"/>
          </w:tcPr>
          <w:p>
            <w:pPr>
              <w:spacing w:after="0"/>
              <w:rPr>
                <w:sz w:val="24"/>
                <w:szCs w:val="24"/>
                <w:color w:val="auto"/>
              </w:rPr>
            </w:pPr>
          </w:p>
        </w:tc>
        <w:tc>
          <w:tcPr>
            <w:tcW w:w="140" w:type="dxa"/>
            <w:vAlign w:val="bottom"/>
            <w:gridSpan w:val="4"/>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gridSpan w:val="25"/>
          </w:tcPr>
          <w:p>
            <w:pPr>
              <w:spacing w:after="0" w:line="196" w:lineRule="exact"/>
              <w:rPr>
                <w:rFonts w:ascii="Arial" w:cs="Arial" w:eastAsia="Arial" w:hAnsi="Arial"/>
                <w:sz w:val="18"/>
                <w:szCs w:val="18"/>
                <w:color w:val="0000EE"/>
                <w:w w:val="92"/>
              </w:rPr>
            </w:pPr>
            <w:hyperlink r:id="rId207">
              <w:r>
                <w:rPr>
                  <w:rFonts w:ascii="Arial" w:cs="Arial" w:eastAsia="Arial" w:hAnsi="Arial"/>
                  <w:sz w:val="18"/>
                  <w:szCs w:val="18"/>
                  <w:color w:val="0000EE"/>
                  <w:w w:val="92"/>
                </w:rPr>
                <w:t>No. 92/2015 dated September 10, 2015, in relation to the Studio City Land Concession (incorporated herein by reference to Exhibit</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3480" w:type="dxa"/>
            <w:vAlign w:val="bottom"/>
            <w:gridSpan w:val="11"/>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gridSpan w:val="25"/>
          </w:tcPr>
          <w:p>
            <w:pPr>
              <w:spacing w:after="0" w:line="196" w:lineRule="exact"/>
              <w:rPr>
                <w:rFonts w:ascii="Arial" w:cs="Arial" w:eastAsia="Arial" w:hAnsi="Arial"/>
                <w:sz w:val="18"/>
                <w:szCs w:val="18"/>
                <w:color w:val="0000EE"/>
                <w:w w:val="92"/>
              </w:rPr>
            </w:pPr>
            <w:hyperlink r:id="rId20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21</w:t>
              </w:r>
              <w:r>
                <w:rPr>
                  <w:rFonts w:ascii="Arial" w:cs="Arial" w:eastAsia="Arial" w:hAnsi="Arial"/>
                  <w:sz w:val="18"/>
                  <w:szCs w:val="18"/>
                  <w:color w:val="0000EE"/>
                  <w:w w:val="92"/>
                </w:rPr>
                <w:t xml:space="preserve"> from our registration statement on Form F-1 (File No. 333-227232), as amended, initially filed with the SEC on September 7,</w:t>
              </w:r>
            </w:hyperlink>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07">
              <w:r>
                <w:rPr>
                  <w:rFonts w:ascii="Arial" w:cs="Arial" w:eastAsia="Arial" w:hAnsi="Arial"/>
                  <w:sz w:val="18"/>
                  <w:szCs w:val="18"/>
                  <w:color w:val="0000EE"/>
                  <w:w w:val="86"/>
                </w:rPr>
                <w:t>2018)</w:t>
              </w:r>
            </w:hyperlink>
          </w:p>
        </w:tc>
        <w:tc>
          <w:tcPr>
            <w:tcW w:w="1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8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4.19</w:t>
            </w:r>
          </w:p>
        </w:tc>
        <w:tc>
          <w:tcPr>
            <w:tcW w:w="520" w:type="dxa"/>
            <w:vAlign w:val="bottom"/>
          </w:tcPr>
          <w:p>
            <w:pPr>
              <w:spacing w:after="0"/>
              <w:rPr>
                <w:sz w:val="24"/>
                <w:szCs w:val="24"/>
                <w:color w:val="auto"/>
              </w:rPr>
            </w:pPr>
          </w:p>
        </w:tc>
        <w:tc>
          <w:tcPr>
            <w:tcW w:w="9400" w:type="dxa"/>
            <w:vAlign w:val="bottom"/>
            <w:tcBorders>
              <w:bottom w:val="single" w:sz="8" w:color="0000EE"/>
            </w:tcBorders>
            <w:gridSpan w:val="17"/>
          </w:tcPr>
          <w:p>
            <w:pPr>
              <w:spacing w:after="0"/>
              <w:rPr>
                <w:rFonts w:ascii="Arial" w:cs="Arial" w:eastAsia="Arial" w:hAnsi="Arial"/>
                <w:sz w:val="18"/>
                <w:szCs w:val="18"/>
                <w:color w:val="0000EE"/>
                <w:w w:val="92"/>
              </w:rPr>
            </w:pPr>
            <w:hyperlink r:id="rId208">
              <w:r>
                <w:rPr>
                  <w:rFonts w:ascii="Arial" w:cs="Arial" w:eastAsia="Arial" w:hAnsi="Arial"/>
                  <w:sz w:val="18"/>
                  <w:szCs w:val="18"/>
                  <w:color w:val="0000EE"/>
                  <w:w w:val="92"/>
                </w:rPr>
                <w:t>Participation Agreement among MSC Cotai Limited, New Cotai, LLC and the Registrant (form of which is incorporated herein by</w:t>
              </w:r>
            </w:hyperlink>
          </w:p>
        </w:tc>
        <w:tc>
          <w:tcPr>
            <w:tcW w:w="240" w:type="dxa"/>
            <w:vAlign w:val="bottom"/>
            <w:gridSpan w:val="8"/>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gridSpan w:val="25"/>
          </w:tcPr>
          <w:p>
            <w:pPr>
              <w:spacing w:after="0" w:line="196" w:lineRule="exact"/>
              <w:rPr>
                <w:rFonts w:ascii="Arial" w:cs="Arial" w:eastAsia="Arial" w:hAnsi="Arial"/>
                <w:sz w:val="18"/>
                <w:szCs w:val="18"/>
                <w:color w:val="0000EE"/>
                <w:w w:val="94"/>
              </w:rPr>
            </w:pPr>
            <w:hyperlink r:id="rId208">
              <w:r>
                <w:rPr>
                  <w:rFonts w:ascii="Arial" w:cs="Arial" w:eastAsia="Arial" w:hAnsi="Arial"/>
                  <w:sz w:val="18"/>
                  <w:szCs w:val="18"/>
                  <w:color w:val="0000EE"/>
                  <w:w w:val="94"/>
                </w:rPr>
                <w:t>reference to Exhibit 10.22 from our registration statement on Form F-1 (File No. 333-227232), as amended, initially filed with the</w:t>
              </w:r>
            </w:hyperlink>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208">
              <w:r>
                <w:rPr>
                  <w:rFonts w:ascii="Arial" w:cs="Arial" w:eastAsia="Arial" w:hAnsi="Arial"/>
                  <w:sz w:val="18"/>
                  <w:szCs w:val="18"/>
                  <w:color w:val="0000EE"/>
                  <w:w w:val="88"/>
                </w:rPr>
                <w:t>SEC on September 7, 2018)</w:t>
              </w:r>
            </w:hyperlink>
          </w:p>
        </w:tc>
        <w:tc>
          <w:tcPr>
            <w:tcW w:w="7340" w:type="dxa"/>
            <w:vAlign w:val="bottom"/>
            <w:tcBorders>
              <w:top w:val="single" w:sz="8" w:color="0000EE"/>
            </w:tcBorders>
            <w:gridSpan w:val="12"/>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4.20</w:t>
            </w:r>
          </w:p>
        </w:tc>
        <w:tc>
          <w:tcPr>
            <w:tcW w:w="520" w:type="dxa"/>
            <w:vAlign w:val="bottom"/>
          </w:tcPr>
          <w:p>
            <w:pPr>
              <w:spacing w:after="0"/>
              <w:rPr>
                <w:sz w:val="24"/>
                <w:szCs w:val="24"/>
                <w:color w:val="auto"/>
              </w:rPr>
            </w:pPr>
          </w:p>
        </w:tc>
        <w:tc>
          <w:tcPr>
            <w:tcW w:w="9600" w:type="dxa"/>
            <w:vAlign w:val="bottom"/>
            <w:tcBorders>
              <w:bottom w:val="single" w:sz="8" w:color="0000EE"/>
            </w:tcBorders>
            <w:gridSpan w:val="23"/>
          </w:tcPr>
          <w:p>
            <w:pPr>
              <w:spacing w:after="0"/>
              <w:rPr>
                <w:rFonts w:ascii="Arial" w:cs="Arial" w:eastAsia="Arial" w:hAnsi="Arial"/>
                <w:sz w:val="18"/>
                <w:szCs w:val="18"/>
                <w:color w:val="0000EE"/>
                <w:w w:val="92"/>
              </w:rPr>
            </w:pPr>
            <w:hyperlink r:id="rId209">
              <w:r>
                <w:rPr>
                  <w:rFonts w:ascii="Arial" w:cs="Arial" w:eastAsia="Arial" w:hAnsi="Arial"/>
                  <w:sz w:val="18"/>
                  <w:szCs w:val="18"/>
                  <w:color w:val="0000EE"/>
                  <w:w w:val="92"/>
                </w:rPr>
                <w:t>Implementation Agreement among MCO Cotai Investments Limited, New Cotai, LLC, Melco Resorts &amp; Entertainment Limited and</w:t>
              </w:r>
            </w:hyperlink>
          </w:p>
        </w:tc>
        <w:tc>
          <w:tcPr>
            <w:tcW w:w="40" w:type="dxa"/>
            <w:vAlign w:val="bottom"/>
            <w:gridSpan w:val="2"/>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the Registrant (form of which is incorporated herein by reference to Exhibit 10.23 from our registration statement on Form F-1 (File</w:t>
              </w:r>
            </w:hyperlink>
          </w:p>
        </w:tc>
        <w:tc>
          <w:tcPr>
            <w:tcW w:w="120" w:type="dxa"/>
            <w:vAlign w:val="bottom"/>
            <w:gridSpan w:val="3"/>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gridSpan w:val="25"/>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No. 333-227232), as amended, initially filed with the SEC on September 7, 2018)</w:t>
              </w:r>
            </w:hyperlink>
          </w:p>
        </w:tc>
      </w:tr>
      <w:tr>
        <w:trPr>
          <w:trHeight w:val="38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80" w:type="dxa"/>
            <w:vAlign w:val="bottom"/>
            <w:tcBorders>
              <w:top w:val="single" w:sz="8" w:color="0000EE"/>
            </w:tcBorders>
            <w:gridSpan w:val="4"/>
          </w:tcPr>
          <w:p>
            <w:pPr>
              <w:ind w:left="4040"/>
              <w:spacing w:after="0"/>
              <w:rPr>
                <w:sz w:val="20"/>
                <w:szCs w:val="20"/>
                <w:color w:val="auto"/>
              </w:rPr>
            </w:pPr>
            <w:r>
              <w:rPr>
                <w:rFonts w:ascii="Arial" w:cs="Arial" w:eastAsia="Arial" w:hAnsi="Arial"/>
                <w:sz w:val="18"/>
                <w:szCs w:val="18"/>
                <w:color w:val="auto"/>
              </w:rPr>
              <w:t>149</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30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780" w:type="dxa"/>
            <w:vAlign w:val="bottom"/>
            <w:gridSpan w:val="13"/>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7"/>
        </w:trPr>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4.21</w:t>
            </w:r>
          </w:p>
        </w:tc>
        <w:tc>
          <w:tcPr>
            <w:tcW w:w="420" w:type="dxa"/>
            <w:vAlign w:val="bottom"/>
          </w:tcPr>
          <w:p>
            <w:pPr>
              <w:spacing w:after="0"/>
              <w:rPr>
                <w:sz w:val="24"/>
                <w:szCs w:val="24"/>
                <w:color w:val="auto"/>
              </w:rPr>
            </w:pPr>
          </w:p>
        </w:tc>
        <w:tc>
          <w:tcPr>
            <w:tcW w:w="9280" w:type="dxa"/>
            <w:vAlign w:val="bottom"/>
            <w:tcBorders>
              <w:bottom w:val="single" w:sz="8" w:color="0000EE"/>
            </w:tcBorders>
            <w:gridSpan w:val="7"/>
          </w:tcPr>
          <w:p>
            <w:pPr>
              <w:spacing w:after="0"/>
              <w:rPr>
                <w:rFonts w:ascii="Arial" w:cs="Arial" w:eastAsia="Arial" w:hAnsi="Arial"/>
                <w:sz w:val="18"/>
                <w:szCs w:val="18"/>
                <w:color w:val="0000EE"/>
                <w:w w:val="90"/>
              </w:rPr>
            </w:pPr>
            <w:hyperlink r:id="rId211">
              <w:r>
                <w:rPr>
                  <w:rFonts w:ascii="Arial" w:cs="Arial" w:eastAsia="Arial" w:hAnsi="Arial"/>
                  <w:sz w:val="18"/>
                  <w:szCs w:val="18"/>
                  <w:color w:val="0000EE"/>
                  <w:w w:val="90"/>
                </w:rPr>
                <w:t>Underwriting Agreement, dated October 17, 2018, among the Registrant, Deutsche Bank Securities Inc., Credit Suisse Securities</w:t>
              </w:r>
            </w:hyperlink>
          </w:p>
        </w:tc>
        <w:tc>
          <w:tcPr>
            <w:tcW w:w="500" w:type="dxa"/>
            <w:vAlign w:val="bottom"/>
            <w:gridSpan w:val="6"/>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211">
              <w:r>
                <w:rPr>
                  <w:rFonts w:ascii="Arial" w:cs="Arial" w:eastAsia="Arial" w:hAnsi="Arial"/>
                  <w:sz w:val="18"/>
                  <w:szCs w:val="18"/>
                  <w:color w:val="0000EE"/>
                  <w:w w:val="92"/>
                </w:rPr>
                <w:t>(USA) LLC and Morgan Stanley &amp; Co. International plc as underwriters (incorporated by reference to Exhibit 4.21 from our annual</w:t>
              </w:r>
            </w:hyperlink>
          </w:p>
        </w:tc>
        <w:tc>
          <w:tcPr>
            <w:tcW w:w="260" w:type="dxa"/>
            <w:vAlign w:val="bottom"/>
            <w:gridSpan w:val="3"/>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EE"/>
                <w:w w:val="97"/>
              </w:rPr>
            </w:pPr>
            <w:hyperlink r:id="rId211">
              <w:r>
                <w:rPr>
                  <w:rFonts w:ascii="Arial" w:cs="Arial" w:eastAsia="Arial" w:hAnsi="Arial"/>
                  <w:sz w:val="18"/>
                  <w:szCs w:val="18"/>
                  <w:color w:val="0000EE"/>
                  <w:w w:val="97"/>
                </w:rPr>
                <w:t>report on Form 20-F for the fiscal year ended December 31, 2018 (File No. 001-38699), filed with the SEC on March 29, 2019)</w:t>
              </w:r>
            </w:hyperlink>
          </w:p>
        </w:tc>
      </w:tr>
      <w:tr>
        <w:trPr>
          <w:trHeight w:val="20"/>
        </w:trPr>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4.22</w:t>
            </w:r>
          </w:p>
        </w:tc>
        <w:tc>
          <w:tcPr>
            <w:tcW w:w="420" w:type="dxa"/>
            <w:vAlign w:val="bottom"/>
          </w:tcPr>
          <w:p>
            <w:pPr>
              <w:spacing w:after="0"/>
              <w:rPr>
                <w:sz w:val="24"/>
                <w:szCs w:val="24"/>
                <w:color w:val="auto"/>
              </w:rPr>
            </w:pPr>
          </w:p>
        </w:tc>
        <w:tc>
          <w:tcPr>
            <w:tcW w:w="9300" w:type="dxa"/>
            <w:vAlign w:val="bottom"/>
            <w:tcBorders>
              <w:bottom w:val="single" w:sz="8" w:color="0000EE"/>
            </w:tcBorders>
            <w:gridSpan w:val="8"/>
          </w:tcPr>
          <w:p>
            <w:pPr>
              <w:spacing w:after="0"/>
              <w:rPr>
                <w:rFonts w:ascii="Arial" w:cs="Arial" w:eastAsia="Arial" w:hAnsi="Arial"/>
                <w:sz w:val="18"/>
                <w:szCs w:val="18"/>
                <w:color w:val="0000EE"/>
                <w:w w:val="89"/>
              </w:rPr>
            </w:pPr>
            <w:hyperlink r:id="rId212">
              <w:r>
                <w:rPr>
                  <w:rFonts w:ascii="Arial" w:cs="Arial" w:eastAsia="Arial" w:hAnsi="Arial"/>
                  <w:sz w:val="18"/>
                  <w:szCs w:val="18"/>
                  <w:color w:val="0000EE"/>
                  <w:w w:val="89"/>
                </w:rPr>
                <w:t>Purchase Agreement, dated January 29, 2019, among Studio City Finance Limited, the subsidiary guarantors as specified therein,</w:t>
              </w:r>
            </w:hyperlink>
          </w:p>
        </w:tc>
        <w:tc>
          <w:tcPr>
            <w:tcW w:w="480" w:type="dxa"/>
            <w:vAlign w:val="bottom"/>
            <w:gridSpan w:val="5"/>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Deutsche Bank AG, Singapore Branch, Australia and New Zealand Banking Group Limited, Bank of Communications Co., Ltd. Macau</w:t>
              </w:r>
            </w:hyperlink>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r:id="rId212">
              <w:r>
                <w:rPr>
                  <w:rFonts w:ascii="Arial" w:cs="Arial" w:eastAsia="Arial" w:hAnsi="Arial"/>
                  <w:sz w:val="18"/>
                  <w:szCs w:val="18"/>
                  <w:color w:val="0000EE"/>
                  <w:w w:val="93"/>
                </w:rPr>
                <w:t>Branch, BOCI Asia Limited, Industrial and Commercial Bank of China (Asia) Limited, ICBC (Macau) Capital Limited and Mizuho</w:t>
              </w:r>
            </w:hyperlink>
          </w:p>
        </w:tc>
        <w:tc>
          <w:tcPr>
            <w:tcW w:w="2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Securities Asia Limited regarding the 7.250% Senior Notes due 2024 (incorporated by reference to Exhibit 4.22 from our annual report</w:t>
              </w:r>
            </w:hyperlink>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on Form 20-F for the fiscal year ended December 31, 2018 (File No. 001-38699), filed with the SEC on March 29, 2019)</w:t>
              </w:r>
            </w:hyperlink>
          </w:p>
        </w:tc>
        <w:tc>
          <w:tcPr>
            <w:tcW w:w="100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4"/>
                <w:szCs w:val="24"/>
                <w:color w:val="auto"/>
              </w:rPr>
            </w:pPr>
          </w:p>
        </w:tc>
        <w:tc>
          <w:tcPr>
            <w:tcW w:w="9780" w:type="dxa"/>
            <w:vAlign w:val="bottom"/>
            <w:gridSpan w:val="13"/>
          </w:tcPr>
          <w:p>
            <w:pPr>
              <w:spacing w:after="0"/>
              <w:rPr>
                <w:rFonts w:ascii="Arial" w:cs="Arial" w:eastAsia="Arial" w:hAnsi="Arial"/>
                <w:sz w:val="18"/>
                <w:szCs w:val="18"/>
                <w:color w:val="0000EE"/>
              </w:rPr>
            </w:pPr>
            <w:hyperlink w:anchor="page829">
              <w:r>
                <w:rPr>
                  <w:rFonts w:ascii="Arial" w:cs="Arial" w:eastAsia="Arial" w:hAnsi="Arial"/>
                  <w:sz w:val="18"/>
                  <w:szCs w:val="18"/>
                  <w:color w:val="0000EE"/>
                </w:rPr>
                <w:t>Significant Subsidiaries of the Registrant</w:t>
              </w:r>
            </w:hyperlink>
          </w:p>
        </w:tc>
      </w:tr>
      <w:tr>
        <w:trPr>
          <w:trHeight w:val="20"/>
        </w:trPr>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9"/>
          </w:tcPr>
          <w:p>
            <w:pPr>
              <w:spacing w:after="0" w:line="20" w:lineRule="exact"/>
              <w:rPr>
                <w:sz w:val="1"/>
                <w:szCs w:val="1"/>
                <w:color w:val="auto"/>
              </w:rPr>
            </w:pPr>
          </w:p>
        </w:tc>
      </w:tr>
      <w:tr>
        <w:trPr>
          <w:trHeight w:val="304"/>
        </w:trPr>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24"/>
                <w:szCs w:val="24"/>
                <w:color w:val="auto"/>
              </w:rPr>
            </w:pPr>
          </w:p>
        </w:tc>
        <w:tc>
          <w:tcPr>
            <w:tcW w:w="56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30">
              <w:r>
                <w:rPr>
                  <w:rFonts w:ascii="Arial" w:cs="Arial" w:eastAsia="Arial" w:hAnsi="Arial"/>
                  <w:sz w:val="18"/>
                  <w:szCs w:val="18"/>
                  <w:color w:val="0000EE"/>
                  <w:w w:val="91"/>
                </w:rPr>
                <w:t>CEO Certification Pursuant to Section 302 of the Sarbanes-Oxley Act of 2002</w:t>
              </w:r>
            </w:hyperlink>
          </w:p>
        </w:tc>
        <w:tc>
          <w:tcPr>
            <w:tcW w:w="4140" w:type="dxa"/>
            <w:vAlign w:val="bottom"/>
            <w:gridSpan w:val="9"/>
          </w:tcPr>
          <w:p>
            <w:pPr>
              <w:spacing w:after="0"/>
              <w:rPr>
                <w:sz w:val="24"/>
                <w:szCs w:val="24"/>
                <w:color w:val="auto"/>
              </w:rPr>
            </w:pPr>
          </w:p>
        </w:tc>
      </w:tr>
      <w:tr>
        <w:trPr>
          <w:trHeight w:val="304"/>
        </w:trPr>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24"/>
                <w:szCs w:val="24"/>
                <w:color w:val="auto"/>
              </w:rPr>
            </w:pPr>
          </w:p>
        </w:tc>
        <w:tc>
          <w:tcPr>
            <w:tcW w:w="5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31">
              <w:r>
                <w:rPr>
                  <w:rFonts w:ascii="Arial" w:cs="Arial" w:eastAsia="Arial" w:hAnsi="Arial"/>
                  <w:sz w:val="18"/>
                  <w:szCs w:val="18"/>
                  <w:color w:val="0000EE"/>
                  <w:w w:val="91"/>
                </w:rPr>
                <w:t>CFO Certification Pursuant to Section 302 of the Sarbanes-Oxley Act of 2002</w:t>
              </w:r>
            </w:hyperlink>
          </w:p>
        </w:tc>
        <w:tc>
          <w:tcPr>
            <w:tcW w:w="4160" w:type="dxa"/>
            <w:vAlign w:val="bottom"/>
            <w:gridSpan w:val="10"/>
          </w:tcPr>
          <w:p>
            <w:pPr>
              <w:spacing w:after="0"/>
              <w:rPr>
                <w:sz w:val="24"/>
                <w:szCs w:val="24"/>
                <w:color w:val="auto"/>
              </w:rPr>
            </w:pPr>
          </w:p>
        </w:tc>
      </w:tr>
      <w:tr>
        <w:trPr>
          <w:trHeight w:val="304"/>
        </w:trPr>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24"/>
                <w:szCs w:val="24"/>
                <w:color w:val="auto"/>
              </w:rPr>
            </w:pPr>
          </w:p>
        </w:tc>
        <w:tc>
          <w:tcPr>
            <w:tcW w:w="56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32">
              <w:r>
                <w:rPr>
                  <w:rFonts w:ascii="Arial" w:cs="Arial" w:eastAsia="Arial" w:hAnsi="Arial"/>
                  <w:sz w:val="18"/>
                  <w:szCs w:val="18"/>
                  <w:color w:val="0000EE"/>
                  <w:w w:val="91"/>
                </w:rPr>
                <w:t>CEO Certification Pursuant to Section 906 of the Sarbanes-Oxley Act of 2002</w:t>
              </w:r>
            </w:hyperlink>
          </w:p>
        </w:tc>
        <w:tc>
          <w:tcPr>
            <w:tcW w:w="4140" w:type="dxa"/>
            <w:vAlign w:val="bottom"/>
            <w:gridSpan w:val="9"/>
          </w:tcPr>
          <w:p>
            <w:pPr>
              <w:spacing w:after="0"/>
              <w:rPr>
                <w:sz w:val="24"/>
                <w:szCs w:val="24"/>
                <w:color w:val="auto"/>
              </w:rPr>
            </w:pPr>
          </w:p>
        </w:tc>
      </w:tr>
      <w:tr>
        <w:trPr>
          <w:trHeight w:val="304"/>
        </w:trPr>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24"/>
                <w:szCs w:val="24"/>
                <w:color w:val="auto"/>
              </w:rPr>
            </w:pPr>
          </w:p>
        </w:tc>
        <w:tc>
          <w:tcPr>
            <w:tcW w:w="5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33">
              <w:r>
                <w:rPr>
                  <w:rFonts w:ascii="Arial" w:cs="Arial" w:eastAsia="Arial" w:hAnsi="Arial"/>
                  <w:sz w:val="18"/>
                  <w:szCs w:val="18"/>
                  <w:color w:val="0000EE"/>
                  <w:w w:val="91"/>
                </w:rPr>
                <w:t>CFO Certification Pursuant to Section 906 of the Sarbanes-Oxley Act of 2002</w:t>
              </w:r>
            </w:hyperlink>
          </w:p>
        </w:tc>
        <w:tc>
          <w:tcPr>
            <w:tcW w:w="4160" w:type="dxa"/>
            <w:vAlign w:val="bottom"/>
            <w:gridSpan w:val="10"/>
          </w:tcPr>
          <w:p>
            <w:pPr>
              <w:spacing w:after="0"/>
              <w:rPr>
                <w:sz w:val="24"/>
                <w:szCs w:val="24"/>
                <w:color w:val="auto"/>
              </w:rPr>
            </w:pPr>
          </w:p>
        </w:tc>
      </w:tr>
      <w:tr>
        <w:trPr>
          <w:trHeight w:val="330"/>
        </w:trPr>
        <w:tc>
          <w:tcPr>
            <w:tcW w:w="12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80" w:type="dxa"/>
            <w:vAlign w:val="bottom"/>
            <w:gridSpan w:val="13"/>
          </w:tcPr>
          <w:p>
            <w:pPr>
              <w:spacing w:after="0"/>
              <w:rPr>
                <w:sz w:val="20"/>
                <w:szCs w:val="20"/>
                <w:color w:val="auto"/>
              </w:rPr>
            </w:pPr>
            <w:r>
              <w:rPr>
                <w:rFonts w:ascii="Arial" w:cs="Arial" w:eastAsia="Arial" w:hAnsi="Arial"/>
                <w:sz w:val="18"/>
                <w:szCs w:val="18"/>
                <w:color w:val="auto"/>
                <w:w w:val="94"/>
              </w:rPr>
              <w:t>Inline XBRL Instance Document-this instance document does not appear in the Interactive Data file because its XBRL tags are not</w:t>
            </w:r>
          </w:p>
        </w:tc>
      </w:tr>
      <w:tr>
        <w:trPr>
          <w:trHeight w:val="230"/>
        </w:trPr>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2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2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8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2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8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2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2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104</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29"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Furnished with this annual report on Form 20-F.</w:t>
      </w:r>
    </w:p>
    <w:p>
      <w:pPr>
        <w:spacing w:after="0" w:line="131" w:lineRule="exact"/>
        <w:rPr>
          <w:sz w:val="20"/>
          <w:szCs w:val="20"/>
          <w:color w:val="auto"/>
        </w:rPr>
      </w:pPr>
    </w:p>
    <w:p>
      <w:pPr>
        <w:jc w:val="center"/>
        <w:ind w:left="5480" w:right="20" w:hanging="5364"/>
        <w:spacing w:after="0" w:line="449" w:lineRule="auto"/>
        <w:tabs>
          <w:tab w:leader="none" w:pos="539"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F-6 (File No. 333-227759), dated October 9, 2018, and incorporated herein by reference. 150</w:t>
      </w:r>
    </w:p>
    <w:p>
      <w:pPr>
        <w:sectPr>
          <w:pgSz w:w="11900" w:h="16838" w:orient="portrait"/>
          <w:cols w:equalWidth="0" w:num="1">
            <w:col w:w="11120"/>
          </w:cols>
          <w:pgMar w:left="320" w:top="486"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9" w:lineRule="exact"/>
        <w:rPr>
          <w:sz w:val="20"/>
          <w:szCs w:val="20"/>
          <w:color w:val="auto"/>
        </w:rPr>
      </w:pPr>
    </w:p>
    <w:p>
      <w:pPr>
        <w:ind w:left="120"/>
        <w:spacing w:after="0"/>
        <w:tabs>
          <w:tab w:leader="none" w:pos="6060" w:val="left"/>
          <w:tab w:leader="none" w:pos="6720" w:val="left"/>
        </w:tabs>
        <w:rPr>
          <w:sz w:val="20"/>
          <w:szCs w:val="20"/>
          <w:color w:val="auto"/>
        </w:rPr>
      </w:pPr>
      <w:r>
        <w:rPr>
          <w:rFonts w:ascii="Arial" w:cs="Arial" w:eastAsia="Arial" w:hAnsi="Arial"/>
          <w:sz w:val="18"/>
          <w:szCs w:val="18"/>
          <w:color w:val="auto"/>
        </w:rPr>
        <w:t>Date: 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Property General Manager</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20"/>
          </w:cols>
          <w:pgMar w:left="320" w:top="486" w:right="65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10680" w:type="dxa"/>
            <w:vAlign w:val="bottom"/>
            <w:gridSpan w:val="1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320" w:type="dxa"/>
            <w:vAlign w:val="bottom"/>
            <w:gridSpan w:val="10"/>
          </w:tcPr>
          <w:p>
            <w:pPr>
              <w:jc w:val="center"/>
              <w:ind w:right="780"/>
              <w:spacing w:after="0"/>
              <w:rPr>
                <w:sz w:val="20"/>
                <w:szCs w:val="20"/>
                <w:color w:val="auto"/>
              </w:rPr>
            </w:pPr>
            <w:r>
              <w:rPr>
                <w:rFonts w:ascii="Arial" w:cs="Arial" w:eastAsia="Arial" w:hAnsi="Arial"/>
                <w:sz w:val="18"/>
                <w:szCs w:val="18"/>
                <w:b w:val="1"/>
                <w:bCs w:val="1"/>
                <w:color w:val="auto"/>
              </w:rPr>
              <w:t>STUDIO CITY INTERNATIONAL HOLDINGS LIMITED</w:t>
            </w:r>
          </w:p>
        </w:tc>
        <w:tc>
          <w:tcPr>
            <w:tcW w:w="40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gridSpan w:val="10"/>
          </w:tcPr>
          <w:p>
            <w:pPr>
              <w:jc w:val="center"/>
              <w:ind w:right="80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gridSpan w:val="10"/>
          </w:tcPr>
          <w:p>
            <w:pPr>
              <w:jc w:val="center"/>
              <w:ind w:right="780"/>
              <w:spacing w:after="0"/>
              <w:rPr>
                <w:sz w:val="20"/>
                <w:szCs w:val="20"/>
                <w:color w:val="auto"/>
              </w:rPr>
            </w:pPr>
            <w:r>
              <w:rPr>
                <w:rFonts w:ascii="Arial" w:cs="Arial" w:eastAsia="Arial" w:hAnsi="Arial"/>
                <w:sz w:val="18"/>
                <w:szCs w:val="18"/>
                <w:b w:val="1"/>
                <w:bCs w:val="1"/>
                <w:color w:val="auto"/>
                <w:w w:val="96"/>
              </w:rPr>
              <w:t>FOR THE YEARS ENDED DECEMBER 31, 2020, 2019 AND 2018</w:t>
            </w:r>
          </w:p>
        </w:tc>
        <w:tc>
          <w:tcPr>
            <w:tcW w:w="400" w:type="dxa"/>
            <w:vAlign w:val="bottom"/>
          </w:tcPr>
          <w:p>
            <w:pPr>
              <w:spacing w:after="0"/>
              <w:rPr>
                <w:sz w:val="20"/>
                <w:szCs w:val="20"/>
                <w:color w:val="auto"/>
              </w:rPr>
            </w:pPr>
          </w:p>
        </w:tc>
      </w:tr>
      <w:tr>
        <w:trPr>
          <w:trHeight w:val="47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w:t>
            </w:r>
          </w:p>
        </w:tc>
      </w:tr>
      <w:tr>
        <w:trPr>
          <w:trHeight w:val="371"/>
        </w:trPr>
        <w:tc>
          <w:tcPr>
            <w:tcW w:w="12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57">
              <w:r>
                <w:rPr>
                  <w:rFonts w:ascii="Arial" w:cs="Arial" w:eastAsia="Arial" w:hAnsi="Arial"/>
                  <w:sz w:val="18"/>
                  <w:szCs w:val="18"/>
                  <w:color w:val="0000EE"/>
                  <w:w w:val="91"/>
                </w:rPr>
                <w:t>Report of Independent Registered Public Accounting Firm</w:t>
              </w:r>
            </w:hyperlink>
          </w:p>
        </w:tc>
        <w:tc>
          <w:tcPr>
            <w:tcW w:w="634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412"/>
        </w:trPr>
        <w:tc>
          <w:tcPr>
            <w:tcW w:w="12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59">
              <w:r>
                <w:rPr>
                  <w:rFonts w:ascii="Arial" w:cs="Arial" w:eastAsia="Arial" w:hAnsi="Arial"/>
                  <w:sz w:val="18"/>
                  <w:szCs w:val="18"/>
                  <w:color w:val="0000EE"/>
                  <w:w w:val="91"/>
                </w:rPr>
                <w:t>Report of Independent Registered Public Accounting Firm</w:t>
              </w:r>
            </w:hyperlink>
          </w:p>
        </w:tc>
        <w:tc>
          <w:tcPr>
            <w:tcW w:w="634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412"/>
        </w:trPr>
        <w:tc>
          <w:tcPr>
            <w:tcW w:w="120" w:type="dxa"/>
            <w:vAlign w:val="bottom"/>
          </w:tcPr>
          <w:p>
            <w:pPr>
              <w:spacing w:after="0"/>
              <w:rPr>
                <w:sz w:val="24"/>
                <w:szCs w:val="24"/>
                <w:color w:val="auto"/>
              </w:rPr>
            </w:pPr>
          </w:p>
        </w:tc>
        <w:tc>
          <w:tcPr>
            <w:tcW w:w="10560" w:type="dxa"/>
            <w:vAlign w:val="bottom"/>
            <w:gridSpan w:val="12"/>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Consolidated Balance Sheets as of December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63">
              <w:r>
                <w:rPr>
                  <w:rFonts w:ascii="Arial" w:cs="Arial" w:eastAsia="Arial" w:hAnsi="Arial"/>
                  <w:sz w:val="18"/>
                  <w:szCs w:val="18"/>
                  <w:color w:val="0000EE"/>
                  <w:w w:val="89"/>
                </w:rPr>
                <w:t>Consolidated Statements of Operations for the Years Ended December 31, 2020, 2019 and 2018</w:t>
              </w:r>
            </w:hyperlink>
          </w:p>
        </w:tc>
        <w:tc>
          <w:tcPr>
            <w:tcW w:w="366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412"/>
        </w:trPr>
        <w:tc>
          <w:tcPr>
            <w:tcW w:w="120" w:type="dxa"/>
            <w:vAlign w:val="bottom"/>
          </w:tcPr>
          <w:p>
            <w:pPr>
              <w:spacing w:after="0"/>
              <w:rPr>
                <w:sz w:val="24"/>
                <w:szCs w:val="24"/>
                <w:color w:val="auto"/>
              </w:rPr>
            </w:pPr>
          </w:p>
        </w:tc>
        <w:tc>
          <w:tcPr>
            <w:tcW w:w="10560" w:type="dxa"/>
            <w:vAlign w:val="bottom"/>
            <w:gridSpan w:val="12"/>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Consolidated Statements of Comprehensive (Loss) Income for the Years Ended December 31, 2020,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412"/>
        </w:trPr>
        <w:tc>
          <w:tcPr>
            <w:tcW w:w="120" w:type="dxa"/>
            <w:vAlign w:val="bottom"/>
          </w:tcPr>
          <w:p>
            <w:pPr>
              <w:spacing w:after="0"/>
              <w:rPr>
                <w:sz w:val="24"/>
                <w:szCs w:val="24"/>
                <w:color w:val="auto"/>
              </w:rPr>
            </w:pPr>
          </w:p>
        </w:tc>
        <w:tc>
          <w:tcPr>
            <w:tcW w:w="76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66">
              <w:r>
                <w:rPr>
                  <w:rFonts w:ascii="Arial" w:cs="Arial" w:eastAsia="Arial" w:hAnsi="Arial"/>
                  <w:sz w:val="18"/>
                  <w:szCs w:val="18"/>
                  <w:color w:val="0000EE"/>
                  <w:w w:val="89"/>
                </w:rPr>
                <w:t>Consolidated Statements of Shareholders’ Equity for the Years Ended December 31, 2020, 2019 and 2018</w:t>
              </w:r>
            </w:hyperlink>
          </w:p>
        </w:tc>
        <w:tc>
          <w:tcPr>
            <w:tcW w:w="680" w:type="dxa"/>
            <w:vAlign w:val="bottom"/>
            <w:tcBorders>
              <w:top w:val="single" w:sz="8" w:color="0000EE"/>
            </w:tcBorders>
          </w:tcPr>
          <w:p>
            <w:pPr>
              <w:spacing w:after="0"/>
              <w:rPr>
                <w:sz w:val="24"/>
                <w:szCs w:val="24"/>
                <w:color w:val="auto"/>
              </w:rPr>
            </w:pPr>
          </w:p>
        </w:tc>
        <w:tc>
          <w:tcPr>
            <w:tcW w:w="224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412"/>
        </w:trPr>
        <w:tc>
          <w:tcPr>
            <w:tcW w:w="120" w:type="dxa"/>
            <w:vAlign w:val="bottom"/>
          </w:tcPr>
          <w:p>
            <w:pPr>
              <w:spacing w:after="0"/>
              <w:rPr>
                <w:sz w:val="24"/>
                <w:szCs w:val="24"/>
                <w:color w:val="auto"/>
              </w:rPr>
            </w:pPr>
          </w:p>
        </w:tc>
        <w:tc>
          <w:tcPr>
            <w:tcW w:w="69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67">
              <w:r>
                <w:rPr>
                  <w:rFonts w:ascii="Arial" w:cs="Arial" w:eastAsia="Arial" w:hAnsi="Arial"/>
                  <w:sz w:val="18"/>
                  <w:szCs w:val="18"/>
                  <w:color w:val="0000EE"/>
                  <w:w w:val="89"/>
                </w:rPr>
                <w:t>Consolidated Statements of Cash Flows for the Years Ended December 31, 2020, 2019 and 2018</w:t>
              </w:r>
            </w:hyperlink>
          </w:p>
        </w:tc>
        <w:tc>
          <w:tcPr>
            <w:tcW w:w="360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F-12</w:t>
            </w:r>
          </w:p>
        </w:tc>
      </w:tr>
      <w:tr>
        <w:trPr>
          <w:trHeight w:val="412"/>
        </w:trPr>
        <w:tc>
          <w:tcPr>
            <w:tcW w:w="120" w:type="dxa"/>
            <w:vAlign w:val="bottom"/>
          </w:tcPr>
          <w:p>
            <w:pPr>
              <w:spacing w:after="0"/>
              <w:rPr>
                <w:sz w:val="24"/>
                <w:szCs w:val="24"/>
                <w:color w:val="auto"/>
              </w:rPr>
            </w:pPr>
          </w:p>
        </w:tc>
        <w:tc>
          <w:tcPr>
            <w:tcW w:w="72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69">
              <w:r>
                <w:rPr>
                  <w:rFonts w:ascii="Arial" w:cs="Arial" w:eastAsia="Arial" w:hAnsi="Arial"/>
                  <w:sz w:val="18"/>
                  <w:szCs w:val="18"/>
                  <w:color w:val="0000EE"/>
                  <w:w w:val="89"/>
                </w:rPr>
                <w:t>Notes to Consolidated Financial Statements for the Years Ended December 31, 2020, 2019 and 2018</w:t>
              </w:r>
            </w:hyperlink>
          </w:p>
        </w:tc>
        <w:tc>
          <w:tcPr>
            <w:tcW w:w="332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412"/>
        </w:trPr>
        <w:tc>
          <w:tcPr>
            <w:tcW w:w="120" w:type="dxa"/>
            <w:vAlign w:val="bottom"/>
          </w:tcPr>
          <w:p>
            <w:pPr>
              <w:spacing w:after="0"/>
              <w:rPr>
                <w:sz w:val="24"/>
                <w:szCs w:val="24"/>
                <w:color w:val="auto"/>
              </w:rPr>
            </w:pPr>
          </w:p>
        </w:tc>
        <w:tc>
          <w:tcPr>
            <w:tcW w:w="10560" w:type="dxa"/>
            <w:vAlign w:val="bottom"/>
            <w:gridSpan w:val="12"/>
          </w:tcPr>
          <w:p>
            <w:pPr>
              <w:spacing w:after="0"/>
              <w:rPr>
                <w:rFonts w:ascii="Arial" w:cs="Arial" w:eastAsia="Arial" w:hAnsi="Arial"/>
                <w:sz w:val="18"/>
                <w:szCs w:val="18"/>
                <w:color w:val="0000EE"/>
                <w:w w:val="92"/>
              </w:rPr>
            </w:pPr>
            <w:hyperlink w:anchor="page201">
              <w:r>
                <w:rPr>
                  <w:rFonts w:ascii="Arial" w:cs="Arial" w:eastAsia="Arial" w:hAnsi="Arial"/>
                  <w:sz w:val="18"/>
                  <w:szCs w:val="18"/>
                  <w:color w:val="0000EE"/>
                  <w:w w:val="92"/>
                </w:rPr>
                <w:t>Schedule 1 – Studio City International Holdings Limited Condensed Financial Statements as of December 31, 2020 and 2019 and for the Years</w:t>
              </w:r>
            </w:hyperlink>
          </w:p>
        </w:tc>
        <w:tc>
          <w:tcPr>
            <w:tcW w:w="40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Ended December 31, 2020, 2019 and 2018</w:t>
              </w:r>
            </w:hyperlink>
          </w:p>
        </w:tc>
        <w:tc>
          <w:tcPr>
            <w:tcW w:w="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F-46</w:t>
            </w:r>
          </w:p>
        </w:tc>
      </w:tr>
      <w:tr>
        <w:trPr>
          <w:trHeight w:val="38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20" w:type="dxa"/>
            <w:vAlign w:val="bottom"/>
            <w:gridSpan w:val="7"/>
          </w:tcPr>
          <w:p>
            <w:pPr>
              <w:jc w:val="center"/>
              <w:ind w:right="4200"/>
              <w:spacing w:after="0"/>
              <w:rPr>
                <w:sz w:val="20"/>
                <w:szCs w:val="20"/>
                <w:color w:val="auto"/>
              </w:rPr>
            </w:pPr>
            <w:r>
              <w:rPr>
                <w:rFonts w:ascii="Arial" w:cs="Arial" w:eastAsia="Arial" w:hAnsi="Arial"/>
                <w:sz w:val="18"/>
                <w:szCs w:val="18"/>
                <w:color w:val="auto"/>
                <w:w w:val="88"/>
              </w:rPr>
              <w:t>F-1</w:t>
            </w:r>
          </w:p>
        </w:tc>
        <w:tc>
          <w:tcPr>
            <w:tcW w:w="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Studio City International Holdings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We have audited the accompanying consolidated balance sheets of Studio City International Holdings Limited (the Company) as of December 31, 2020 and 2019, the related consolidated statements of operations, comprehensive (loss) income, shareholders’ equity and cash flows for each of the three years in the period ended December 31, 2020, and the related notes and the financial statement schedule included in Schedule 1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31, 2021 expressed an unqualified opinion thereon.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discussed in Note 2 to the consolidated financial statements, the Company changed its method for accounting for credit losses on financial instruments using the modified retrospective approach in the year ended December 31, 2020 and its method for accounting for leases using the modified retrospective approach in the year ended December 31,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120" w:right="360"/>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ind w:left="380" w:hanging="264"/>
        <w:spacing w:after="0"/>
        <w:tabs>
          <w:tab w:leader="none" w:pos="3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involved our especially challenging, subjective or complex judgments. The communication of the critical audit matter does not alter in any way our</w:t>
      </w:r>
    </w:p>
    <w:p>
      <w:pPr>
        <w:spacing w:after="0" w:line="166"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F-2</w:t>
      </w:r>
    </w:p>
    <w:p>
      <w:pPr>
        <w:sectPr>
          <w:pgSz w:w="11900" w:h="16838" w:orient="portrait"/>
          <w:cols w:equalWidth="0" w:num="1">
            <w:col w:w="11120"/>
          </w:cols>
          <w:pgMar w:left="320" w:top="486"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opinion on the consolidated financial statements, taken as a whole, and we are not, by communicating the critical audit matter below, providing a separate opinion on the critical audit matter or on the account or disclosure to which it relates.</w:t>
      </w:r>
    </w:p>
    <w:p>
      <w:pPr>
        <w:spacing w:after="0" w:line="197" w:lineRule="exact"/>
        <w:rPr>
          <w:sz w:val="20"/>
          <w:szCs w:val="20"/>
          <w:color w:val="auto"/>
        </w:rPr>
      </w:pPr>
    </w:p>
    <w:p>
      <w:pPr>
        <w:ind w:left="2660"/>
        <w:spacing w:after="0"/>
        <w:rPr>
          <w:sz w:val="20"/>
          <w:szCs w:val="20"/>
          <w:color w:val="auto"/>
        </w:rPr>
      </w:pPr>
      <w:r>
        <w:rPr>
          <w:rFonts w:ascii="Arial" w:cs="Arial" w:eastAsia="Arial" w:hAnsi="Arial"/>
          <w:sz w:val="18"/>
          <w:szCs w:val="18"/>
          <w:b w:val="1"/>
          <w:bCs w:val="1"/>
          <w:i w:val="1"/>
          <w:iCs w:val="1"/>
          <w:color w:val="auto"/>
        </w:rPr>
        <w:t>Impairment assessment of long-lived assets</w:t>
      </w:r>
    </w:p>
    <w:p>
      <w:pPr>
        <w:sectPr>
          <w:pgSz w:w="11900" w:h="16838" w:orient="portrait"/>
          <w:cols w:equalWidth="0" w:num="1">
            <w:col w:w="11100"/>
          </w:cols>
          <w:pgMar w:left="320" w:top="486" w:right="479" w:bottom="1440" w:gutter="0" w:footer="0" w:header="0"/>
        </w:sectPr>
      </w:pP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December 31, 2020, the Company’s long-lived asset group to be held and used in the Company’s business, comprising of property and equipment, intangible assets, other long-term assets, land use right and operating lease right-of-use assets, was US$2,344.5 million. As discussed in the Company’s accounting policy in notes 1(b) and 2(l) of the consolidated financial statements, long-lived assets (asset groups) with finite lives to be held and used shall be evaluated for impairment whenever indicators of impairment exist. As the Company generated operating losses due to the severe decline in overall market conditions resulting from the outbreak of coronavirus disease (“COVID-19”) in early 2020, the Company evaluated its long-lived assets for recoverability as of December 31, 2020 and concluded no impairment existed at that date as the estimated undiscounted future cash flows exceeded their carrying values.</w:t>
      </w:r>
    </w:p>
    <w:p>
      <w:pPr>
        <w:spacing w:after="0" w:line="71" w:lineRule="exact"/>
        <w:rPr>
          <w:sz w:val="20"/>
          <w:szCs w:val="20"/>
          <w:color w:val="auto"/>
        </w:rPr>
      </w:pPr>
    </w:p>
    <w:p>
      <w:pPr>
        <w:sectPr>
          <w:pgSz w:w="11900" w:h="16838" w:orient="portrait"/>
          <w:cols w:equalWidth="0" w:num="2">
            <w:col w:w="1940" w:space="720"/>
            <w:col w:w="8440"/>
          </w:cols>
          <w:pgMar w:left="320" w:top="486" w:right="479" w:bottom="1440" w:gutter="0" w:footer="0" w:header="0"/>
          <w:type w:val="continuous"/>
        </w:sectPr>
      </w:pPr>
    </w:p>
    <w:p>
      <w:pPr>
        <w:ind w:left="2660" w:right="160"/>
        <w:spacing w:after="0" w:line="301" w:lineRule="auto"/>
        <w:rPr>
          <w:sz w:val="20"/>
          <w:szCs w:val="20"/>
          <w:color w:val="auto"/>
        </w:rPr>
      </w:pPr>
      <w:r>
        <w:rPr>
          <w:rFonts w:ascii="Arial" w:cs="Arial" w:eastAsia="Arial" w:hAnsi="Arial"/>
          <w:sz w:val="16"/>
          <w:szCs w:val="16"/>
          <w:color w:val="auto"/>
        </w:rPr>
        <w:t>Auditing the Company’s impairment assessment involved a high degree of subjectivity due to the significant estimations required to determine the projected future cash flows of the asset group. In particular, the estimate is sensitive to significant assumptions, including future revenue growth rates and gross margin, which can be affected by expectations about future market and economic conditions, including the impact of COVID-19.</w:t>
      </w:r>
    </w:p>
    <w:p>
      <w:pPr>
        <w:sectPr>
          <w:pgSz w:w="11900" w:h="16838" w:orient="portrait"/>
          <w:cols w:equalWidth="0" w:num="1">
            <w:col w:w="11100"/>
          </w:cols>
          <w:pgMar w:left="320" w:top="486" w:right="479" w:bottom="1440" w:gutter="0" w:footer="0" w:header="0"/>
          <w:type w:val="continuous"/>
        </w:sectPr>
      </w:pPr>
    </w:p>
    <w:p>
      <w:pPr>
        <w:spacing w:after="0" w:line="63" w:lineRule="exact"/>
        <w:rPr>
          <w:sz w:val="20"/>
          <w:szCs w:val="20"/>
          <w:color w:val="auto"/>
        </w:rPr>
      </w:pPr>
    </w:p>
    <w:p>
      <w:pPr>
        <w:ind w:left="120"/>
        <w:spacing w:after="0"/>
        <w:tabs>
          <w:tab w:leader="none" w:pos="2640" w:val="left"/>
        </w:tabs>
        <w:rPr>
          <w:sz w:val="20"/>
          <w:szCs w:val="20"/>
          <w:color w:val="auto"/>
        </w:rPr>
      </w:pPr>
      <w:r>
        <w:rPr>
          <w:rFonts w:ascii="Arial" w:cs="Arial" w:eastAsia="Arial" w:hAnsi="Arial"/>
          <w:sz w:val="18"/>
          <w:szCs w:val="18"/>
          <w:i w:val="1"/>
          <w:iCs w:val="1"/>
          <w:color w:val="auto"/>
        </w:rPr>
        <w:t>How We Addressed the Matter in</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w:t>
      </w:r>
    </w:p>
    <w:p>
      <w:pPr>
        <w:spacing w:after="0" w:line="23" w:lineRule="exact"/>
        <w:rPr>
          <w:sz w:val="20"/>
          <w:szCs w:val="20"/>
          <w:color w:val="auto"/>
        </w:rPr>
      </w:pPr>
    </w:p>
    <w:p>
      <w:pPr>
        <w:ind w:left="2660" w:right="20" w:hanging="2537"/>
        <w:spacing w:after="0" w:line="255" w:lineRule="auto"/>
        <w:tabs>
          <w:tab w:leader="none" w:pos="2640" w:val="left"/>
        </w:tabs>
        <w:rPr>
          <w:sz w:val="20"/>
          <w:szCs w:val="20"/>
          <w:color w:val="auto"/>
        </w:rPr>
      </w:pPr>
      <w:r>
        <w:rPr>
          <w:rFonts w:ascii="Arial" w:cs="Arial" w:eastAsia="Arial" w:hAnsi="Arial"/>
          <w:sz w:val="18"/>
          <w:szCs w:val="18"/>
          <w:i w:val="1"/>
          <w:iCs w:val="1"/>
          <w:color w:val="auto"/>
        </w:rPr>
        <w:t>Our Audit</w:t>
      </w:r>
      <w:r>
        <w:rPr>
          <w:sz w:val="20"/>
          <w:szCs w:val="20"/>
          <w:color w:val="auto"/>
        </w:rPr>
        <w:tab/>
      </w:r>
      <w:r>
        <w:rPr>
          <w:rFonts w:ascii="Arial" w:cs="Arial" w:eastAsia="Arial" w:hAnsi="Arial"/>
          <w:sz w:val="18"/>
          <w:szCs w:val="18"/>
          <w:color w:val="auto"/>
        </w:rPr>
        <w:t>Company’s impairment assessment process. For example, we tested the controls over management’s identification of impairment indicators. We also tested controls over management’s review of the significant assumptions described above used to develop the undiscounted cash flow projections.</w:t>
      </w:r>
    </w:p>
    <w:p>
      <w:pPr>
        <w:spacing w:after="0" w:line="95" w:lineRule="exact"/>
        <w:rPr>
          <w:sz w:val="20"/>
          <w:szCs w:val="20"/>
          <w:color w:val="auto"/>
        </w:rPr>
      </w:pPr>
    </w:p>
    <w:p>
      <w:pPr>
        <w:ind w:left="2660" w:right="180"/>
        <w:spacing w:after="0" w:line="290" w:lineRule="auto"/>
        <w:rPr>
          <w:sz w:val="20"/>
          <w:szCs w:val="20"/>
          <w:color w:val="auto"/>
        </w:rPr>
      </w:pPr>
      <w:r>
        <w:rPr>
          <w:rFonts w:ascii="Arial" w:cs="Arial" w:eastAsia="Arial" w:hAnsi="Arial"/>
          <w:sz w:val="16"/>
          <w:szCs w:val="16"/>
          <w:color w:val="auto"/>
        </w:rPr>
        <w:t>To test the Company’s impairment assessment of the long-lived asset group, our audit procedures included, among others, evaluating the significant assumptions used to develop the projected future cash flow of the asset group and testing the completeness and accuracy of the underlying data used by the Company. We compared the significant assumptions, including future revenue growth rates and gross margin, to current industry and economic trends, including the impact of COVID-19, as well as to changes in the Company’s strategic plans. We assessed the historical accuracy of the Company’s cash flow projections by comparing them with actual operating results. Furthermore, we performed sensitivity analyses of the significant assumptions to evaluate the changes in the future cash flows that could result from changes in the assumptions.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320" w:top="486" w:right="47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Studio City International Holdings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120" w:right="420"/>
        <w:spacing w:after="0" w:line="279" w:lineRule="auto"/>
        <w:rPr>
          <w:sz w:val="20"/>
          <w:szCs w:val="20"/>
          <w:color w:val="auto"/>
        </w:rPr>
      </w:pPr>
      <w:r>
        <w:rPr>
          <w:rFonts w:ascii="Arial" w:cs="Arial" w:eastAsia="Arial" w:hAnsi="Arial"/>
          <w:sz w:val="17"/>
          <w:szCs w:val="17"/>
          <w:color w:val="auto"/>
        </w:rPr>
        <w:t>We have audited Studio City International Holdings Limited’s internal control over financial reporting as of December 31, 2020, based on criteria established in Internal Control – Integrated Framework issued by the Committee of Sponsoring Organizations of the Treadway Commission (2013 framework) (the COSO criteria). In our opinion, Studio City International Holdings Limited (the Company) maintained, in all material respects, effective internal control over financial reporting as of December 31, 2020, based on the COSO criteria.</w:t>
      </w:r>
    </w:p>
    <w:p>
      <w:pPr>
        <w:spacing w:after="0" w:line="17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(loss) income, shareholders’ equity and cash flows for each of the three years in the period ended December 31, 2020, and the related notes and the financial statement schedule included in Schedule 1 and our report dated March 31, 2021 expressed an unqualified opinion thereon.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740"/>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6"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86"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86" w:right="49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87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00" w:type="dxa"/>
            <w:vAlign w:val="bottom"/>
          </w:tcPr>
          <w:p>
            <w:pPr>
              <w:jc w:val="center"/>
              <w:ind w:left="1050"/>
              <w:spacing w:after="0"/>
              <w:rPr>
                <w:sz w:val="20"/>
                <w:szCs w:val="20"/>
                <w:color w:val="auto"/>
              </w:rPr>
            </w:pPr>
            <w:r>
              <w:rPr>
                <w:rFonts w:ascii="Arial" w:cs="Arial" w:eastAsia="Arial" w:hAnsi="Arial"/>
                <w:sz w:val="18"/>
                <w:szCs w:val="18"/>
                <w:b w:val="1"/>
                <w:bCs w:val="1"/>
                <w:color w:val="auto"/>
              </w:rPr>
              <w:t>STUDIO CITY INTERNATIONAL HOLDINGS LIMITED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0" w:type="dxa"/>
            <w:vAlign w:val="bottom"/>
          </w:tcPr>
          <w:p>
            <w:pPr>
              <w:jc w:val="center"/>
              <w:ind w:left="103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6"/>
          </w:tcPr>
          <w:p>
            <w:pPr>
              <w:ind w:left="500"/>
              <w:spacing w:after="0"/>
              <w:rPr>
                <w:sz w:val="20"/>
                <w:szCs w:val="20"/>
                <w:color w:val="auto"/>
              </w:rPr>
            </w:pPr>
            <w:r>
              <w:rPr>
                <w:rFonts w:ascii="Arial" w:cs="Arial" w:eastAsia="Arial" w:hAnsi="Arial"/>
                <w:sz w:val="18"/>
                <w:szCs w:val="18"/>
                <w:color w:val="auto"/>
              </w:rPr>
              <w:t>December 31,</w:t>
            </w:r>
          </w:p>
        </w:tc>
      </w:tr>
      <w:tr>
        <w:trPr>
          <w:trHeight w:val="209"/>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4"/>
        </w:trPr>
        <w:tc>
          <w:tcPr>
            <w:tcW w:w="1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575,215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299,367</w:t>
            </w:r>
          </w:p>
        </w:tc>
      </w:tr>
      <w:tr>
        <w:trPr>
          <w:trHeight w:val="216"/>
        </w:trPr>
        <w:tc>
          <w:tcPr>
            <w:tcW w:w="120" w:type="dxa"/>
            <w:vAlign w:val="bottom"/>
          </w:tcPr>
          <w:p>
            <w:pPr>
              <w:spacing w:after="0"/>
              <w:rPr>
                <w:sz w:val="18"/>
                <w:szCs w:val="18"/>
                <w:color w:val="auto"/>
              </w:rPr>
            </w:pPr>
          </w:p>
        </w:tc>
        <w:tc>
          <w:tcPr>
            <w:tcW w:w="864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27,735</w:t>
            </w: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for credit losses of $976 and $965</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1,397</w:t>
            </w:r>
          </w:p>
        </w:tc>
      </w:tr>
      <w:tr>
        <w:trPr>
          <w:trHeight w:val="216"/>
        </w:trPr>
        <w:tc>
          <w:tcPr>
            <w:tcW w:w="120" w:type="dxa"/>
            <w:vAlign w:val="bottom"/>
          </w:tcPr>
          <w:p>
            <w:pPr>
              <w:spacing w:after="0"/>
              <w:rPr>
                <w:sz w:val="18"/>
                <w:szCs w:val="18"/>
                <w:color w:val="auto"/>
              </w:rPr>
            </w:pPr>
          </w:p>
        </w:tc>
        <w:tc>
          <w:tcPr>
            <w:tcW w:w="8640" w:type="dxa"/>
            <w:vAlign w:val="bottom"/>
            <w:gridSpan w:val="2"/>
          </w:tcPr>
          <w:p>
            <w:pPr>
              <w:ind w:left="180"/>
              <w:spacing w:after="0"/>
              <w:rPr>
                <w:sz w:val="20"/>
                <w:szCs w:val="20"/>
                <w:color w:val="auto"/>
              </w:rPr>
            </w:pPr>
            <w:r>
              <w:rPr>
                <w:rFonts w:ascii="Arial" w:cs="Arial" w:eastAsia="Arial" w:hAnsi="Arial"/>
                <w:sz w:val="18"/>
                <w:szCs w:val="18"/>
                <w:color w:val="auto"/>
              </w:rPr>
              <w:t>Amounts due from affiliated companies</w:t>
            </w: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10,672</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61,990</w:t>
            </w: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9,763</w:t>
            </w:r>
          </w:p>
        </w:tc>
      </w:tr>
      <w:tr>
        <w:trPr>
          <w:trHeight w:val="223"/>
        </w:trPr>
        <w:tc>
          <w:tcPr>
            <w:tcW w:w="120" w:type="dxa"/>
            <w:vAlign w:val="bottom"/>
          </w:tcPr>
          <w:p>
            <w:pPr>
              <w:spacing w:after="0"/>
              <w:rPr>
                <w:sz w:val="19"/>
                <w:szCs w:val="19"/>
                <w:color w:val="auto"/>
              </w:rPr>
            </w:pPr>
          </w:p>
        </w:tc>
        <w:tc>
          <w:tcPr>
            <w:tcW w:w="864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12,467</w:t>
            </w: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14,188</w:t>
            </w: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607,821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414,440</w:t>
            </w:r>
          </w:p>
        </w:tc>
        <w:tc>
          <w:tcPr>
            <w:tcW w:w="60" w:type="dxa"/>
            <w:vAlign w:val="bottom"/>
            <w:shd w:val="clear" w:color="auto" w:fill="CCEEFF"/>
          </w:tcPr>
          <w:p>
            <w:pPr>
              <w:spacing w:after="0"/>
              <w:rPr>
                <w:sz w:val="18"/>
                <w:szCs w:val="18"/>
                <w:color w:val="auto"/>
              </w:rPr>
            </w:pPr>
          </w:p>
        </w:tc>
      </w:tr>
      <w:tr>
        <w:trPr>
          <w:trHeight w:val="277"/>
        </w:trPr>
        <w:tc>
          <w:tcPr>
            <w:tcW w:w="1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2,180,897</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2,107,457</w:t>
            </w:r>
          </w:p>
        </w:tc>
      </w:tr>
      <w:tr>
        <w:trPr>
          <w:trHeight w:val="54"/>
        </w:trPr>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70"/>
        </w:trPr>
        <w:tc>
          <w:tcPr>
            <w:tcW w:w="120" w:type="dxa"/>
            <w:vAlign w:val="bottom"/>
          </w:tcPr>
          <w:p>
            <w:pPr>
              <w:spacing w:after="0"/>
              <w:rPr>
                <w:sz w:val="23"/>
                <w:szCs w:val="23"/>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Long-term prepayments, deposits and other assets</w:t>
            </w:r>
          </w:p>
        </w:tc>
        <w:tc>
          <w:tcPr>
            <w:tcW w:w="160" w:type="dxa"/>
            <w:vAlign w:val="bottom"/>
          </w:tcPr>
          <w:p>
            <w:pPr>
              <w:spacing w:after="0"/>
              <w:rPr>
                <w:sz w:val="23"/>
                <w:szCs w:val="23"/>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117,555</w:t>
            </w:r>
          </w:p>
        </w:tc>
        <w:tc>
          <w:tcPr>
            <w:tcW w:w="18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57,087</w:t>
            </w:r>
          </w:p>
        </w:tc>
      </w:tr>
      <w:tr>
        <w:trPr>
          <w:trHeight w:val="54"/>
        </w:trPr>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70"/>
        </w:trPr>
        <w:tc>
          <w:tcPr>
            <w:tcW w:w="120" w:type="dxa"/>
            <w:vAlign w:val="bottom"/>
          </w:tcPr>
          <w:p>
            <w:pPr>
              <w:spacing w:after="0"/>
              <w:rPr>
                <w:sz w:val="23"/>
                <w:szCs w:val="23"/>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23"/>
                <w:szCs w:val="23"/>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17,379</w:t>
            </w:r>
          </w:p>
        </w:tc>
        <w:tc>
          <w:tcPr>
            <w:tcW w:w="18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14,238</w:t>
            </w:r>
          </w:p>
        </w:tc>
      </w:tr>
      <w:tr>
        <w:trPr>
          <w:trHeight w:val="54"/>
        </w:trPr>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116,109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118,888</w:t>
            </w:r>
          </w:p>
        </w:tc>
      </w:tr>
      <w:tr>
        <w:trPr>
          <w:trHeight w:val="223"/>
        </w:trPr>
        <w:tc>
          <w:tcPr>
            <w:tcW w:w="120" w:type="dxa"/>
            <w:vAlign w:val="bottom"/>
          </w:tcPr>
          <w:p>
            <w:pPr>
              <w:spacing w:after="0"/>
              <w:rPr>
                <w:sz w:val="19"/>
                <w:szCs w:val="19"/>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3,043,897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2,712,240</w:t>
            </w:r>
          </w:p>
        </w:tc>
        <w:tc>
          <w:tcPr>
            <w:tcW w:w="6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SHAREHOLDERS’ EQUITY AND PARTICIPATION INTEREST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4"/>
        </w:trPr>
        <w:tc>
          <w:tcPr>
            <w:tcW w:w="1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3,337</w:t>
            </w:r>
          </w:p>
        </w:tc>
      </w:tr>
      <w:tr>
        <w:trPr>
          <w:trHeight w:val="216"/>
        </w:trPr>
        <w:tc>
          <w:tcPr>
            <w:tcW w:w="120" w:type="dxa"/>
            <w:vAlign w:val="bottom"/>
          </w:tcPr>
          <w:p>
            <w:pPr>
              <w:spacing w:after="0"/>
              <w:rPr>
                <w:sz w:val="18"/>
                <w:szCs w:val="18"/>
                <w:color w:val="auto"/>
              </w:rPr>
            </w:pPr>
          </w:p>
        </w:tc>
        <w:tc>
          <w:tcPr>
            <w:tcW w:w="864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118,946</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82,553</w:t>
            </w: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23"/>
        </w:trPr>
        <w:tc>
          <w:tcPr>
            <w:tcW w:w="120" w:type="dxa"/>
            <w:vAlign w:val="bottom"/>
          </w:tcPr>
          <w:p>
            <w:pPr>
              <w:spacing w:after="0"/>
              <w:rPr>
                <w:sz w:val="19"/>
                <w:szCs w:val="19"/>
                <w:color w:val="auto"/>
              </w:rPr>
            </w:pPr>
          </w:p>
        </w:tc>
        <w:tc>
          <w:tcPr>
            <w:tcW w:w="8640" w:type="dxa"/>
            <w:vAlign w:val="bottom"/>
            <w:gridSpan w:val="2"/>
          </w:tcPr>
          <w:p>
            <w:pPr>
              <w:ind w:left="180"/>
              <w:spacing w:after="0"/>
              <w:rPr>
                <w:sz w:val="20"/>
                <w:szCs w:val="20"/>
                <w:color w:val="auto"/>
              </w:rPr>
            </w:pPr>
            <w:r>
              <w:rPr>
                <w:rFonts w:ascii="Arial" w:cs="Arial" w:eastAsia="Arial" w:hAnsi="Arial"/>
                <w:sz w:val="18"/>
                <w:szCs w:val="18"/>
                <w:color w:val="auto"/>
              </w:rPr>
              <w:t>Amounts due to affiliated companies</w:t>
            </w:r>
          </w:p>
        </w:tc>
        <w:tc>
          <w:tcPr>
            <w:tcW w:w="160" w:type="dxa"/>
            <w:vAlign w:val="bottom"/>
          </w:tcPr>
          <w:p>
            <w:pPr>
              <w:spacing w:after="0"/>
              <w:rPr>
                <w:sz w:val="19"/>
                <w:szCs w:val="19"/>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42,966</w:t>
            </w: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14,248</w:t>
            </w: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162,151</w:t>
            </w: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100,171</w:t>
            </w:r>
          </w:p>
        </w:tc>
        <w:tc>
          <w:tcPr>
            <w:tcW w:w="60" w:type="dxa"/>
            <w:vAlign w:val="bottom"/>
            <w:shd w:val="clear" w:color="auto" w:fill="CCEEFF"/>
          </w:tcPr>
          <w:p>
            <w:pPr>
              <w:spacing w:after="0"/>
              <w:rPr>
                <w:sz w:val="18"/>
                <w:szCs w:val="18"/>
                <w:color w:val="auto"/>
              </w:rPr>
            </w:pPr>
          </w:p>
        </w:tc>
      </w:tr>
      <w:tr>
        <w:trPr>
          <w:trHeight w:val="277"/>
        </w:trPr>
        <w:tc>
          <w:tcPr>
            <w:tcW w:w="1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1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1,584,660</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1,435,088</w:t>
            </w:r>
          </w:p>
        </w:tc>
      </w:tr>
      <w:tr>
        <w:trPr>
          <w:trHeight w:val="54"/>
        </w:trPr>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tcPr>
          <w:p>
            <w:pPr>
              <w:spacing w:after="0"/>
              <w:rPr>
                <w:sz w:val="4"/>
                <w:szCs w:val="4"/>
                <w:color w:val="auto"/>
              </w:rPr>
            </w:pP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w:t>
            </w:r>
          </w:p>
        </w:tc>
      </w:tr>
      <w:tr>
        <w:trPr>
          <w:trHeight w:val="270"/>
        </w:trPr>
        <w:tc>
          <w:tcPr>
            <w:tcW w:w="120" w:type="dxa"/>
            <w:vAlign w:val="bottom"/>
          </w:tcPr>
          <w:p>
            <w:pPr>
              <w:spacing w:after="0"/>
              <w:rPr>
                <w:sz w:val="23"/>
                <w:szCs w:val="23"/>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23"/>
                <w:szCs w:val="23"/>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1,453</w:t>
            </w:r>
          </w:p>
        </w:tc>
      </w:tr>
      <w:tr>
        <w:trPr>
          <w:trHeight w:val="54"/>
        </w:trPr>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3"/>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tcPr>
          <w:p>
            <w:pPr>
              <w:spacing w:after="0"/>
              <w:rPr>
                <w:sz w:val="4"/>
                <w:szCs w:val="4"/>
                <w:color w:val="auto"/>
              </w:rPr>
            </w:pP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17,137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13,720</w:t>
            </w:r>
          </w:p>
        </w:tc>
      </w:tr>
      <w:tr>
        <w:trPr>
          <w:trHeight w:val="230"/>
        </w:trPr>
        <w:tc>
          <w:tcPr>
            <w:tcW w:w="1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1,776,174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1,553,581</w:t>
            </w:r>
          </w:p>
        </w:tc>
        <w:tc>
          <w:tcPr>
            <w:tcW w:w="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65"/>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0" w:type="dxa"/>
            <w:vAlign w:val="bottom"/>
          </w:tcPr>
          <w:p>
            <w:pPr>
              <w:jc w:val="center"/>
              <w:ind w:left="1030"/>
              <w:spacing w:after="0"/>
              <w:rPr>
                <w:sz w:val="20"/>
                <w:szCs w:val="20"/>
                <w:color w:val="auto"/>
              </w:rPr>
            </w:pPr>
            <w:r>
              <w:rPr>
                <w:rFonts w:ascii="Arial" w:cs="Arial" w:eastAsia="Arial" w:hAnsi="Arial"/>
                <w:sz w:val="18"/>
                <w:szCs w:val="18"/>
                <w:color w:val="auto"/>
                <w:w w:val="88"/>
              </w:rPr>
              <w:t>F-6</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20" w:top="47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61" w:name="page162"/>
    <w:bookmarkEnd w:id="161"/>
    <w:tbl>
      <w:tblPr>
        <w:tblLayout w:type="fixed"/>
        <w:tblInd w:w="0" w:type="dxa"/>
        <w:tblCellMar>
          <w:top w:w="0" w:type="dxa"/>
          <w:left w:w="0" w:type="dxa"/>
          <w:bottom w:w="0" w:type="dxa"/>
          <w:right w:w="0" w:type="dxa"/>
        </w:tblCellMar>
      </w:tblPr>
      <w:tr>
        <w:trPr>
          <w:trHeight w:val="207"/>
        </w:trPr>
        <w:tc>
          <w:tcPr>
            <w:tcW w:w="87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00" w:type="dxa"/>
            <w:vAlign w:val="bottom"/>
          </w:tcPr>
          <w:p>
            <w:pPr>
              <w:jc w:val="center"/>
              <w:ind w:left="1050"/>
              <w:spacing w:after="0"/>
              <w:rPr>
                <w:sz w:val="20"/>
                <w:szCs w:val="20"/>
                <w:color w:val="auto"/>
              </w:rPr>
            </w:pPr>
            <w:r>
              <w:rPr>
                <w:rFonts w:ascii="Arial" w:cs="Arial" w:eastAsia="Arial" w:hAnsi="Arial"/>
                <w:sz w:val="18"/>
                <w:szCs w:val="18"/>
                <w:b w:val="1"/>
                <w:bCs w:val="1"/>
                <w:color w:val="auto"/>
              </w:rPr>
              <w:t>STUDIO CITY INTERNATIONAL HOLDINGS LIMITED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0" w:type="dxa"/>
            <w:vAlign w:val="bottom"/>
          </w:tcPr>
          <w:p>
            <w:pPr>
              <w:jc w:val="center"/>
              <w:ind w:left="1050"/>
              <w:spacing w:after="0"/>
              <w:rPr>
                <w:sz w:val="20"/>
                <w:szCs w:val="20"/>
                <w:color w:val="auto"/>
              </w:rPr>
            </w:pPr>
            <w:r>
              <w:rPr>
                <w:rFonts w:ascii="Arial" w:cs="Arial" w:eastAsia="Arial" w:hAnsi="Arial"/>
                <w:sz w:val="18"/>
                <w:szCs w:val="18"/>
                <w:b w:val="1"/>
                <w:bCs w:val="1"/>
                <w:color w:val="auto"/>
                <w:w w:val="97"/>
              </w:rPr>
              <w:t xml:space="preserve">CONSOLIDATED BALANCE SHEETS </w:t>
            </w:r>
            <w:r>
              <w:rPr>
                <w:rFonts w:ascii="Arial" w:cs="Arial" w:eastAsia="Arial" w:hAnsi="Arial"/>
                <w:sz w:val="18"/>
                <w:szCs w:val="18"/>
                <w:color w:val="auto"/>
                <w:w w:val="97"/>
              </w:rPr>
              <w:t>- continued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3"/>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6"/>
          </w:tcPr>
          <w:p>
            <w:pPr>
              <w:jc w:val="right"/>
              <w:ind w:right="740"/>
              <w:spacing w:after="0"/>
              <w:rPr>
                <w:sz w:val="20"/>
                <w:szCs w:val="20"/>
                <w:color w:val="auto"/>
              </w:rPr>
            </w:pPr>
            <w:r>
              <w:rPr>
                <w:rFonts w:ascii="Arial" w:cs="Arial" w:eastAsia="Arial" w:hAnsi="Arial"/>
                <w:sz w:val="18"/>
                <w:szCs w:val="18"/>
                <w:color w:val="auto"/>
              </w:rPr>
              <w:t>December 31,</w:t>
            </w:r>
          </w:p>
        </w:tc>
      </w:tr>
      <w:tr>
        <w:trPr>
          <w:trHeight w:val="223"/>
        </w:trPr>
        <w:tc>
          <w:tcPr>
            <w:tcW w:w="12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r>
      <w:tr>
        <w:trPr>
          <w:trHeight w:val="196"/>
        </w:trPr>
        <w:tc>
          <w:tcPr>
            <w:tcW w:w="120" w:type="dxa"/>
            <w:vAlign w:val="bottom"/>
          </w:tcPr>
          <w:p>
            <w:pPr>
              <w:spacing w:after="0"/>
              <w:rPr>
                <w:sz w:val="17"/>
                <w:szCs w:val="17"/>
                <w:color w:val="auto"/>
              </w:rPr>
            </w:pPr>
          </w:p>
        </w:tc>
        <w:tc>
          <w:tcPr>
            <w:tcW w:w="8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 and participation interest: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120" w:type="dxa"/>
            <w:vAlign w:val="bottom"/>
          </w:tcPr>
          <w:p>
            <w:pPr>
              <w:spacing w:after="0"/>
              <w:rPr>
                <w:sz w:val="17"/>
                <w:szCs w:val="17"/>
                <w:color w:val="auto"/>
              </w:rPr>
            </w:pPr>
          </w:p>
        </w:tc>
        <w:tc>
          <w:tcPr>
            <w:tcW w:w="86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Class A ordinary shares, par value $0.0001; 1,927,488,240 shares authorized; 370,352,700 and 241,818,016</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rPr>
              <w:t>shares issued and outstanding, respectively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02"/>
        </w:trPr>
        <w:tc>
          <w:tcPr>
            <w:tcW w:w="120" w:type="dxa"/>
            <w:vAlign w:val="bottom"/>
          </w:tcPr>
          <w:p>
            <w:pPr>
              <w:spacing w:after="0"/>
              <w:rPr>
                <w:sz w:val="17"/>
                <w:szCs w:val="17"/>
                <w:color w:val="auto"/>
              </w:rPr>
            </w:pPr>
          </w:p>
        </w:tc>
        <w:tc>
          <w:tcPr>
            <w:tcW w:w="8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Class B ordinary shares, par value $0.0001; 72,511,760 shares authorized; 72,511,760 shares issued and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8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120" w:type="dxa"/>
            <w:vAlign w:val="bottom"/>
          </w:tcPr>
          <w:p>
            <w:pPr>
              <w:spacing w:after="0"/>
              <w:rPr>
                <w:sz w:val="18"/>
                <w:szCs w:val="18"/>
                <w:color w:val="auto"/>
              </w:rPr>
            </w:pPr>
          </w:p>
        </w:tc>
        <w:tc>
          <w:tcPr>
            <w:tcW w:w="864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2,134,227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1,655,602</w:t>
            </w: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r>
      <w:tr>
        <w:trPr>
          <w:trHeight w:val="216"/>
        </w:trPr>
        <w:tc>
          <w:tcPr>
            <w:tcW w:w="120" w:type="dxa"/>
            <w:vAlign w:val="bottom"/>
          </w:tcPr>
          <w:p>
            <w:pPr>
              <w:spacing w:after="0"/>
              <w:rPr>
                <w:sz w:val="18"/>
                <w:szCs w:val="18"/>
                <w:color w:val="auto"/>
              </w:rPr>
            </w:pPr>
          </w:p>
        </w:tc>
        <w:tc>
          <w:tcPr>
            <w:tcW w:w="8640" w:type="dxa"/>
            <w:vAlign w:val="bottom"/>
            <w:gridSpan w:val="2"/>
          </w:tcPr>
          <w:p>
            <w:pPr>
              <w:ind w:left="180"/>
              <w:spacing w:after="0"/>
              <w:rPr>
                <w:sz w:val="20"/>
                <w:szCs w:val="20"/>
                <w:color w:val="auto"/>
              </w:rPr>
            </w:pPr>
            <w:r>
              <w:rPr>
                <w:rFonts w:ascii="Arial" w:cs="Arial" w:eastAsia="Arial" w:hAnsi="Arial"/>
                <w:sz w:val="18"/>
                <w:szCs w:val="18"/>
                <w:color w:val="auto"/>
              </w:rPr>
              <w:t>Accumulated losses</w:t>
            </w:r>
          </w:p>
        </w:tc>
        <w:tc>
          <w:tcPr>
            <w:tcW w:w="12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w w:val="91"/>
              </w:rPr>
              <w:t>(1,086,160)</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(764,534)</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1,059,987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891,368</w:t>
            </w:r>
          </w:p>
        </w:tc>
      </w:tr>
      <w:tr>
        <w:trPr>
          <w:trHeight w:val="230"/>
        </w:trPr>
        <w:tc>
          <w:tcPr>
            <w:tcW w:w="1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Participation interest</w:t>
            </w: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207,736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267,291</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 and participation interest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1,267,723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1,158,659</w:t>
            </w:r>
          </w:p>
        </w:tc>
      </w:tr>
      <w:tr>
        <w:trPr>
          <w:trHeight w:val="223"/>
        </w:trPr>
        <w:tc>
          <w:tcPr>
            <w:tcW w:w="120" w:type="dxa"/>
            <w:vAlign w:val="bottom"/>
          </w:tcPr>
          <w:p>
            <w:pPr>
              <w:spacing w:after="0"/>
              <w:rPr>
                <w:sz w:val="19"/>
                <w:szCs w:val="19"/>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Total liabilities, shareholders’ equity and participation interest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3,043,897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2,712,240</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73"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color w:val="auto"/>
                <w:w w:val="91"/>
              </w:rPr>
              <w:t>Year Ended 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6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Provision of gaming related services from related parties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(42,682)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393,512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339,924</w:t>
            </w:r>
          </w:p>
        </w:tc>
      </w:tr>
      <w:tr>
        <w:trPr>
          <w:trHeight w:val="202"/>
        </w:trPr>
        <w:tc>
          <w:tcPr>
            <w:tcW w:w="6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Rooms (including revenues from related parties of $15,981, $53,865 and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$53,925 for the years ended December 31, 2020, 2019 and 2018,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21,997</w:t>
            </w: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85,975</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88,317</w:t>
            </w:r>
          </w:p>
        </w:tc>
      </w:tr>
      <w:tr>
        <w:trPr>
          <w:trHeight w:val="202"/>
        </w:trPr>
        <w:tc>
          <w:tcPr>
            <w:tcW w:w="6520" w:type="dxa"/>
            <w:vAlign w:val="bottom"/>
          </w:tcPr>
          <w:p>
            <w:pPr>
              <w:ind w:left="180"/>
              <w:spacing w:after="0" w:line="201" w:lineRule="exact"/>
              <w:rPr>
                <w:sz w:val="20"/>
                <w:szCs w:val="20"/>
                <w:color w:val="auto"/>
              </w:rPr>
            </w:pPr>
            <w:r>
              <w:rPr>
                <w:rFonts w:ascii="Arial" w:cs="Arial" w:eastAsia="Arial" w:hAnsi="Arial"/>
                <w:sz w:val="18"/>
                <w:szCs w:val="18"/>
                <w:color w:val="auto"/>
              </w:rPr>
              <w:t>Food and beverage (including revenues from related parties of $14,487,</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$38,719 and $35,937 for the years ended December 31, 2020, 2019 and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2018, respectively)</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22,653</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68,706</w:t>
            </w: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65,904</w:t>
            </w:r>
          </w:p>
        </w:tc>
      </w:tr>
      <w:tr>
        <w:trPr>
          <w:trHeight w:val="202"/>
        </w:trPr>
        <w:tc>
          <w:tcPr>
            <w:tcW w:w="6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Entertainment (including revenues from related parties of $25, $7,685 and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$1,191 for the years ended December 31, 2020, 2019 and 2018, respectively)</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1,389</w:t>
            </w: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21,815</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12,073</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Services fee from related parties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26,151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39,470</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39,126</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Mall</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14,844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22,298</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Retail and other</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2,692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2,411</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3,571</w:t>
            </w:r>
          </w:p>
        </w:tc>
      </w:tr>
      <w:tr>
        <w:trPr>
          <w:trHeight w:val="27"/>
        </w:trPr>
        <w:tc>
          <w:tcPr>
            <w:tcW w:w="6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49,208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626,733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571,213</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6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Provision of gaming related services (including costs to related parties of</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$25,576, $21,445 and $17,634 for the years ended December 31, 2020, 2019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2018, respectively)</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(26,993)</w:t>
            </w: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(24,179)</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(20,263)</w:t>
            </w:r>
          </w:p>
        </w:tc>
      </w:tr>
      <w:tr>
        <w:trPr>
          <w:trHeight w:val="202"/>
        </w:trPr>
        <w:tc>
          <w:tcPr>
            <w:tcW w:w="6520" w:type="dxa"/>
            <w:vAlign w:val="bottom"/>
          </w:tcPr>
          <w:p>
            <w:pPr>
              <w:ind w:left="180"/>
              <w:spacing w:after="0" w:line="201" w:lineRule="exact"/>
              <w:rPr>
                <w:sz w:val="20"/>
                <w:szCs w:val="20"/>
                <w:color w:val="auto"/>
              </w:rPr>
            </w:pPr>
            <w:r>
              <w:rPr>
                <w:rFonts w:ascii="Arial" w:cs="Arial" w:eastAsia="Arial" w:hAnsi="Arial"/>
                <w:sz w:val="18"/>
                <w:szCs w:val="18"/>
                <w:color w:val="auto"/>
              </w:rPr>
              <w:t>Rooms (including costs to related parties of $7,527, $12,491 and $12,572 for</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the years ended December 31, 2020, 2019 and 2018, respectively)</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(11,229)</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(21,766)</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(21,855)</w:t>
            </w:r>
          </w:p>
        </w:tc>
      </w:tr>
      <w:tr>
        <w:trPr>
          <w:trHeight w:val="202"/>
        </w:trPr>
        <w:tc>
          <w:tcPr>
            <w:tcW w:w="6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Food and beverage (including costs to related parties of $19,370, $27,797 and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$27,089 for the years ended December 31, 2020, 2019 and 2018,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(27,301)</w:t>
            </w: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(57,718)</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(56,342)</w:t>
            </w:r>
          </w:p>
        </w:tc>
      </w:tr>
      <w:tr>
        <w:trPr>
          <w:trHeight w:val="202"/>
        </w:trPr>
        <w:tc>
          <w:tcPr>
            <w:tcW w:w="6520" w:type="dxa"/>
            <w:vAlign w:val="bottom"/>
          </w:tcPr>
          <w:p>
            <w:pPr>
              <w:ind w:left="180"/>
              <w:spacing w:after="0" w:line="201" w:lineRule="exact"/>
              <w:rPr>
                <w:sz w:val="20"/>
                <w:szCs w:val="20"/>
                <w:color w:val="auto"/>
              </w:rPr>
            </w:pPr>
            <w:r>
              <w:rPr>
                <w:rFonts w:ascii="Arial" w:cs="Arial" w:eastAsia="Arial" w:hAnsi="Arial"/>
                <w:sz w:val="18"/>
                <w:szCs w:val="18"/>
                <w:color w:val="auto"/>
              </w:rPr>
              <w:t>Entertainment (including costs to related parties of $2,273, $4,521 and $4,815</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for the years ended December 31, 2020, 2019 and 2018, respectively)</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(3,409)</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(22,719)</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(11,978)</w:t>
            </w:r>
          </w:p>
        </w:tc>
      </w:tr>
      <w:tr>
        <w:trPr>
          <w:trHeight w:val="202"/>
        </w:trPr>
        <w:tc>
          <w:tcPr>
            <w:tcW w:w="6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Mall (including costs to related parties of $2,025, $2,026 and $2,010 for the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years ended December 31, 2020, 2019 and 2018, respectively)</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(8,658)</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(10,960)</w:t>
            </w:r>
          </w:p>
        </w:tc>
      </w:tr>
      <w:tr>
        <w:trPr>
          <w:trHeight w:val="202"/>
        </w:trPr>
        <w:tc>
          <w:tcPr>
            <w:tcW w:w="6520" w:type="dxa"/>
            <w:vAlign w:val="bottom"/>
          </w:tcPr>
          <w:p>
            <w:pPr>
              <w:ind w:left="180"/>
              <w:spacing w:after="0" w:line="201" w:lineRule="exact"/>
              <w:rPr>
                <w:sz w:val="20"/>
                <w:szCs w:val="20"/>
                <w:color w:val="auto"/>
              </w:rPr>
            </w:pPr>
            <w:r>
              <w:rPr>
                <w:rFonts w:ascii="Arial" w:cs="Arial" w:eastAsia="Arial" w:hAnsi="Arial"/>
                <w:sz w:val="18"/>
                <w:szCs w:val="18"/>
                <w:color w:val="auto"/>
                <w:w w:val="99"/>
              </w:rPr>
              <w:t>Retail and other (including costs to related parties of $1,220, $1,739 and $2,370</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for the years ended December 31, 2020, 2019 and 2018, respectively)</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(1,735)</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(2,411)</w:t>
            </w:r>
          </w:p>
        </w:tc>
      </w:tr>
      <w:tr>
        <w:trPr>
          <w:trHeight w:val="202"/>
        </w:trPr>
        <w:tc>
          <w:tcPr>
            <w:tcW w:w="6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General and administrative (including expenses to related parties of $52,213,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$72,847 and $74,514 for the years ended December 31, 2020, 2019 and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2018, respectively)</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(89,006)</w:t>
            </w: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(128,931)</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(132,637)</w:t>
            </w:r>
          </w:p>
        </w:tc>
      </w:tr>
      <w:tr>
        <w:trPr>
          <w:trHeight w:val="202"/>
        </w:trPr>
        <w:tc>
          <w:tcPr>
            <w:tcW w:w="6520" w:type="dxa"/>
            <w:vAlign w:val="bottom"/>
          </w:tcPr>
          <w:p>
            <w:pPr>
              <w:ind w:left="180"/>
              <w:spacing w:after="0" w:line="201" w:lineRule="exact"/>
              <w:rPr>
                <w:sz w:val="20"/>
                <w:szCs w:val="20"/>
                <w:color w:val="auto"/>
              </w:rPr>
            </w:pPr>
            <w:r>
              <w:rPr>
                <w:rFonts w:ascii="Arial" w:cs="Arial" w:eastAsia="Arial" w:hAnsi="Arial"/>
                <w:sz w:val="18"/>
                <w:szCs w:val="18"/>
                <w:color w:val="auto"/>
                <w:w w:val="99"/>
              </w:rPr>
              <w:t>Pre-opening costs (including expenses to related parties of $240, $32 and $152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for the years ended December 31, 2020, 2019 and 2018, respectively)</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(2,567)</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(4,550)</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land use right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(3,298)</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(157,001)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(168,643)</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(164,593)</w:t>
            </w:r>
          </w:p>
        </w:tc>
      </w:tr>
      <w:tr>
        <w:trPr>
          <w:trHeight w:val="202"/>
        </w:trPr>
        <w:tc>
          <w:tcPr>
            <w:tcW w:w="6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Property charges and other (including expenses to related parties of $1,694 and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$630 for the years ended December 31, 2020 and 2019, respectively)</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(4,798)</w:t>
            </w: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(8,521)</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(4,464)</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(329,136)</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(448,737)</w:t>
            </w:r>
          </w:p>
        </w:tc>
        <w:tc>
          <w:tcPr>
            <w:tcW w:w="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(433,351)</w:t>
            </w:r>
          </w:p>
        </w:tc>
        <w:tc>
          <w:tcPr>
            <w:tcW w:w="120" w:type="dxa"/>
            <w:vAlign w:val="bottom"/>
          </w:tcPr>
          <w:p>
            <w:pPr>
              <w:spacing w:after="0"/>
              <w:rPr>
                <w:sz w:val="20"/>
                <w:szCs w:val="20"/>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(279,928)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177,996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137,862</w:t>
            </w:r>
          </w:p>
        </w:tc>
      </w:tr>
      <w:tr>
        <w:trPr>
          <w:trHeight w:val="371"/>
        </w:trPr>
        <w:tc>
          <w:tcPr>
            <w:tcW w:w="6520" w:type="dxa"/>
            <w:vAlign w:val="bottom"/>
          </w:tcPr>
          <w:p>
            <w:pPr>
              <w:ind w:left="5380"/>
              <w:spacing w:after="0"/>
              <w:rPr>
                <w:sz w:val="20"/>
                <w:szCs w:val="20"/>
                <w:color w:val="auto"/>
              </w:rPr>
            </w:pPr>
            <w:r>
              <w:rPr>
                <w:rFonts w:ascii="Arial" w:cs="Arial" w:eastAsia="Arial" w:hAnsi="Arial"/>
                <w:sz w:val="18"/>
                <w:szCs w:val="18"/>
                <w:color w:val="auto"/>
              </w:rPr>
              <w:t>F-8</w:t>
            </w: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CONSOLIDATED STATEMENTS OF OPERATIONS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1"/>
              </w:rPr>
              <w:t>Year Ended December 31,</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5,861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expenses, net of amounts capitalized</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(104,799)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(132,291)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(160,508)</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Other financing costs</w:t>
            </w: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(421)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(losses) gains, net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(3,434)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Other (expenses) income, net</w:t>
            </w: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(18,716)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Costs associated with debt modification</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 net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(126,175)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(133,965)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(158,063)</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(Loss) income before income tax</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(406,103)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44,031</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(expense)</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(405,092)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43,629</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participation interest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83,466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(loss) income attributable to Studio City International Holdings Limited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(321,626</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33,564</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income attributable to Studio City International Holdings Limited per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ordinary share:</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(1.091)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0.139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(0.113)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(0.113)</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Weighted average Class A ordinary shares outstanding used in net (loss)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attributable to Studio City International Holdings Limited per Class A ordinary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share calculation:</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294,837,092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241,818,016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191,533,455</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367,348,852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241,818,016</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191,533,455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86"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100" w:type="dxa"/>
            <w:vAlign w:val="bottom"/>
            <w:gridSpan w:val="9"/>
          </w:tcPr>
          <w:p>
            <w:pPr>
              <w:ind w:left="540"/>
              <w:spacing w:after="0"/>
              <w:rPr>
                <w:sz w:val="20"/>
                <w:szCs w:val="20"/>
                <w:color w:val="auto"/>
              </w:rPr>
            </w:pPr>
            <w:r>
              <w:rPr>
                <w:rFonts w:ascii="Arial" w:cs="Arial" w:eastAsia="Arial" w:hAnsi="Arial"/>
                <w:sz w:val="18"/>
                <w:szCs w:val="18"/>
                <w:color w:val="auto"/>
              </w:rPr>
              <w:t>Year Ended December 31,</w:t>
            </w:r>
          </w:p>
        </w:tc>
      </w:tr>
      <w:tr>
        <w:trPr>
          <w:trHeight w:val="223"/>
        </w:trPr>
        <w:tc>
          <w:tcPr>
            <w:tcW w:w="7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2019</w:t>
            </w:r>
          </w:p>
        </w:tc>
        <w:tc>
          <w:tcPr>
            <w:tcW w:w="2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$(405,092)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0"/>
              </w:rPr>
              <w:t>(20,745)</w:t>
            </w: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before and after tax</w:t>
            </w:r>
          </w:p>
        </w:tc>
        <w:tc>
          <w:tcPr>
            <w:tcW w:w="1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15,208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(18,774)</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15,208</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0"/>
              </w:rPr>
              <w:t>(18,774)</w:t>
            </w:r>
          </w:p>
        </w:tc>
        <w:tc>
          <w:tcPr>
            <w:tcW w:w="120" w:type="dxa"/>
            <w:vAlign w:val="bottom"/>
          </w:tcPr>
          <w:p>
            <w:pPr>
              <w:spacing w:after="0"/>
              <w:rPr>
                <w:sz w:val="20"/>
                <w:szCs w:val="20"/>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(389,884)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(39,519)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Comprehensive loss (income) attributable to participation interest</w:t>
            </w:r>
          </w:p>
        </w:tc>
        <w:tc>
          <w:tcPr>
            <w:tcW w:w="7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79,865</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(14,362)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3,370</w:t>
            </w:r>
          </w:p>
        </w:tc>
      </w:tr>
      <w:tr>
        <w:trPr>
          <w:trHeight w:val="27"/>
        </w:trPr>
        <w:tc>
          <w:tcPr>
            <w:tcW w:w="7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 attributable to Studio City International Holdings Limited</w:t>
            </w:r>
          </w:p>
        </w:tc>
        <w:tc>
          <w:tcPr>
            <w:tcW w:w="7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(310,019)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(36,149)</w:t>
            </w:r>
          </w:p>
        </w:tc>
      </w:tr>
      <w:tr>
        <w:trPr>
          <w:trHeight w:val="20"/>
        </w:trPr>
        <w:tc>
          <w:tcPr>
            <w:tcW w:w="7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86"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13"/>
          </w:tcPr>
          <w:p>
            <w:pPr>
              <w:jc w:val="right"/>
              <w:ind w:right="340"/>
              <w:spacing w:after="0"/>
              <w:rPr>
                <w:sz w:val="20"/>
                <w:szCs w:val="20"/>
                <w:color w:val="auto"/>
              </w:rPr>
            </w:pPr>
            <w:r>
              <w:rPr>
                <w:rFonts w:ascii="Arial" w:cs="Arial" w:eastAsia="Arial" w:hAnsi="Arial"/>
                <w:sz w:val="14"/>
                <w:szCs w:val="14"/>
                <w:color w:val="auto"/>
                <w:w w:val="96"/>
              </w:rPr>
              <w:t>Studio City International Holdings Limited Shareholders’ Equity</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120" w:type="dxa"/>
            <w:vAlign w:val="bottom"/>
          </w:tcPr>
          <w:p>
            <w:pPr>
              <w:spacing w:after="0"/>
              <w:rPr>
                <w:sz w:val="10"/>
                <w:szCs w:val="10"/>
                <w:color w:val="auto"/>
              </w:rPr>
            </w:pP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Class A</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ind w:left="480"/>
              <w:spacing w:after="0"/>
              <w:rPr>
                <w:sz w:val="20"/>
                <w:szCs w:val="20"/>
                <w:color w:val="auto"/>
              </w:rPr>
            </w:pPr>
            <w:r>
              <w:rPr>
                <w:rFonts w:ascii="Arial" w:cs="Arial" w:eastAsia="Arial" w:hAnsi="Arial"/>
                <w:sz w:val="14"/>
                <w:szCs w:val="14"/>
                <w:color w:val="auto"/>
                <w:w w:val="86"/>
              </w:rPr>
              <w:t>Class B</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5"/>
                <w:szCs w:val="5"/>
                <w:color w:val="auto"/>
              </w:rPr>
            </w:pPr>
          </w:p>
        </w:tc>
        <w:tc>
          <w:tcPr>
            <w:tcW w:w="90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120" w:type="dxa"/>
            <w:vAlign w:val="bottom"/>
          </w:tcPr>
          <w:p>
            <w:pPr>
              <w:spacing w:after="0"/>
              <w:rPr>
                <w:sz w:val="7"/>
                <w:szCs w:val="7"/>
                <w:color w:val="auto"/>
              </w:rPr>
            </w:pPr>
          </w:p>
        </w:tc>
        <w:tc>
          <w:tcPr>
            <w:tcW w:w="1660" w:type="dxa"/>
            <w:vAlign w:val="bottom"/>
            <w:gridSpan w:val="7"/>
            <w:vMerge w:val="restart"/>
          </w:tcPr>
          <w:p>
            <w:pPr>
              <w:jc w:val="right"/>
              <w:ind w:right="440"/>
              <w:spacing w:after="0"/>
              <w:rPr>
                <w:sz w:val="20"/>
                <w:szCs w:val="20"/>
                <w:color w:val="auto"/>
              </w:rPr>
            </w:pPr>
            <w:r>
              <w:rPr>
                <w:rFonts w:ascii="Arial" w:cs="Arial" w:eastAsia="Arial" w:hAnsi="Arial"/>
                <w:sz w:val="14"/>
                <w:szCs w:val="14"/>
                <w:color w:val="auto"/>
              </w:rPr>
              <w:t>Ordinary Shares</w:t>
            </w:r>
          </w:p>
        </w:tc>
        <w:tc>
          <w:tcPr>
            <w:tcW w:w="1480" w:type="dxa"/>
            <w:vAlign w:val="bottom"/>
            <w:gridSpan w:val="5"/>
            <w:vMerge w:val="restart"/>
          </w:tcPr>
          <w:p>
            <w:pPr>
              <w:ind w:left="240"/>
              <w:spacing w:after="0"/>
              <w:rPr>
                <w:sz w:val="20"/>
                <w:szCs w:val="20"/>
                <w:color w:val="auto"/>
              </w:rPr>
            </w:pPr>
            <w:r>
              <w:rPr>
                <w:rFonts w:ascii="Arial" w:cs="Arial" w:eastAsia="Arial" w:hAnsi="Arial"/>
                <w:sz w:val="14"/>
                <w:szCs w:val="14"/>
                <w:color w:val="auto"/>
              </w:rPr>
              <w:t>Ordinary Shares</w:t>
            </w:r>
          </w:p>
        </w:tc>
        <w:tc>
          <w:tcPr>
            <w:tcW w:w="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120" w:type="dxa"/>
            <w:vAlign w:val="bottom"/>
          </w:tcPr>
          <w:p>
            <w:pPr>
              <w:spacing w:after="0"/>
              <w:rPr>
                <w:sz w:val="7"/>
                <w:szCs w:val="7"/>
                <w:color w:val="auto"/>
              </w:rPr>
            </w:pPr>
          </w:p>
        </w:tc>
        <w:tc>
          <w:tcPr>
            <w:tcW w:w="1660" w:type="dxa"/>
            <w:vAlign w:val="bottom"/>
            <w:gridSpan w:val="7"/>
            <w:vMerge w:val="continue"/>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10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color w:val="auto"/>
                <w:w w:val="91"/>
              </w:rPr>
              <w:t>Comprehensive</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7"/>
                <w:szCs w:val="7"/>
                <w:color w:val="auto"/>
              </w:rPr>
            </w:pPr>
          </w:p>
        </w:tc>
        <w:tc>
          <w:tcPr>
            <w:tcW w:w="84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color w:val="auto"/>
                <w:w w:val="90"/>
              </w:rPr>
              <w:t>Participation</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42"/>
        </w:trPr>
        <w:tc>
          <w:tcPr>
            <w:tcW w:w="312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rPr>
              <w:t>Amount</w:t>
            </w:r>
          </w:p>
        </w:tc>
        <w:tc>
          <w:tcPr>
            <w:tcW w:w="92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560" w:type="dxa"/>
            <w:vAlign w:val="bottom"/>
            <w:gridSpan w:val="3"/>
          </w:tcPr>
          <w:p>
            <w:pPr>
              <w:jc w:val="right"/>
              <w:ind w:right="80"/>
              <w:spacing w:after="0"/>
              <w:rPr>
                <w:sz w:val="20"/>
                <w:szCs w:val="20"/>
                <w:color w:val="auto"/>
              </w:rPr>
            </w:pPr>
            <w:r>
              <w:rPr>
                <w:rFonts w:ascii="Arial" w:cs="Arial" w:eastAsia="Arial" w:hAnsi="Arial"/>
                <w:sz w:val="14"/>
                <w:szCs w:val="14"/>
                <w:color w:val="auto"/>
                <w:w w:val="95"/>
              </w:rPr>
              <w:t>Amount</w:t>
            </w:r>
          </w:p>
        </w:tc>
        <w:tc>
          <w:tcPr>
            <w:tcW w:w="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Capital</w:t>
            </w: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Income (Loss)</w:t>
            </w: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Interest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January 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181,279,400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$1,512,705</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(773,168)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740,043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20" w:type="dxa"/>
            <w:vAlign w:val="bottom"/>
          </w:tcPr>
          <w:p>
            <w:pPr>
              <w:spacing w:after="0"/>
              <w:rPr>
                <w:sz w:val="20"/>
                <w:szCs w:val="20"/>
                <w:color w:val="auto"/>
              </w:rPr>
            </w:pPr>
            <w:r>
              <w:rPr>
                <w:rFonts w:ascii="Arial" w:cs="Arial" w:eastAsia="Arial" w:hAnsi="Arial"/>
                <w:sz w:val="16"/>
                <w:szCs w:val="16"/>
                <w:color w:val="auto"/>
                <w:w w:val="99"/>
              </w:rPr>
              <w:t>Cumulative-effect adjustment upon adoption</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60"/>
              <w:spacing w:after="0"/>
              <w:rPr>
                <w:sz w:val="20"/>
                <w:szCs w:val="20"/>
                <w:color w:val="auto"/>
              </w:rPr>
            </w:pPr>
            <w:r>
              <w:rPr>
                <w:rFonts w:ascii="Arial" w:cs="Arial" w:eastAsia="Arial" w:hAnsi="Arial"/>
                <w:sz w:val="16"/>
                <w:szCs w:val="16"/>
                <w:color w:val="auto"/>
                <w:w w:val="96"/>
              </w:rPr>
              <w:t>of New Revenue Standard (as described in</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160"/>
              <w:spacing w:after="0"/>
              <w:rPr>
                <w:sz w:val="20"/>
                <w:szCs w:val="20"/>
                <w:color w:val="auto"/>
              </w:rPr>
            </w:pPr>
            <w:r>
              <w:rPr>
                <w:rFonts w:ascii="Arial" w:cs="Arial" w:eastAsia="Arial" w:hAnsi="Arial"/>
                <w:sz w:val="16"/>
                <w:szCs w:val="16"/>
                <w:color w:val="auto"/>
              </w:rPr>
              <w:t>Note 2(p))</w:t>
            </w: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(3,332)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(3,332)</w:t>
            </w: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Net loss for the year</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(21,598)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(20,745)</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(14,551)</w:t>
            </w:r>
          </w:p>
        </w:tc>
        <w:tc>
          <w:tcPr>
            <w:tcW w:w="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(4,223)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(18,774)</w:t>
            </w:r>
          </w:p>
        </w:tc>
        <w:tc>
          <w:tcPr>
            <w:tcW w:w="0" w:type="dxa"/>
            <w:vAlign w:val="bottom"/>
          </w:tcPr>
          <w:p>
            <w:pPr>
              <w:spacing w:after="0"/>
              <w:rPr>
                <w:sz w:val="1"/>
                <w:szCs w:val="1"/>
                <w:color w:val="auto"/>
              </w:rPr>
            </w:pPr>
          </w:p>
        </w:tc>
      </w:tr>
      <w:tr>
        <w:trPr>
          <w:trHeight w:val="193"/>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Exchange of Class A ordinary shares to</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Class B ordinary shares</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6"/>
              </w:rPr>
              <w:t>(72,511,760)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72,511,760</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Shares issued, net of offering expenses</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133,050,376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399,196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399,209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Participation Interest resulted from</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Organizational Transactions and the</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Offering (as described in Note 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(256,299)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256,299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color w:val="auto"/>
              </w:rPr>
              <w:t>Balance at December 31, 2018</w:t>
            </w: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2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241,818,016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w w:val="87"/>
              </w:rPr>
              <w:t>72,511,760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1,655,602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(14,063)</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(798,098)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252,929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1,096,401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Net income for the year</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33,564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10,065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14,332</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2"/>
              </w:rPr>
              <w:t>241,818,016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72,511,760</w:t>
            </w: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1,655,602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(764,534)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267,291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1,158,659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Net loss for the year</w:t>
            </w: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(321,626)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(83,466)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(405,092)</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11,607</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3,601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Shares issued, net of offering expenses</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128,534,684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498,935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498,948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w w:val="96"/>
              </w:rPr>
              <w:t>Change in Participation Interest resulted from</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Private Placements (as described in Note 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(20,310)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20,310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color w:val="auto"/>
              </w:rPr>
              <w:t>Balance at December 31, 2020</w:t>
            </w: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2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370,352,700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w w:val="87"/>
              </w:rPr>
              <w:t>72,511,760</w:t>
            </w:r>
          </w:p>
        </w:tc>
        <w:tc>
          <w:tcPr>
            <w:tcW w:w="1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2,134,227</w:t>
            </w:r>
          </w:p>
        </w:tc>
        <w:tc>
          <w:tcPr>
            <w:tcW w:w="18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11,876</w:t>
            </w:r>
          </w:p>
        </w:tc>
        <w:tc>
          <w:tcPr>
            <w:tcW w:w="1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(1,086,160)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207,736</w:t>
            </w:r>
          </w:p>
        </w:tc>
        <w:tc>
          <w:tcPr>
            <w:tcW w:w="1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1,267,723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86"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gridSpan w:val="10"/>
          </w:tcPr>
          <w:p>
            <w:pPr>
              <w:jc w:val="right"/>
              <w:ind w:right="641"/>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(405,092)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43,629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(20,745)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Adjustments to reconcile net (loss) income to net cash (used in) provided by operating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160,334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w w:val="98"/>
              </w:rPr>
              <w:t>171,943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167,891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7,554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16"/>
        </w:trPr>
        <w:tc>
          <w:tcPr>
            <w:tcW w:w="7480" w:type="dxa"/>
            <w:vAlign w:val="bottom"/>
          </w:tcPr>
          <w:p>
            <w:pPr>
              <w:ind w:left="500"/>
              <w:spacing w:after="0"/>
              <w:rPr>
                <w:sz w:val="20"/>
                <w:szCs w:val="20"/>
                <w:color w:val="auto"/>
              </w:rPr>
            </w:pPr>
            <w:r>
              <w:rPr>
                <w:rFonts w:ascii="Arial" w:cs="Arial" w:eastAsia="Arial" w:hAnsi="Arial"/>
                <w:sz w:val="18"/>
                <w:szCs w:val="18"/>
                <w:color w:val="auto"/>
              </w:rPr>
              <w:t>(Gain) loss on disposal of property and equipment and other long-term 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Impairment loss recognized on property and equipment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500"/>
              <w:spacing w:after="0"/>
              <w:rPr>
                <w:sz w:val="20"/>
                <w:szCs w:val="20"/>
                <w:color w:val="auto"/>
              </w:rPr>
            </w:pPr>
            <w:r>
              <w:rPr>
                <w:rFonts w:ascii="Arial" w:cs="Arial" w:eastAsia="Arial" w:hAnsi="Arial"/>
                <w:sz w:val="18"/>
                <w:szCs w:val="18"/>
                <w:color w:val="auto"/>
              </w:rPr>
              <w:t>Write-off of other 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7,556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7480" w:type="dxa"/>
            <w:vAlign w:val="bottom"/>
          </w:tcPr>
          <w:p>
            <w:pPr>
              <w:ind w:left="50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18,716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2,995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Costs associated with debt modification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7480" w:type="dxa"/>
            <w:vAlign w:val="bottom"/>
          </w:tcPr>
          <w:p>
            <w:pPr>
              <w:ind w:left="840"/>
              <w:spacing w:after="0"/>
              <w:rPr>
                <w:sz w:val="20"/>
                <w:szCs w:val="20"/>
                <w:color w:val="auto"/>
              </w:rPr>
            </w:pPr>
            <w:r>
              <w:rPr>
                <w:rFonts w:ascii="Arial" w:cs="Arial" w:eastAsia="Arial" w:hAnsi="Arial"/>
                <w:sz w:val="18"/>
                <w:szCs w:val="18"/>
                <w:color w:val="auto"/>
              </w:rPr>
              <w:t>Amounts due from affiliated companies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54,405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(23,426)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(9,906)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Inventories, prepaid expenses and other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0" w:type="dxa"/>
            <w:vAlign w:val="bottom"/>
          </w:tcPr>
          <w:p>
            <w:pPr>
              <w:spacing w:after="0"/>
              <w:rPr>
                <w:sz w:val="1"/>
                <w:szCs w:val="1"/>
                <w:color w:val="auto"/>
              </w:rPr>
            </w:pPr>
          </w:p>
        </w:tc>
      </w:tr>
      <w:tr>
        <w:trPr>
          <w:trHeight w:val="216"/>
        </w:trPr>
        <w:tc>
          <w:tcPr>
            <w:tcW w:w="7480" w:type="dxa"/>
            <w:vAlign w:val="bottom"/>
          </w:tcPr>
          <w:p>
            <w:pPr>
              <w:ind w:left="840"/>
              <w:spacing w:after="0"/>
              <w:rPr>
                <w:sz w:val="20"/>
                <w:szCs w:val="20"/>
                <w:color w:val="auto"/>
              </w:rPr>
            </w:pPr>
            <w:r>
              <w:rPr>
                <w:rFonts w:ascii="Arial" w:cs="Arial" w:eastAsia="Arial" w:hAnsi="Arial"/>
                <w:sz w:val="18"/>
                <w:szCs w:val="18"/>
                <w:color w:val="auto"/>
              </w:rPr>
              <w:t>Long-term prepayments, deposits and other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(54,748)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6,267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Accounts payable, accrued expenses and other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9,521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16"/>
        </w:trPr>
        <w:tc>
          <w:tcPr>
            <w:tcW w:w="7480" w:type="dxa"/>
            <w:vAlign w:val="bottom"/>
          </w:tcPr>
          <w:p>
            <w:pPr>
              <w:ind w:left="840"/>
              <w:spacing w:after="0"/>
              <w:rPr>
                <w:sz w:val="20"/>
                <w:szCs w:val="20"/>
                <w:color w:val="auto"/>
              </w:rPr>
            </w:pPr>
            <w:r>
              <w:rPr>
                <w:rFonts w:ascii="Arial" w:cs="Arial" w:eastAsia="Arial" w:hAnsi="Arial"/>
                <w:sz w:val="18"/>
                <w:szCs w:val="18"/>
                <w:color w:val="auto"/>
              </w:rPr>
              <w:t>Amounts due to affiliated companies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24,512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(3,525)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(167,425)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228,504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139,518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(202,712)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(78,588)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(153,247)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Funds to an affiliated company</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(13,711)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(13,355)</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Acquisition of intangible 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 and other long-term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9,235</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Placement of bank deposits with original maturities over three months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(60,152)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(24,823)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Withdrawals of bank deposits with original maturities over three months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60,152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34,675</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(209,789)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(90,922)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(147,515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(558,466)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(400,000)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deferred financing costs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(9,913)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Net proceeds from (payments for) issuance of shares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499,222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(5,063)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405,152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8"/>
              </w:rPr>
              <w:t>383,466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623,811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(189,976</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(50,333)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8"/>
              </w:rPr>
              <w:t>377,565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382,929</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575,359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327,232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377,565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5340"/>
              <w:spacing w:after="0"/>
              <w:rPr>
                <w:sz w:val="20"/>
                <w:szCs w:val="20"/>
                <w:color w:val="auto"/>
              </w:rPr>
            </w:pPr>
            <w:r>
              <w:rPr>
                <w:rFonts w:ascii="Arial" w:cs="Arial" w:eastAsia="Arial" w:hAnsi="Arial"/>
                <w:sz w:val="18"/>
                <w:szCs w:val="18"/>
                <w:color w:val="auto"/>
              </w:rPr>
              <w:t>F-12</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9"/>
          </w:tcPr>
          <w:p>
            <w:pPr>
              <w:jc w:val="right"/>
              <w:ind w:right="740"/>
              <w:spacing w:after="0"/>
              <w:rPr>
                <w:sz w:val="20"/>
                <w:szCs w:val="20"/>
                <w:color w:val="auto"/>
              </w:rPr>
            </w:pPr>
            <w:r>
              <w:rPr>
                <w:rFonts w:ascii="Arial" w:cs="Arial" w:eastAsia="Arial" w:hAnsi="Arial"/>
                <w:sz w:val="18"/>
                <w:szCs w:val="18"/>
                <w:color w:val="auto"/>
              </w:rPr>
              <w:t>Year Ended December 31,</w:t>
            </w:r>
          </w:p>
        </w:tc>
      </w:tr>
      <w:tr>
        <w:trPr>
          <w:trHeight w:val="223"/>
        </w:trPr>
        <w:tc>
          <w:tcPr>
            <w:tcW w:w="78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2020</w:t>
            </w:r>
          </w:p>
        </w:tc>
        <w:tc>
          <w:tcPr>
            <w:tcW w:w="4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r>
      <w:tr>
        <w:trPr>
          <w:trHeight w:val="209"/>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(81,488)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(112,544)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(155,153)</w:t>
            </w:r>
          </w:p>
        </w:tc>
      </w:tr>
      <w:tr>
        <w:trPr>
          <w:trHeight w:val="202"/>
        </w:trPr>
        <w:tc>
          <w:tcPr>
            <w:tcW w:w="7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Cash paid for amounts included in the measurement of lease liabilities - operating cash flows from</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color w:val="auto"/>
                <w:w w:val="99"/>
              </w:rPr>
              <w:t>Change in operating lease right-of-use assets and lease liabilities arising from lease modification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7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Change in accrued expenses and other current liabilities and other long-term liabilities related to</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61,024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20,728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10,316</w:t>
            </w:r>
          </w:p>
        </w:tc>
      </w:tr>
      <w:tr>
        <w:trPr>
          <w:trHeight w:val="202"/>
        </w:trPr>
        <w:tc>
          <w:tcPr>
            <w:tcW w:w="7800" w:type="dxa"/>
            <w:vAlign w:val="bottom"/>
          </w:tcPr>
          <w:p>
            <w:pPr>
              <w:ind w:left="180"/>
              <w:spacing w:after="0" w:line="201" w:lineRule="exact"/>
              <w:rPr>
                <w:sz w:val="20"/>
                <w:szCs w:val="20"/>
                <w:color w:val="auto"/>
              </w:rPr>
            </w:pPr>
            <w:r>
              <w:rPr>
                <w:rFonts w:ascii="Arial" w:cs="Arial" w:eastAsia="Arial" w:hAnsi="Arial"/>
                <w:sz w:val="18"/>
                <w:szCs w:val="18"/>
                <w:color w:val="auto"/>
                <w:w w:val="94"/>
              </w:rPr>
              <w:t>Change in amounts due from/to affiliated companies related to acquisition of property and equipment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and other long-term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9,464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18,521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19,320</w:t>
            </w:r>
          </w:p>
        </w:tc>
      </w:tr>
      <w:tr>
        <w:trPr>
          <w:trHeight w:val="216"/>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amounts due to affiliated companies related to acquisition of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7800" w:type="dxa"/>
            <w:vAlign w:val="bottom"/>
          </w:tcPr>
          <w:p>
            <w:pPr>
              <w:ind w:left="180"/>
              <w:spacing w:after="0" w:line="201" w:lineRule="exact"/>
              <w:rPr>
                <w:sz w:val="20"/>
                <w:szCs w:val="20"/>
                <w:color w:val="auto"/>
              </w:rPr>
            </w:pPr>
            <w:r>
              <w:rPr>
                <w:rFonts w:ascii="Arial" w:cs="Arial" w:eastAsia="Arial" w:hAnsi="Arial"/>
                <w:sz w:val="18"/>
                <w:szCs w:val="18"/>
                <w:color w:val="auto"/>
                <w:w w:val="98"/>
              </w:rPr>
              <w:t>Offering expenses capitalized for the issuance of shares included in accrued expenses and other</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5,943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86"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Company Information</w:t>
      </w:r>
    </w:p>
    <w:p>
      <w:pPr>
        <w:spacing w:after="0" w:line="121" w:lineRule="exact"/>
        <w:rPr>
          <w:rFonts w:ascii="Arial" w:cs="Arial" w:eastAsia="Arial" w:hAnsi="Arial"/>
          <w:sz w:val="18"/>
          <w:szCs w:val="18"/>
          <w:color w:val="auto"/>
        </w:rPr>
      </w:pPr>
    </w:p>
    <w:p>
      <w:pPr>
        <w:ind w:left="1100"/>
        <w:spacing w:after="0" w:line="257" w:lineRule="auto"/>
        <w:rPr>
          <w:rFonts w:ascii="Arial" w:cs="Arial" w:eastAsia="Arial" w:hAnsi="Arial"/>
          <w:sz w:val="18"/>
          <w:szCs w:val="18"/>
          <w:color w:val="auto"/>
        </w:rPr>
      </w:pPr>
      <w:r>
        <w:rPr>
          <w:rFonts w:ascii="Arial" w:cs="Arial" w:eastAsia="Arial" w:hAnsi="Arial"/>
          <w:sz w:val="18"/>
          <w:szCs w:val="18"/>
          <w:color w:val="auto"/>
        </w:rPr>
        <w:t>Studio City International Holdings Limited (“Studio City International”) was redomiciled by way of continuation as an exempted company incorporated with limited liability in the Cayman Islands in connection with the Organizational Transactions as described below. On October 22, 2018, Studio City International completed an initial public offering of 28,750,000 American depositary shares (“ADSs”), representing 115,000,000 Class A ordinary shares with par value of $0.0001 per share, and listed its ADSs on the New York Stock Exchange under the symbol “MSC” in the United States of America (the “Offering”).</w:t>
      </w:r>
    </w:p>
    <w:p>
      <w:pPr>
        <w:spacing w:after="0" w:line="7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Studio City International together with its subsidiaries (collectively referred to as the “Company”) currently operates</w:t>
      </w:r>
    </w:p>
    <w:p>
      <w:pPr>
        <w:spacing w:after="0" w:line="23" w:lineRule="exact"/>
        <w:rPr>
          <w:rFonts w:ascii="Arial" w:cs="Arial" w:eastAsia="Arial" w:hAnsi="Arial"/>
          <w:sz w:val="18"/>
          <w:szCs w:val="18"/>
          <w:color w:val="auto"/>
        </w:rPr>
      </w:pPr>
    </w:p>
    <w:p>
      <w:pPr>
        <w:ind w:left="1100" w:right="120"/>
        <w:spacing w:after="0" w:line="253" w:lineRule="auto"/>
        <w:rPr>
          <w:rFonts w:ascii="Arial" w:cs="Arial" w:eastAsia="Arial" w:hAnsi="Arial"/>
          <w:sz w:val="18"/>
          <w:szCs w:val="18"/>
          <w:color w:val="auto"/>
        </w:rPr>
      </w:pPr>
      <w:r>
        <w:rPr>
          <w:rFonts w:ascii="Arial" w:cs="Arial" w:eastAsia="Arial" w:hAnsi="Arial"/>
          <w:sz w:val="18"/>
          <w:szCs w:val="18"/>
          <w:color w:val="auto"/>
        </w:rPr>
        <w:t>the non-gaming operations of Studio City, a cinematically-themed integrated resort in Cotai, Macau Special Administrative Region of the People’s Republic of China (“Macau”), and provides gaming related services to Melco Resorts (Macau) Limited (“Melco Resorts Macau”), a subsidiary of Melco Resorts &amp; Entertainment Limited (“Melco”), which holds the gaming subconcession in Macau, for the operations of the gaming area at Studio City (“Studio City Casino”). Melco’s ADSs are listed on the Nasdaq Global Select Market in the United States of America.</w:t>
      </w:r>
    </w:p>
    <w:p>
      <w:pPr>
        <w:spacing w:after="0" w:line="82" w:lineRule="exact"/>
        <w:rPr>
          <w:rFonts w:ascii="Arial" w:cs="Arial" w:eastAsia="Arial" w:hAnsi="Arial"/>
          <w:sz w:val="18"/>
          <w:szCs w:val="18"/>
          <w:color w:val="auto"/>
        </w:rPr>
      </w:pPr>
    </w:p>
    <w:p>
      <w:pPr>
        <w:ind w:left="1100" w:right="40"/>
        <w:spacing w:after="0" w:line="257" w:lineRule="auto"/>
        <w:rPr>
          <w:rFonts w:ascii="Arial" w:cs="Arial" w:eastAsia="Arial" w:hAnsi="Arial"/>
          <w:sz w:val="18"/>
          <w:szCs w:val="18"/>
          <w:color w:val="auto"/>
        </w:rPr>
      </w:pPr>
      <w:r>
        <w:rPr>
          <w:rFonts w:ascii="Arial" w:cs="Arial" w:eastAsia="Arial" w:hAnsi="Arial"/>
          <w:sz w:val="18"/>
          <w:szCs w:val="18"/>
          <w:color w:val="auto"/>
        </w:rPr>
        <w:t>Immediately prior to the Organizational Transactions as described below, Studio City International was 60% held directly by MCO Cotai Investments Limited (“MCO Cotai”), a subsidiary of Melco, and 40% held directly by New Cotai, LLC (“New Cotai”), a private company organized in the United States of America. As of December 31, 2020 and 2019, Melco International Development Limited (“Melco International”), a company listed in the Hong Kong Special Administrative Region of the People’s Republic of China (“Hong Kong”), is the single largest shareholder of Melco.</w:t>
      </w:r>
    </w:p>
    <w:p>
      <w:pPr>
        <w:spacing w:after="0" w:line="7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i w:val="1"/>
          <w:iCs w:val="1"/>
          <w:color w:val="auto"/>
        </w:rPr>
        <w:t>Organizational Transactions</w:t>
      </w:r>
    </w:p>
    <w:p>
      <w:pPr>
        <w:spacing w:after="0" w:line="117" w:lineRule="exact"/>
        <w:rPr>
          <w:rFonts w:ascii="Arial" w:cs="Arial" w:eastAsia="Arial" w:hAnsi="Arial"/>
          <w:sz w:val="18"/>
          <w:szCs w:val="18"/>
          <w:color w:val="auto"/>
        </w:rPr>
      </w:pPr>
    </w:p>
    <w:p>
      <w:pPr>
        <w:ind w:left="1100" w:right="40"/>
        <w:spacing w:after="0" w:line="268" w:lineRule="auto"/>
        <w:rPr>
          <w:rFonts w:ascii="Arial" w:cs="Arial" w:eastAsia="Arial" w:hAnsi="Arial"/>
          <w:sz w:val="18"/>
          <w:szCs w:val="18"/>
          <w:color w:val="auto"/>
        </w:rPr>
      </w:pPr>
      <w:r>
        <w:rPr>
          <w:rFonts w:ascii="Arial" w:cs="Arial" w:eastAsia="Arial" w:hAnsi="Arial"/>
          <w:sz w:val="17"/>
          <w:szCs w:val="17"/>
          <w:color w:val="auto"/>
        </w:rPr>
        <w:t>Prior to the completion of the Offering, the Company underwent a series of organizational transactions (the “Organizational Transactions”), all of which were completed in October 2018, pursuant to, among others, an implementation agreement entered into among MCO Cotai, Melco, New Cotai, MSC Cotai Limited (“MSC Cotai”), a subsidiary of Studio City International, and Studio City International. The Organizational Transactions included, among other things, the following: (i) Studio City International contributed substantially all of its assets and liabilities to MSC Cotai in exchange for newly-issued ordinary shares of MSC Cotai; (ii) Studio City International authorized two classes of ordinary shares, the Class A ordinary shares and the Class B ordinary shares, in each case with a par value of $0.0001 each; (iii) the 60% equity interest in Studio City International held directly by MCO Cotai prior to the Organizational Transactions was reclassified into 108,767,640 Class A ordinary shares; (iv) the 40% equity interest in Studio City International held directly by New Cotai prior to the Organizational Transactions was exchanged for 72,511,760 Class B ordinary shares, which have only voting and no economic rights and, through its Class B ordinary shares, New Cotai has voting rights in Studio City International which controls MSC Cotai; (v) New Cotai has a non-voting, non-shareholding economic participation interest (the “Participation Interest”) in MSC Cotai, the terms of which are set forth in a participation agreement (the “Participation Agreement”) that was entered into by MSC Cotai, New Cotai and Studio City International; and (iv) Studio City International was redomiciled by way of continuation as an exempted company incorporated with limited liability in the Cayman Islands.</w:t>
      </w:r>
    </w:p>
    <w:p>
      <w:pPr>
        <w:spacing w:after="0" w:line="76" w:lineRule="exact"/>
        <w:rPr>
          <w:rFonts w:ascii="Arial" w:cs="Arial" w:eastAsia="Arial" w:hAnsi="Arial"/>
          <w:sz w:val="18"/>
          <w:szCs w:val="18"/>
          <w:color w:val="auto"/>
        </w:rPr>
      </w:pPr>
    </w:p>
    <w:p>
      <w:pPr>
        <w:ind w:left="1100"/>
        <w:spacing w:after="0" w:line="277" w:lineRule="auto"/>
        <w:rPr>
          <w:rFonts w:ascii="Arial" w:cs="Arial" w:eastAsia="Arial" w:hAnsi="Arial"/>
          <w:sz w:val="18"/>
          <w:szCs w:val="18"/>
          <w:color w:val="auto"/>
        </w:rPr>
      </w:pPr>
      <w:r>
        <w:rPr>
          <w:rFonts w:ascii="Arial" w:cs="Arial" w:eastAsia="Arial" w:hAnsi="Arial"/>
          <w:sz w:val="18"/>
          <w:szCs w:val="18"/>
          <w:color w:val="auto"/>
        </w:rPr>
        <w:t>The Class A ordinary share and Class B ordinary share have the same rights, except that holders of the Class B ordinary shares do not have any right to receive dividends or distributions upon the liquidation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86"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BUSINESS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100" w:right="7080" w:hanging="552"/>
        <w:spacing w:after="0" w:line="434" w:lineRule="auto"/>
        <w:tabs>
          <w:tab w:leader="none" w:pos="1081" w:val="left"/>
        </w:tabs>
        <w:numPr>
          <w:ilvl w:val="1"/>
          <w:numId w:val="96"/>
        </w:numPr>
        <w:rPr>
          <w:rFonts w:ascii="Arial" w:cs="Arial" w:eastAsia="Arial" w:hAnsi="Arial"/>
          <w:sz w:val="16"/>
          <w:szCs w:val="16"/>
          <w:color w:val="auto"/>
        </w:rPr>
      </w:pPr>
      <w:r>
        <w:rPr>
          <w:rFonts w:ascii="Arial" w:cs="Arial" w:eastAsia="Arial" w:hAnsi="Arial"/>
          <w:sz w:val="16"/>
          <w:szCs w:val="16"/>
          <w:b w:val="1"/>
          <w:bCs w:val="1"/>
          <w:color w:val="auto"/>
        </w:rPr>
        <w:t xml:space="preserve">Company Information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Organizational Transactions </w:t>
      </w:r>
      <w:r>
        <w:rPr>
          <w:rFonts w:ascii="Arial" w:cs="Arial" w:eastAsia="Arial" w:hAnsi="Arial"/>
          <w:sz w:val="16"/>
          <w:szCs w:val="16"/>
          <w:color w:val="auto"/>
        </w:rPr>
        <w:t>- continued</w:t>
      </w:r>
    </w:p>
    <w:p>
      <w:pPr>
        <w:ind w:left="1100" w:right="40"/>
        <w:spacing w:after="0" w:line="270" w:lineRule="auto"/>
        <w:rPr>
          <w:rFonts w:ascii="Arial" w:cs="Arial" w:eastAsia="Arial" w:hAnsi="Arial"/>
          <w:sz w:val="16"/>
          <w:szCs w:val="16"/>
          <w:color w:val="auto"/>
        </w:rPr>
      </w:pPr>
      <w:r>
        <w:rPr>
          <w:rFonts w:ascii="Arial" w:cs="Arial" w:eastAsia="Arial" w:hAnsi="Arial"/>
          <w:sz w:val="17"/>
          <w:szCs w:val="17"/>
          <w:color w:val="auto"/>
        </w:rPr>
        <w:t>or winding up of Studio City International or to otherwise share in its profits and surplus assets. Immediately prior to the Offering, the Participation Interest entitled New Cotai to receive from MSC Cotai an amount equal to 66 2/3% of the amount of any distribution, dividend or other consideration paid by MSC Cotai to Studio City International, subject to adjustments, exceptions and conditions as set out in the Participation Agreement (the “MSC Cotai’s Distribution”). The 66 2/3% represented the equivalent of New Cotai’s 40% interest in Studio City International prior to the Organizational Transactions. The Participation Agreement also provides that New Cotai is entitled to exchange all or a portion of its Participation Interest for a number of Class A ordinary shares subject to adjustments, exceptions and conditions as set out in the Participation Agreement and a proportionate number of Class B ordinary shares will be deemed surrendered and automatically canceled for no consideration as set out in the Participation Agreement when New Cotai exchanges all or a portion of the Participation Interest for Class A ordinary shares.</w:t>
      </w:r>
    </w:p>
    <w:p>
      <w:pPr>
        <w:spacing w:after="0" w:line="72" w:lineRule="exact"/>
        <w:rPr>
          <w:rFonts w:ascii="Arial" w:cs="Arial" w:eastAsia="Arial" w:hAnsi="Arial"/>
          <w:sz w:val="16"/>
          <w:szCs w:val="16"/>
          <w:color w:val="auto"/>
        </w:rPr>
      </w:pPr>
    </w:p>
    <w:p>
      <w:pPr>
        <w:ind w:left="1100" w:right="20"/>
        <w:spacing w:after="0" w:line="259" w:lineRule="auto"/>
        <w:rPr>
          <w:rFonts w:ascii="Arial" w:cs="Arial" w:eastAsia="Arial" w:hAnsi="Arial"/>
          <w:sz w:val="16"/>
          <w:szCs w:val="16"/>
          <w:color w:val="auto"/>
        </w:rPr>
      </w:pPr>
      <w:r>
        <w:rPr>
          <w:rFonts w:ascii="Arial" w:cs="Arial" w:eastAsia="Arial" w:hAnsi="Arial"/>
          <w:sz w:val="18"/>
          <w:szCs w:val="18"/>
          <w:color w:val="auto"/>
        </w:rPr>
        <w:t>Immediately following the completion of the Offering, with a concurrent private placement of 800,376 Class A ordinary shares issued to Melco International to effect an assured entitlement distribution, 115,800,376 Class A ordinary shares were issued; and pursuant to the full exercise by the underwriters of the over-allotment option, an additional 4,312,500 ADSs, representing 17,250,000 Class A ordinary shares, were issued in November 2018.</w:t>
      </w:r>
    </w:p>
    <w:p>
      <w:pPr>
        <w:spacing w:after="0" w:line="78" w:lineRule="exact"/>
        <w:rPr>
          <w:rFonts w:ascii="Arial" w:cs="Arial" w:eastAsia="Arial" w:hAnsi="Arial"/>
          <w:sz w:val="16"/>
          <w:szCs w:val="16"/>
          <w:color w:val="auto"/>
        </w:rPr>
      </w:pPr>
    </w:p>
    <w:p>
      <w:pPr>
        <w:ind w:left="1100" w:right="440"/>
        <w:spacing w:after="0" w:line="311" w:lineRule="auto"/>
        <w:rPr>
          <w:rFonts w:ascii="Arial" w:cs="Arial" w:eastAsia="Arial" w:hAnsi="Arial"/>
          <w:sz w:val="16"/>
          <w:szCs w:val="16"/>
          <w:color w:val="auto"/>
        </w:rPr>
      </w:pPr>
      <w:r>
        <w:rPr>
          <w:rFonts w:ascii="Arial" w:cs="Arial" w:eastAsia="Arial" w:hAnsi="Arial"/>
          <w:sz w:val="16"/>
          <w:szCs w:val="16"/>
          <w:color w:val="auto"/>
        </w:rPr>
        <w:t>As a result of the Organizational Transactions, the Offering including the concurrent private placement, and the full exercise by the underwriters of the over-allotment option as mentioned above, the Company recognized an adjustment to the Participation Interest in accordance with the Participation Agreement with a corresponding decrease in the Company’s additional paid-in capital.</w:t>
      </w:r>
    </w:p>
    <w:p>
      <w:pPr>
        <w:spacing w:after="0" w:line="40"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i w:val="1"/>
          <w:iCs w:val="1"/>
          <w:color w:val="auto"/>
        </w:rPr>
        <w:t>Private Placements</w:t>
      </w:r>
    </w:p>
    <w:p>
      <w:pPr>
        <w:spacing w:after="0" w:line="117" w:lineRule="exact"/>
        <w:rPr>
          <w:rFonts w:ascii="Arial" w:cs="Arial" w:eastAsia="Arial" w:hAnsi="Arial"/>
          <w:sz w:val="16"/>
          <w:szCs w:val="16"/>
          <w:color w:val="auto"/>
        </w:rPr>
      </w:pPr>
    </w:p>
    <w:p>
      <w:pPr>
        <w:ind w:left="1100"/>
        <w:spacing w:after="0" w:line="259" w:lineRule="auto"/>
        <w:rPr>
          <w:rFonts w:ascii="Arial" w:cs="Arial" w:eastAsia="Arial" w:hAnsi="Arial"/>
          <w:sz w:val="16"/>
          <w:szCs w:val="16"/>
          <w:color w:val="auto"/>
        </w:rPr>
      </w:pPr>
      <w:r>
        <w:rPr>
          <w:rFonts w:ascii="Arial" w:cs="Arial" w:eastAsia="Arial" w:hAnsi="Arial"/>
          <w:sz w:val="18"/>
          <w:szCs w:val="18"/>
          <w:color w:val="auto"/>
        </w:rPr>
        <w:t>During July and August 2020, Studio City International announced and completed a series of private offers (the “Private Placements”) of its 72,185,488 Class A ordinary shares and 14,087,299 ADSs (representing 56,349,196 Class A ordinary shares) to certain existing shareholders and holders of its ADSs, including Melco, which resulted in an adjustment to the carrying amount of the Participation Interest with a corresponding decrease in the Company’s additional paid-in capital.</w:t>
      </w:r>
    </w:p>
    <w:p>
      <w:pPr>
        <w:spacing w:after="0" w:line="78" w:lineRule="exact"/>
        <w:rPr>
          <w:rFonts w:ascii="Arial" w:cs="Arial" w:eastAsia="Arial" w:hAnsi="Arial"/>
          <w:sz w:val="16"/>
          <w:szCs w:val="16"/>
          <w:color w:val="auto"/>
        </w:rPr>
      </w:pPr>
    </w:p>
    <w:p>
      <w:pPr>
        <w:ind w:left="1100" w:right="760"/>
        <w:spacing w:after="0" w:line="277" w:lineRule="auto"/>
        <w:rPr>
          <w:rFonts w:ascii="Arial" w:cs="Arial" w:eastAsia="Arial" w:hAnsi="Arial"/>
          <w:sz w:val="16"/>
          <w:szCs w:val="16"/>
          <w:color w:val="auto"/>
        </w:rPr>
      </w:pPr>
      <w:r>
        <w:rPr>
          <w:rFonts w:ascii="Arial" w:cs="Arial" w:eastAsia="Arial" w:hAnsi="Arial"/>
          <w:sz w:val="18"/>
          <w:szCs w:val="18"/>
          <w:color w:val="auto"/>
        </w:rPr>
        <w:t>As of December 31, 2020 and 2019, the Participation Interest entitled New Cotai to receive from MSC Cotai an amount equal to approximately 19.6% and 30.0% of the MSC Cotai’s Distribution, respectively.</w:t>
      </w:r>
    </w:p>
    <w:p>
      <w:pPr>
        <w:spacing w:after="0" w:line="71" w:lineRule="exact"/>
        <w:rPr>
          <w:rFonts w:ascii="Arial" w:cs="Arial" w:eastAsia="Arial" w:hAnsi="Arial"/>
          <w:sz w:val="16"/>
          <w:szCs w:val="16"/>
          <w:color w:val="auto"/>
        </w:rPr>
      </w:pPr>
    </w:p>
    <w:p>
      <w:pPr>
        <w:ind w:left="1080" w:hanging="532"/>
        <w:spacing w:after="0"/>
        <w:tabs>
          <w:tab w:leader="none" w:pos="108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Recent Developments Related to COVID-19 and Other Business Developments</w:t>
      </w:r>
    </w:p>
    <w:p>
      <w:pPr>
        <w:spacing w:after="0" w:line="121" w:lineRule="exact"/>
        <w:rPr>
          <w:rFonts w:ascii="Arial" w:cs="Arial" w:eastAsia="Arial" w:hAnsi="Arial"/>
          <w:sz w:val="18"/>
          <w:szCs w:val="18"/>
          <w:color w:val="auto"/>
        </w:rPr>
      </w:pPr>
    </w:p>
    <w:p>
      <w:pPr>
        <w:ind w:left="1100"/>
        <w:spacing w:after="0" w:line="259" w:lineRule="auto"/>
        <w:rPr>
          <w:rFonts w:ascii="Arial" w:cs="Arial" w:eastAsia="Arial" w:hAnsi="Arial"/>
          <w:sz w:val="18"/>
          <w:szCs w:val="18"/>
          <w:color w:val="auto"/>
        </w:rPr>
      </w:pPr>
      <w:r>
        <w:rPr>
          <w:rFonts w:ascii="Arial" w:cs="Arial" w:eastAsia="Arial" w:hAnsi="Arial"/>
          <w:sz w:val="18"/>
          <w:szCs w:val="18"/>
          <w:color w:val="auto"/>
        </w:rPr>
        <w:t>In connection with the outbreak of the coronavirus (COVID-19) in the first quarter of 2020, travel restrictions, temporary business closures and other prohibitions have been imposed by the People’s Republic of China (“PRC”), Macau and other countries or regions throughout the world. Additionally, health-related precautionary measures have been imposed and remain in place at Studio City which have significantly disrupted its casino and resort operations.</w:t>
      </w:r>
    </w:p>
    <w:p>
      <w:pPr>
        <w:spacing w:after="0" w:line="78" w:lineRule="exact"/>
        <w:rPr>
          <w:rFonts w:ascii="Arial" w:cs="Arial" w:eastAsia="Arial" w:hAnsi="Arial"/>
          <w:sz w:val="18"/>
          <w:szCs w:val="18"/>
          <w:color w:val="auto"/>
        </w:rPr>
      </w:pPr>
    </w:p>
    <w:p>
      <w:pPr>
        <w:ind w:left="1100" w:right="220"/>
        <w:spacing w:after="0" w:line="277" w:lineRule="auto"/>
        <w:rPr>
          <w:rFonts w:ascii="Arial" w:cs="Arial" w:eastAsia="Arial" w:hAnsi="Arial"/>
          <w:sz w:val="18"/>
          <w:szCs w:val="18"/>
          <w:color w:val="auto"/>
        </w:rPr>
      </w:pPr>
      <w:r>
        <w:rPr>
          <w:rFonts w:ascii="Arial" w:cs="Arial" w:eastAsia="Arial" w:hAnsi="Arial"/>
          <w:sz w:val="18"/>
          <w:szCs w:val="18"/>
          <w:color w:val="auto"/>
        </w:rPr>
        <w:t>On February 5, 2020, the Studio City’s casino operations were suspended for a 15-day period and resumed operations only on a reduced basis on February 20, 2020 with limited visitations from Hong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86"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BUSINESS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Recent Developments Related to COVID-19 and Other Business Developments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100" w:right="160"/>
        <w:spacing w:after="0" w:line="263" w:lineRule="auto"/>
        <w:rPr>
          <w:rFonts w:ascii="Arial" w:cs="Arial" w:eastAsia="Arial" w:hAnsi="Arial"/>
          <w:sz w:val="18"/>
          <w:szCs w:val="18"/>
          <w:color w:val="auto"/>
        </w:rPr>
      </w:pPr>
      <w:r>
        <w:rPr>
          <w:rFonts w:ascii="Arial" w:cs="Arial" w:eastAsia="Arial" w:hAnsi="Arial"/>
          <w:sz w:val="18"/>
          <w:szCs w:val="18"/>
          <w:color w:val="auto"/>
        </w:rPr>
        <w:t>Kong, Taiwan and certain regions of the PRC among other countries. In March 2020, the governments in Macau, Hong Kong and certain provinces in the PRC, including Guangdong, imposed further entry bans, restrictions and quarantine requirements on nearly all visitors traveling to and from Macau.</w:t>
      </w:r>
    </w:p>
    <w:p>
      <w:pPr>
        <w:spacing w:after="0" w:line="75" w:lineRule="exact"/>
        <w:rPr>
          <w:rFonts w:ascii="Arial" w:cs="Arial" w:eastAsia="Arial" w:hAnsi="Arial"/>
          <w:sz w:val="18"/>
          <w:szCs w:val="18"/>
          <w:color w:val="auto"/>
        </w:rPr>
      </w:pPr>
    </w:p>
    <w:p>
      <w:pPr>
        <w:ind w:left="1100" w:right="40"/>
        <w:spacing w:after="0" w:line="269" w:lineRule="auto"/>
        <w:rPr>
          <w:rFonts w:ascii="Arial" w:cs="Arial" w:eastAsia="Arial" w:hAnsi="Arial"/>
          <w:sz w:val="18"/>
          <w:szCs w:val="18"/>
          <w:color w:val="auto"/>
        </w:rPr>
      </w:pPr>
      <w:r>
        <w:rPr>
          <w:rFonts w:ascii="Arial" w:cs="Arial" w:eastAsia="Arial" w:hAnsi="Arial"/>
          <w:sz w:val="17"/>
          <w:szCs w:val="17"/>
          <w:color w:val="auto"/>
        </w:rPr>
        <w:t>Commencing from July 15, 2020, certain travelers entering Guangdong from Macau were no longer subject to mandatory quarantine, while from August 12, 2020, those entering the PRC from Macau were generally no longer subject to mandatory quarantines. On August 26, 2020, the Chinese authorities resumed the issuance of Individual Visit Scheme (“IVS”) visas for Guangdong residents, while the nationwide resumption of IVS visa issuances commenced on September 23, 2020. On December 21, 2020, the Macau government announced that, generally, individuals who have been to countries and regions other than the PRC and Taiwan in the preceding 21 days are required to undergo a mandatory 21-day quarantine upon entry into Macau from the PRC, Taiwan or Hong Kong. Foreigners continue to be unable to enter Macau, except if they have been in the PRC in the preceding 21 days and are eligible for an exemption application. Despite these developments, the Company’s operations continue to be impacted by significant travel bans, restrictions, and quarantine requirements imposed by the governments in Macau, Hong Kong and certain provinces in the PRC on visitors traveling to and from Macau, and such bans, restrictions and requirements have been, and may continue to be, modified by the relevant authorities from time to time as COVID-19 developments unfold.</w:t>
      </w:r>
    </w:p>
    <w:p>
      <w:pPr>
        <w:spacing w:after="0" w:line="73" w:lineRule="exact"/>
        <w:rPr>
          <w:rFonts w:ascii="Arial" w:cs="Arial" w:eastAsia="Arial" w:hAnsi="Arial"/>
          <w:sz w:val="18"/>
          <w:szCs w:val="18"/>
          <w:color w:val="auto"/>
        </w:rPr>
      </w:pPr>
    </w:p>
    <w:p>
      <w:pPr>
        <w:ind w:left="1100" w:right="580"/>
        <w:spacing w:after="0" w:line="277" w:lineRule="auto"/>
        <w:rPr>
          <w:rFonts w:ascii="Arial" w:cs="Arial" w:eastAsia="Arial" w:hAnsi="Arial"/>
          <w:sz w:val="18"/>
          <w:szCs w:val="18"/>
          <w:color w:val="auto"/>
        </w:rPr>
      </w:pPr>
      <w:r>
        <w:rPr>
          <w:rFonts w:ascii="Arial" w:cs="Arial" w:eastAsia="Arial" w:hAnsi="Arial"/>
          <w:sz w:val="18"/>
          <w:szCs w:val="18"/>
          <w:color w:val="auto"/>
        </w:rPr>
        <w:t>The COVID-19 outbreak has also impacted on the construction schedules of the remaining development project at Studio City. The Company currently expects additional time will be needed to complete the construction of the project.</w:t>
      </w:r>
    </w:p>
    <w:p>
      <w:pPr>
        <w:spacing w:after="0" w:line="62" w:lineRule="exact"/>
        <w:rPr>
          <w:rFonts w:ascii="Arial" w:cs="Arial" w:eastAsia="Arial" w:hAnsi="Arial"/>
          <w:sz w:val="18"/>
          <w:szCs w:val="18"/>
          <w:color w:val="auto"/>
        </w:rPr>
      </w:pPr>
    </w:p>
    <w:p>
      <w:pPr>
        <w:ind w:left="1100" w:right="320"/>
        <w:spacing w:after="0" w:line="308" w:lineRule="auto"/>
        <w:rPr>
          <w:rFonts w:ascii="Arial" w:cs="Arial" w:eastAsia="Arial" w:hAnsi="Arial"/>
          <w:sz w:val="18"/>
          <w:szCs w:val="18"/>
          <w:color w:val="auto"/>
        </w:rPr>
      </w:pPr>
      <w:r>
        <w:rPr>
          <w:rFonts w:ascii="Arial" w:cs="Arial" w:eastAsia="Arial" w:hAnsi="Arial"/>
          <w:sz w:val="17"/>
          <w:szCs w:val="17"/>
          <w:color w:val="auto"/>
        </w:rPr>
        <w:t>The COVID-19 outbreak and the related events have also caused severe disruptions to the Company’s resort tenants and other business partners, which may increase the risk of these entities defaulting on their contractual obligations with the Company.</w:t>
      </w:r>
    </w:p>
    <w:p>
      <w:pPr>
        <w:spacing w:after="0" w:line="38" w:lineRule="exact"/>
        <w:rPr>
          <w:rFonts w:ascii="Arial" w:cs="Arial" w:eastAsia="Arial" w:hAnsi="Arial"/>
          <w:sz w:val="18"/>
          <w:szCs w:val="18"/>
          <w:color w:val="auto"/>
        </w:rPr>
      </w:pPr>
    </w:p>
    <w:p>
      <w:pPr>
        <w:ind w:left="1100" w:right="40"/>
        <w:spacing w:after="0" w:line="275" w:lineRule="auto"/>
        <w:rPr>
          <w:rFonts w:ascii="Arial" w:cs="Arial" w:eastAsia="Arial" w:hAnsi="Arial"/>
          <w:sz w:val="18"/>
          <w:szCs w:val="18"/>
          <w:color w:val="auto"/>
        </w:rPr>
      </w:pPr>
      <w:r>
        <w:rPr>
          <w:rFonts w:ascii="Arial" w:cs="Arial" w:eastAsia="Arial" w:hAnsi="Arial"/>
          <w:sz w:val="17"/>
          <w:szCs w:val="17"/>
          <w:color w:val="auto"/>
        </w:rPr>
        <w:t>The disruptions to the Company’s business had material adverse effects on its financial condition and operations for the year ended December 31, 2020. As the disruptions are ongoing, such adverse effects have continued beyond the 2020 year and the Company is unable to reasonably estimate the financial impact to its future results of operations, cash flows and financial condition due to uncertainties surrounding the business recovery from such disruptions, successful development of safe and effective vaccines and treatment of COVID-19, travel restrictions, customer sentiment and other events related to the COVID-19 outbreak.</w:t>
      </w:r>
    </w:p>
    <w:p>
      <w:pPr>
        <w:spacing w:after="0" w:line="68" w:lineRule="exact"/>
        <w:rPr>
          <w:rFonts w:ascii="Arial" w:cs="Arial" w:eastAsia="Arial" w:hAnsi="Arial"/>
          <w:sz w:val="18"/>
          <w:szCs w:val="18"/>
          <w:color w:val="auto"/>
        </w:rPr>
      </w:pPr>
    </w:p>
    <w:p>
      <w:pPr>
        <w:ind w:left="1100" w:right="180"/>
        <w:spacing w:after="0" w:line="263" w:lineRule="auto"/>
        <w:rPr>
          <w:rFonts w:ascii="Arial" w:cs="Arial" w:eastAsia="Arial" w:hAnsi="Arial"/>
          <w:sz w:val="18"/>
          <w:szCs w:val="18"/>
          <w:color w:val="auto"/>
        </w:rPr>
      </w:pPr>
      <w:r>
        <w:rPr>
          <w:rFonts w:ascii="Arial" w:cs="Arial" w:eastAsia="Arial" w:hAnsi="Arial"/>
          <w:sz w:val="18"/>
          <w:szCs w:val="18"/>
          <w:color w:val="auto"/>
        </w:rPr>
        <w:t>As of December 31, 2020, the Company had cash and cash equivalents of $575,215 and available borrowing capacity under the 2016 SC Revolving Credit Facility (as described in Note 10) of HK$233,000,000 (equivalent to $30,054), subject to the satisfaction of certain conditions precedent.</w:t>
      </w:r>
    </w:p>
    <w:p>
      <w:pPr>
        <w:spacing w:after="0" w:line="75" w:lineRule="exact"/>
        <w:rPr>
          <w:rFonts w:ascii="Arial" w:cs="Arial" w:eastAsia="Arial" w:hAnsi="Arial"/>
          <w:sz w:val="18"/>
          <w:szCs w:val="18"/>
          <w:color w:val="auto"/>
        </w:rPr>
      </w:pPr>
    </w:p>
    <w:p>
      <w:pPr>
        <w:ind w:left="1100"/>
        <w:spacing w:after="0" w:line="259" w:lineRule="auto"/>
        <w:rPr>
          <w:rFonts w:ascii="Arial" w:cs="Arial" w:eastAsia="Arial" w:hAnsi="Arial"/>
          <w:sz w:val="18"/>
          <w:szCs w:val="18"/>
          <w:color w:val="auto"/>
        </w:rPr>
      </w:pPr>
      <w:r>
        <w:rPr>
          <w:rFonts w:ascii="Arial" w:cs="Arial" w:eastAsia="Arial" w:hAnsi="Arial"/>
          <w:sz w:val="18"/>
          <w:szCs w:val="18"/>
          <w:color w:val="auto"/>
        </w:rPr>
        <w:t>The Company has taken various mitigating measures to manage through the current COVID-19 outbreak challenges, such as implementing cost reduction programs to minimize cash outflows for non-essential items, rationalizing the Company’s capital expenditure programs with deferrals and reductions, refinancing existing borrowings and raising additional capital through the Private Placements and new senior note offerings.</w:t>
      </w:r>
    </w:p>
    <w:p>
      <w:pPr>
        <w:spacing w:after="0" w:line="78" w:lineRule="exact"/>
        <w:rPr>
          <w:rFonts w:ascii="Arial" w:cs="Arial" w:eastAsia="Arial" w:hAnsi="Arial"/>
          <w:sz w:val="18"/>
          <w:szCs w:val="18"/>
          <w:color w:val="auto"/>
        </w:rPr>
      </w:pPr>
    </w:p>
    <w:p>
      <w:pPr>
        <w:ind w:left="1100" w:right="60"/>
        <w:spacing w:after="0" w:line="277" w:lineRule="auto"/>
        <w:rPr>
          <w:rFonts w:ascii="Arial" w:cs="Arial" w:eastAsia="Arial" w:hAnsi="Arial"/>
          <w:sz w:val="18"/>
          <w:szCs w:val="18"/>
          <w:color w:val="auto"/>
        </w:rPr>
      </w:pPr>
      <w:r>
        <w:rPr>
          <w:rFonts w:ascii="Arial" w:cs="Arial" w:eastAsia="Arial" w:hAnsi="Arial"/>
          <w:sz w:val="18"/>
          <w:szCs w:val="18"/>
          <w:color w:val="auto"/>
        </w:rPr>
        <w:t>The Company believes it will be able to support continuing operations and capital expenditures for at least twelve months from the date of these consolidated financial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86"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BUSINESS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Recent Developments Related to COVID-19 and Other Business Developments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100"/>
        <w:spacing w:after="0" w:line="301" w:lineRule="auto"/>
        <w:rPr>
          <w:rFonts w:ascii="Arial" w:cs="Arial" w:eastAsia="Arial" w:hAnsi="Arial"/>
          <w:sz w:val="18"/>
          <w:szCs w:val="18"/>
          <w:color w:val="auto"/>
        </w:rPr>
      </w:pPr>
      <w:r>
        <w:rPr>
          <w:rFonts w:ascii="Arial" w:cs="Arial" w:eastAsia="Arial" w:hAnsi="Arial"/>
          <w:sz w:val="16"/>
          <w:szCs w:val="16"/>
          <w:color w:val="auto"/>
        </w:rPr>
        <w:t>In January 2019, Melco Resorts Macau informed the Company that it would cease VIP rolling chip operations at the Studio City Casino on January 15, 2020. In January 2020, Melco Resorts Macau agreed to continue the VIP rolling chip operations at the Studio City Casino until January 15, 2021, and in December 2020, it further agreed to continue VIP rolling chip operations at Studio City Casino until December 31, 2021, subject to early termination with 30 days’ prior notice by either the Company or Melco Resorts Macau.</w:t>
      </w:r>
    </w:p>
    <w:p>
      <w:pPr>
        <w:spacing w:after="0" w:line="301" w:lineRule="exact"/>
        <w:rPr>
          <w:rFonts w:ascii="Arial" w:cs="Arial" w:eastAsia="Arial" w:hAnsi="Arial"/>
          <w:sz w:val="18"/>
          <w:szCs w:val="18"/>
          <w:color w:val="auto"/>
        </w:rPr>
      </w:pPr>
    </w:p>
    <w:p>
      <w:pPr>
        <w:ind w:left="540" w:hanging="424"/>
        <w:spacing w:after="0"/>
        <w:tabs>
          <w:tab w:leader="none" w:pos="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rFonts w:ascii="Arial" w:cs="Arial" w:eastAsia="Arial" w:hAnsi="Arial"/>
          <w:sz w:val="18"/>
          <w:szCs w:val="18"/>
          <w:color w:val="auto"/>
        </w:rPr>
      </w:pPr>
    </w:p>
    <w:p>
      <w:pPr>
        <w:ind w:left="1100" w:right="260"/>
        <w:spacing w:after="0" w:line="301" w:lineRule="auto"/>
        <w:rPr>
          <w:rFonts w:ascii="Arial" w:cs="Arial" w:eastAsia="Arial" w:hAnsi="Arial"/>
          <w:sz w:val="18"/>
          <w:szCs w:val="18"/>
          <w:color w:val="auto"/>
        </w:rPr>
      </w:pPr>
      <w:r>
        <w:rPr>
          <w:rFonts w:ascii="Arial" w:cs="Arial" w:eastAsia="Arial" w:hAnsi="Arial"/>
          <w:sz w:val="16"/>
          <w:szCs w:val="16"/>
          <w:color w:val="auto"/>
        </w:rPr>
        <w:t>On May 11, 2007, one of the Studio City International’s subsidiaries and Melco Resorts Macau entered into a services and right to use agreement, as amended on June 15, 2012, together with related agreements (together, the “Services and Right to Use Arrangements”). Under these arrangements, Melco Resorts Macau deducts gaming taxes and the costs of operation of Studio City Casino. The Company receives the residual gross gaming revenues and recognizes these amounts as revenues from provision of gaming related services.</w:t>
      </w:r>
    </w:p>
    <w:p>
      <w:pPr>
        <w:spacing w:after="0" w:line="49" w:lineRule="exact"/>
        <w:rPr>
          <w:rFonts w:ascii="Arial" w:cs="Arial" w:eastAsia="Arial" w:hAnsi="Arial"/>
          <w:sz w:val="18"/>
          <w:szCs w:val="18"/>
          <w:color w:val="auto"/>
        </w:rPr>
      </w:pPr>
    </w:p>
    <w:p>
      <w:pPr>
        <w:ind w:left="1100" w:right="460"/>
        <w:spacing w:after="0" w:line="263" w:lineRule="auto"/>
        <w:rPr>
          <w:rFonts w:ascii="Arial" w:cs="Arial" w:eastAsia="Arial" w:hAnsi="Arial"/>
          <w:sz w:val="18"/>
          <w:szCs w:val="18"/>
          <w:color w:val="auto"/>
        </w:rPr>
      </w:pPr>
      <w:r>
        <w:rPr>
          <w:rFonts w:ascii="Arial" w:cs="Arial" w:eastAsia="Arial" w:hAnsi="Arial"/>
          <w:sz w:val="18"/>
          <w:szCs w:val="18"/>
          <w:color w:val="auto"/>
        </w:rPr>
        <w:t>In December 2015, certain of the Studio City International’s subsidiaries entered into a master services agreement and related work agreements (collectively, the “Management and Shared Services Arrangements”) with certain of Melco’s subsidiaries with respect to services provided to and from Studio City.</w:t>
      </w:r>
    </w:p>
    <w:p>
      <w:pPr>
        <w:spacing w:after="0" w:line="75" w:lineRule="exact"/>
        <w:rPr>
          <w:rFonts w:ascii="Arial" w:cs="Arial" w:eastAsia="Arial" w:hAnsi="Arial"/>
          <w:sz w:val="18"/>
          <w:szCs w:val="18"/>
          <w:color w:val="auto"/>
        </w:rPr>
      </w:pPr>
    </w:p>
    <w:p>
      <w:pPr>
        <w:ind w:left="1100" w:right="100"/>
        <w:spacing w:after="0" w:line="254" w:lineRule="auto"/>
        <w:rPr>
          <w:rFonts w:ascii="Arial" w:cs="Arial" w:eastAsia="Arial" w:hAnsi="Arial"/>
          <w:sz w:val="18"/>
          <w:szCs w:val="18"/>
          <w:color w:val="auto"/>
        </w:rPr>
      </w:pPr>
      <w:r>
        <w:rPr>
          <w:rFonts w:ascii="Arial" w:cs="Arial" w:eastAsia="Arial" w:hAnsi="Arial"/>
          <w:sz w:val="18"/>
          <w:szCs w:val="18"/>
          <w:color w:val="auto"/>
        </w:rPr>
        <w:t>Under the Management and Shared Services Arrangements, certain of the corporate and administrative functions as well as operational activities of the Company are administered by staff employed by certain Melco’s subsidiaries,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the Company based on percentages of efforts on the services provided to the Company. Other costs in relation to shared office equipment are allocated based on a percentage of usage.</w:t>
      </w:r>
    </w:p>
    <w:p>
      <w:pPr>
        <w:spacing w:after="0" w:line="86" w:lineRule="exact"/>
        <w:rPr>
          <w:rFonts w:ascii="Arial" w:cs="Arial" w:eastAsia="Arial" w:hAnsi="Arial"/>
          <w:sz w:val="18"/>
          <w:szCs w:val="18"/>
          <w:color w:val="auto"/>
        </w:rPr>
      </w:pPr>
    </w:p>
    <w:p>
      <w:pPr>
        <w:ind w:left="1100" w:right="160"/>
        <w:spacing w:after="0" w:line="257" w:lineRule="auto"/>
        <w:rPr>
          <w:rFonts w:ascii="Arial" w:cs="Arial" w:eastAsia="Arial" w:hAnsi="Arial"/>
          <w:sz w:val="18"/>
          <w:szCs w:val="18"/>
          <w:color w:val="auto"/>
        </w:rPr>
      </w:pPr>
      <w:r>
        <w:rPr>
          <w:rFonts w:ascii="Arial" w:cs="Arial" w:eastAsia="Arial" w:hAnsi="Arial"/>
          <w:sz w:val="18"/>
          <w:szCs w:val="18"/>
          <w:color w:val="auto"/>
        </w:rPr>
        <w:t>The Company believes the costs incurred under the Services and Right to Use Arrangements and the allocation methods under the Management and Shared Services Arrangements are reasonable and the accompanying consolidated financial statements reflect the Company’s cost of doing business. However, such allocations may not be indicative of the actual expenses the Company would have incurred had it operated as an independent company for the periods presented. Details of the services and related charges are disclosed in Note 19.</w:t>
      </w:r>
    </w:p>
    <w:p>
      <w:pPr>
        <w:spacing w:after="0" w:line="79" w:lineRule="exact"/>
        <w:rPr>
          <w:rFonts w:ascii="Arial" w:cs="Arial" w:eastAsia="Arial" w:hAnsi="Arial"/>
          <w:sz w:val="18"/>
          <w:szCs w:val="18"/>
          <w:color w:val="auto"/>
        </w:rPr>
      </w:pPr>
    </w:p>
    <w:p>
      <w:pPr>
        <w:ind w:left="1100" w:right="20"/>
        <w:spacing w:after="0" w:line="277" w:lineRule="auto"/>
        <w:rPr>
          <w:rFonts w:ascii="Arial" w:cs="Arial" w:eastAsia="Arial" w:hAnsi="Arial"/>
          <w:sz w:val="18"/>
          <w:szCs w:val="18"/>
          <w:color w:val="auto"/>
        </w:rPr>
      </w:pPr>
      <w:r>
        <w:rPr>
          <w:rFonts w:ascii="Arial" w:cs="Arial" w:eastAsia="Arial" w:hAnsi="Arial"/>
          <w:sz w:val="18"/>
          <w:szCs w:val="18"/>
          <w:color w:val="auto"/>
        </w:rPr>
        <w:t>The accompanying consolidated financial statements have been prepared in conformity with U.S. generally accepted accounting principles (“U.S. GAAP”).</w:t>
      </w:r>
    </w:p>
    <w:p>
      <w:pPr>
        <w:spacing w:after="0" w:line="62" w:lineRule="exact"/>
        <w:rPr>
          <w:rFonts w:ascii="Arial" w:cs="Arial" w:eastAsia="Arial" w:hAnsi="Arial"/>
          <w:sz w:val="18"/>
          <w:szCs w:val="18"/>
          <w:color w:val="auto"/>
        </w:rPr>
      </w:pPr>
    </w:p>
    <w:p>
      <w:pPr>
        <w:ind w:left="1100" w:right="920"/>
        <w:spacing w:after="0" w:line="277" w:lineRule="auto"/>
        <w:rPr>
          <w:rFonts w:ascii="Arial" w:cs="Arial" w:eastAsia="Arial" w:hAnsi="Arial"/>
          <w:sz w:val="18"/>
          <w:szCs w:val="18"/>
          <w:color w:val="auto"/>
        </w:rPr>
      </w:pPr>
      <w:r>
        <w:rPr>
          <w:rFonts w:ascii="Arial" w:cs="Arial" w:eastAsia="Arial" w:hAnsi="Arial"/>
          <w:sz w:val="18"/>
          <w:szCs w:val="18"/>
          <w:color w:val="auto"/>
        </w:rPr>
        <w:t>The accompanying consolidated financial statements include the accounts of Studio City International and its subsidiaries. All intercompany accounts and transactions have been eliminated on consolidation.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86"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color w:val="auto"/>
        </w:rPr>
      </w:pPr>
    </w:p>
    <w:p>
      <w:pPr>
        <w:ind w:left="1100" w:right="60"/>
        <w:spacing w:after="0" w:line="257" w:lineRule="auto"/>
        <w:rPr>
          <w:rFonts w:ascii="Arial" w:cs="Arial" w:eastAsia="Arial" w:hAnsi="Arial"/>
          <w:sz w:val="18"/>
          <w:szCs w:val="18"/>
          <w:color w:val="auto"/>
        </w:rPr>
      </w:pPr>
      <w:r>
        <w:rPr>
          <w:rFonts w:ascii="Arial" w:cs="Arial" w:eastAsia="Arial" w:hAnsi="Arial"/>
          <w:sz w:val="18"/>
          <w:szCs w:val="18"/>
          <w:color w:val="auto"/>
        </w:rPr>
        <w:t>The preparation of the accompanying consolidated financial statements in conformity with U.S. GAAP requires management to make estimates and assumptions that affect certain reported amounts of assets and liabilities, revenues and expenses and related disclosures of contingent assets and liabilities. These estimates and judgments are based on historical information, information that is currently available to the Company and on various other assumptions that the Company believes to be reasonable under the circumstances. Accordingly, actual results could differ from those estimates.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color w:val="auto"/>
        </w:rPr>
      </w:pPr>
    </w:p>
    <w:p>
      <w:pPr>
        <w:ind w:left="1100" w:right="340"/>
        <w:spacing w:after="0" w:line="263" w:lineRule="auto"/>
        <w:rPr>
          <w:rFonts w:ascii="Arial" w:cs="Arial" w:eastAsia="Arial" w:hAnsi="Arial"/>
          <w:sz w:val="18"/>
          <w:szCs w:val="18"/>
          <w:color w:val="auto"/>
        </w:rPr>
      </w:pPr>
      <w:r>
        <w:rPr>
          <w:rFonts w:ascii="Arial" w:cs="Arial" w:eastAsia="Arial" w:hAnsi="Arial"/>
          <w:sz w:val="18"/>
          <w:szCs w:val="18"/>
          <w:color w:val="auto"/>
        </w:rPr>
        <w:t>Fair value is defined as the price that would be received to sell an asset or paid to transfer a liability (i.e. the “exit price”) in an orderly transaction between market participants at the measurement date. The Company estimated the fair values using appropriate valuation methodologies and market information available as of the balance sheet date.</w:t>
      </w:r>
    </w:p>
    <w:p>
      <w:pPr>
        <w:spacing w:after="0" w:line="85" w:lineRule="exact"/>
        <w:rPr>
          <w:rFonts w:ascii="Arial" w:cs="Arial" w:eastAsia="Arial" w:hAnsi="Arial"/>
          <w:sz w:val="18"/>
          <w:szCs w:val="18"/>
          <w:color w:val="auto"/>
        </w:rPr>
      </w:pPr>
    </w:p>
    <w:p>
      <w:pPr>
        <w:ind w:left="1080" w:hanging="532"/>
        <w:spacing w:after="0"/>
        <w:tabs>
          <w:tab w:leader="none" w:pos="108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color w:val="auto"/>
        </w:rPr>
      </w:pPr>
    </w:p>
    <w:p>
      <w:pPr>
        <w:ind w:left="1100" w:right="1360"/>
        <w:spacing w:after="0" w:line="381" w:lineRule="auto"/>
        <w:rPr>
          <w:rFonts w:ascii="Arial" w:cs="Arial" w:eastAsia="Arial" w:hAnsi="Arial"/>
          <w:sz w:val="18"/>
          <w:szCs w:val="18"/>
          <w:color w:val="auto"/>
        </w:rPr>
      </w:pPr>
      <w:r>
        <w:rPr>
          <w:rFonts w:ascii="Arial" w:cs="Arial" w:eastAsia="Arial" w:hAnsi="Arial"/>
          <w:sz w:val="18"/>
          <w:szCs w:val="18"/>
          <w:color w:val="auto"/>
        </w:rPr>
        <w:t>Cash and cash equivalents consist of cash and highly liquid investments with original maturities of three months or less. Cash equivalents are placed with financial institutions with high-credit ratings and quality.</w:t>
      </w:r>
    </w:p>
    <w:p>
      <w:pPr>
        <w:ind w:left="1080" w:hanging="532"/>
        <w:spacing w:after="0"/>
        <w:tabs>
          <w:tab w:leader="none" w:pos="108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color w:val="auto"/>
        </w:rPr>
      </w:pPr>
    </w:p>
    <w:p>
      <w:pPr>
        <w:ind w:left="1100"/>
        <w:spacing w:after="0" w:line="255" w:lineRule="auto"/>
        <w:rPr>
          <w:rFonts w:ascii="Arial" w:cs="Arial" w:eastAsia="Arial" w:hAnsi="Arial"/>
          <w:sz w:val="18"/>
          <w:szCs w:val="18"/>
          <w:color w:val="auto"/>
        </w:rPr>
      </w:pPr>
      <w:r>
        <w:rPr>
          <w:rFonts w:ascii="Arial" w:cs="Arial" w:eastAsia="Arial" w:hAnsi="Arial"/>
          <w:sz w:val="18"/>
          <w:szCs w:val="18"/>
          <w:color w:val="auto"/>
        </w:rPr>
        <w:t>The current portion of restricted cash represents cash deposited into bank accounts which are restricted as to withdrawal and use and the Company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consists of i) bank accounts that are restricted for withdrawals and for payment of project costs or debt servicing associated with borrowings under the respective senior notes and credit facilities; and ii) collateral bank accounts associated with borrowings under the credit facilities.</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Accounts Receivable and Credit Risk</w:t>
      </w:r>
    </w:p>
    <w:p>
      <w:pPr>
        <w:spacing w:after="0" w:line="121" w:lineRule="exact"/>
        <w:rPr>
          <w:rFonts w:ascii="Arial" w:cs="Arial" w:eastAsia="Arial" w:hAnsi="Arial"/>
          <w:sz w:val="18"/>
          <w:szCs w:val="18"/>
          <w:color w:val="auto"/>
        </w:rPr>
      </w:pPr>
    </w:p>
    <w:p>
      <w:pPr>
        <w:ind w:left="1100" w:right="20"/>
        <w:spacing w:after="0" w:line="272" w:lineRule="auto"/>
        <w:rPr>
          <w:rFonts w:ascii="Arial" w:cs="Arial" w:eastAsia="Arial" w:hAnsi="Arial"/>
          <w:sz w:val="18"/>
          <w:szCs w:val="18"/>
          <w:color w:val="auto"/>
        </w:rPr>
      </w:pPr>
      <w:r>
        <w:rPr>
          <w:rFonts w:ascii="Arial" w:cs="Arial" w:eastAsia="Arial" w:hAnsi="Arial"/>
          <w:sz w:val="17"/>
          <w:szCs w:val="17"/>
          <w:color w:val="auto"/>
        </w:rPr>
        <w:t>Accounts receivable, including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the Company’s receivables to their carrying amounts, which reflects the net amount the Company expects to collect. The allowance is estimated based on specific reviews of customer accounts with a balance over a specified dollar amount, based upon the age of the account, the customer’s financial condition as well as management’s experience with collection trends of the customers, current economic and business conditions, and management’s expectations of future economic and business conditions and forecasts.</w:t>
      </w:r>
    </w:p>
    <w:p>
      <w:pPr>
        <w:spacing w:after="0" w:line="69" w:lineRule="exact"/>
        <w:rPr>
          <w:rFonts w:ascii="Arial" w:cs="Arial" w:eastAsia="Arial" w:hAnsi="Arial"/>
          <w:sz w:val="18"/>
          <w:szCs w:val="18"/>
          <w:color w:val="auto"/>
        </w:rPr>
      </w:pPr>
    </w:p>
    <w:p>
      <w:pPr>
        <w:ind w:left="1100" w:right="120"/>
        <w:spacing w:after="0" w:line="277" w:lineRule="auto"/>
        <w:rPr>
          <w:rFonts w:ascii="Arial" w:cs="Arial" w:eastAsia="Arial" w:hAnsi="Arial"/>
          <w:sz w:val="18"/>
          <w:szCs w:val="18"/>
          <w:color w:val="auto"/>
        </w:rPr>
      </w:pPr>
      <w:r>
        <w:rPr>
          <w:rFonts w:ascii="Arial" w:cs="Arial" w:eastAsia="Arial" w:hAnsi="Arial"/>
          <w:sz w:val="18"/>
          <w:szCs w:val="18"/>
          <w:color w:val="auto"/>
        </w:rPr>
        <w:t>Management believes that as of December 31, 2020 and 2019, no significant concentrations of credit risk existed for which an allowance had not already been recorded.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86"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color w:val="auto"/>
        </w:rPr>
      </w:pPr>
    </w:p>
    <w:p>
      <w:pPr>
        <w:ind w:left="1100" w:right="140"/>
        <w:spacing w:after="0" w:line="308" w:lineRule="auto"/>
        <w:rPr>
          <w:rFonts w:ascii="Arial" w:cs="Arial" w:eastAsia="Arial" w:hAnsi="Arial"/>
          <w:sz w:val="18"/>
          <w:szCs w:val="18"/>
          <w:color w:val="auto"/>
        </w:rPr>
      </w:pPr>
      <w:r>
        <w:rPr>
          <w:rFonts w:ascii="Arial" w:cs="Arial" w:eastAsia="Arial" w:hAnsi="Arial"/>
          <w:sz w:val="17"/>
          <w:szCs w:val="17"/>
          <w:color w:val="auto"/>
        </w:rPr>
        <w:t>Inventories consist of retail merchandise, food and beverage items and certain operating supplies, which are stated at the lower of cost or net realizable value. Cost is calculated using the first-in, first-out, weighted average and specific identification methods.</w:t>
      </w:r>
    </w:p>
    <w:p>
      <w:pPr>
        <w:spacing w:after="0" w:line="47" w:lineRule="exact"/>
        <w:rPr>
          <w:rFonts w:ascii="Arial" w:cs="Arial" w:eastAsia="Arial" w:hAnsi="Arial"/>
          <w:sz w:val="18"/>
          <w:szCs w:val="18"/>
          <w:color w:val="auto"/>
        </w:rPr>
      </w:pPr>
    </w:p>
    <w:p>
      <w:pPr>
        <w:ind w:left="108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color w:val="auto"/>
        </w:rPr>
      </w:pPr>
    </w:p>
    <w:p>
      <w:pPr>
        <w:ind w:left="1100"/>
        <w:spacing w:after="0" w:line="286" w:lineRule="auto"/>
        <w:rPr>
          <w:rFonts w:ascii="Arial" w:cs="Arial" w:eastAsia="Arial" w:hAnsi="Arial"/>
          <w:sz w:val="18"/>
          <w:szCs w:val="18"/>
          <w:color w:val="auto"/>
        </w:rPr>
      </w:pPr>
      <w:r>
        <w:rPr>
          <w:rFonts w:ascii="Arial" w:cs="Arial" w:eastAsia="Arial" w:hAnsi="Arial"/>
          <w:sz w:val="17"/>
          <w:szCs w:val="17"/>
          <w:color w:val="auto"/>
        </w:rPr>
        <w:t>Property and equipment are stated at cost, net of accumulated depreciation and amortization, and impairment losses, if any. Gains or losses on dispositions of property and equipment are included in the accompanying consolidated statements of operations. Major additions, renewals and betterments are capitalized, while maintenance and repairs are expensed as incurred.</w:t>
      </w:r>
    </w:p>
    <w:p>
      <w:pPr>
        <w:spacing w:after="0" w:line="57" w:lineRule="exact"/>
        <w:rPr>
          <w:rFonts w:ascii="Arial" w:cs="Arial" w:eastAsia="Arial" w:hAnsi="Arial"/>
          <w:sz w:val="18"/>
          <w:szCs w:val="18"/>
          <w:color w:val="auto"/>
        </w:rPr>
      </w:pPr>
    </w:p>
    <w:p>
      <w:pPr>
        <w:ind w:left="1100" w:right="440"/>
        <w:spacing w:after="0" w:line="275" w:lineRule="auto"/>
        <w:rPr>
          <w:rFonts w:ascii="Arial" w:cs="Arial" w:eastAsia="Arial" w:hAnsi="Arial"/>
          <w:sz w:val="18"/>
          <w:szCs w:val="18"/>
          <w:color w:val="auto"/>
        </w:rPr>
      </w:pPr>
      <w:r>
        <w:rPr>
          <w:rFonts w:ascii="Arial" w:cs="Arial" w:eastAsia="Arial" w:hAnsi="Arial"/>
          <w:sz w:val="17"/>
          <w:szCs w:val="17"/>
          <w:color w:val="auto"/>
        </w:rPr>
        <w:t>During the construction and development stage of Studio City, direct and incremental costs related to the design and construction, including costs under the construction contracts, duties and tariffs, equipment installation, shipping costs, payroll and payroll-benefit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w:t>
      </w:r>
    </w:p>
    <w:p>
      <w:pPr>
        <w:spacing w:after="0" w:line="68" w:lineRule="exact"/>
        <w:rPr>
          <w:rFonts w:ascii="Arial" w:cs="Arial" w:eastAsia="Arial" w:hAnsi="Arial"/>
          <w:sz w:val="18"/>
          <w:szCs w:val="18"/>
          <w:color w:val="auto"/>
        </w:rPr>
      </w:pPr>
    </w:p>
    <w:p>
      <w:pPr>
        <w:ind w:left="1100" w:right="160"/>
        <w:spacing w:after="0" w:line="342" w:lineRule="auto"/>
        <w:rPr>
          <w:rFonts w:ascii="Arial" w:cs="Arial" w:eastAsia="Arial" w:hAnsi="Arial"/>
          <w:sz w:val="18"/>
          <w:szCs w:val="18"/>
          <w:color w:val="auto"/>
        </w:rPr>
      </w:pPr>
      <w:r>
        <w:rPr>
          <w:rFonts w:ascii="Arial" w:cs="Arial" w:eastAsia="Arial" w:hAnsi="Arial"/>
          <w:sz w:val="16"/>
          <w:szCs w:val="16"/>
          <w:color w:val="auto"/>
        </w:rPr>
        <w:t>Depreciation and amortization expense related to capitalized construction costs and other property and equipment is recognized from the time each asset is placed in service. This may occur at different stages as Studio City’s facilities are completed and opened.</w:t>
      </w:r>
    </w:p>
    <w:p>
      <w:pPr>
        <w:spacing w:after="0" w:line="15"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Property and equipment are depreciated and amortized over the following estimated useful lives on a straight-line basis:</w:t>
      </w:r>
    </w:p>
    <w:p>
      <w:pPr>
        <w:spacing w:after="0" w:line="26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6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 to 40 years</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6020" w:type="dxa"/>
            <w:vAlign w:val="bottom"/>
          </w:tcPr>
          <w:p>
            <w:pPr>
              <w:ind w:left="600"/>
              <w:spacing w:after="0"/>
              <w:rPr>
                <w:sz w:val="20"/>
                <w:szCs w:val="20"/>
                <w:color w:val="auto"/>
              </w:rPr>
            </w:pPr>
            <w:r>
              <w:rPr>
                <w:rFonts w:ascii="Arial" w:cs="Arial" w:eastAsia="Arial" w:hAnsi="Arial"/>
                <w:sz w:val="18"/>
                <w:szCs w:val="18"/>
                <w:color w:val="auto"/>
              </w:rPr>
              <w:t>2 to 15 years</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 to 10 years or over the lease term, whichever is shorter</w:t>
            </w:r>
          </w:p>
        </w:tc>
      </w:tr>
      <w:tr>
        <w:trPr>
          <w:trHeight w:val="230"/>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Motor vehicles</w:t>
            </w:r>
          </w:p>
        </w:tc>
        <w:tc>
          <w:tcPr>
            <w:tcW w:w="6020" w:type="dxa"/>
            <w:vAlign w:val="bottom"/>
          </w:tcPr>
          <w:p>
            <w:pPr>
              <w:ind w:left="600"/>
              <w:spacing w:after="0"/>
              <w:rPr>
                <w:sz w:val="20"/>
                <w:szCs w:val="20"/>
                <w:color w:val="auto"/>
              </w:rPr>
            </w:pPr>
            <w:r>
              <w:rPr>
                <w:rFonts w:ascii="Arial" w:cs="Arial" w:eastAsia="Arial" w:hAnsi="Arial"/>
                <w:sz w:val="18"/>
                <w:szCs w:val="18"/>
                <w:color w:val="auto"/>
              </w:rPr>
              <w:t>5 years</w:t>
            </w:r>
          </w:p>
        </w:tc>
      </w:tr>
    </w:tbl>
    <w:p>
      <w:pPr>
        <w:spacing w:after="0" w:line="89"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Other Long-term Assets</w:t>
      </w:r>
    </w:p>
    <w:p>
      <w:pPr>
        <w:spacing w:after="0" w:line="121" w:lineRule="exact"/>
        <w:rPr>
          <w:rFonts w:ascii="Arial" w:cs="Arial" w:eastAsia="Arial" w:hAnsi="Arial"/>
          <w:sz w:val="18"/>
          <w:szCs w:val="18"/>
          <w:color w:val="auto"/>
        </w:rPr>
      </w:pPr>
    </w:p>
    <w:p>
      <w:pPr>
        <w:ind w:left="1100" w:right="40"/>
        <w:spacing w:after="0" w:line="271" w:lineRule="auto"/>
        <w:rPr>
          <w:rFonts w:ascii="Arial" w:cs="Arial" w:eastAsia="Arial" w:hAnsi="Arial"/>
          <w:sz w:val="18"/>
          <w:szCs w:val="18"/>
          <w:color w:val="auto"/>
        </w:rPr>
      </w:pPr>
      <w:r>
        <w:rPr>
          <w:rFonts w:ascii="Arial" w:cs="Arial" w:eastAsia="Arial" w:hAnsi="Arial"/>
          <w:sz w:val="17"/>
          <w:szCs w:val="17"/>
          <w:color w:val="auto"/>
        </w:rPr>
        <w:t>Other long-term assets, represent the payments for the future economic benefits of certain plant and equipment for the operations of the Studio City Casino transferred from Melco Resorts Macau to the Company pursuant to the Services and Right to Use Arrangements (the “Studio City Gaming Assets”), are stated at cost, net of accumulated amortization, and impairment losses, if any. The legal ownerships of the Studio City Gaming Assets are retained by Melco Resorts Macau. An item of the Studio City Gaming Assets is derecognized upon disposal or when no future economic benefits are expected to arise from the continued use of an item of the Studio City Gaming Assets. Any gain or loss arising on the disposal or retirement of an item of the Studio City Gaming Assets is determined as the difference between the sale proceeds and the carrying amount of an item of the Studio City Gaming Assets and is recognized in the accompanying consolidated statements of operations.</w:t>
      </w:r>
    </w:p>
    <w:p>
      <w:pPr>
        <w:spacing w:after="0" w:line="70" w:lineRule="exact"/>
        <w:rPr>
          <w:rFonts w:ascii="Arial" w:cs="Arial" w:eastAsia="Arial" w:hAnsi="Arial"/>
          <w:sz w:val="18"/>
          <w:szCs w:val="18"/>
          <w:color w:val="auto"/>
        </w:rPr>
      </w:pPr>
    </w:p>
    <w:p>
      <w:pPr>
        <w:ind w:left="1100" w:right="380"/>
        <w:spacing w:after="0" w:line="277" w:lineRule="auto"/>
        <w:rPr>
          <w:rFonts w:ascii="Arial" w:cs="Arial" w:eastAsia="Arial" w:hAnsi="Arial"/>
          <w:sz w:val="18"/>
          <w:szCs w:val="18"/>
          <w:color w:val="auto"/>
        </w:rPr>
      </w:pPr>
      <w:r>
        <w:rPr>
          <w:rFonts w:ascii="Arial" w:cs="Arial" w:eastAsia="Arial" w:hAnsi="Arial"/>
          <w:sz w:val="18"/>
          <w:szCs w:val="18"/>
          <w:color w:val="auto"/>
        </w:rPr>
        <w:t>Amortization is recognized so as to write off the cost of the Studio City Gaming Assets using straight-line method over the respective estimated useful lives of the Studio City Gaming Assets, ranging from 2 to 10 years.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86"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Capitalized Interest</w:t>
      </w:r>
    </w:p>
    <w:p>
      <w:pPr>
        <w:spacing w:after="0" w:line="121" w:lineRule="exact"/>
        <w:rPr>
          <w:rFonts w:ascii="Arial" w:cs="Arial" w:eastAsia="Arial" w:hAnsi="Arial"/>
          <w:sz w:val="18"/>
          <w:szCs w:val="18"/>
          <w:color w:val="auto"/>
        </w:rPr>
      </w:pPr>
    </w:p>
    <w:p>
      <w:pPr>
        <w:ind w:left="1100"/>
        <w:spacing w:after="0" w:line="273" w:lineRule="auto"/>
        <w:rPr>
          <w:rFonts w:ascii="Arial" w:cs="Arial" w:eastAsia="Arial" w:hAnsi="Arial"/>
          <w:sz w:val="18"/>
          <w:szCs w:val="18"/>
          <w:color w:val="auto"/>
        </w:rPr>
      </w:pPr>
      <w:r>
        <w:rPr>
          <w:rFonts w:ascii="Arial" w:cs="Arial" w:eastAsia="Arial" w:hAnsi="Arial"/>
          <w:sz w:val="17"/>
          <w:szCs w:val="17"/>
          <w:color w:val="auto"/>
        </w:rPr>
        <w:t>Interest, including amortization of deferred financing costs, associated with major development and construction projects is capitalized and included in the cost of the projects. The capitalization of interest ceases when the project is substantially completed or the development activity is substantially suspended. The amount to be capitalized is determined by applying the weighted average interest rate of the Company’s outstanding borrowings to the average amount of accumulated qualifying capital expenditures for assets under construction during the year. Total interest expenses incurred amounted to $115,697, $132,291 and $160,508, of which $10,898, nil and nil were capitalized during the years ended December 31, 2020, 2019 and 2018, respectively.</w:t>
      </w:r>
    </w:p>
    <w:p>
      <w:pPr>
        <w:spacing w:after="0" w:line="79" w:lineRule="exact"/>
        <w:rPr>
          <w:rFonts w:ascii="Arial" w:cs="Arial" w:eastAsia="Arial" w:hAnsi="Arial"/>
          <w:sz w:val="18"/>
          <w:szCs w:val="18"/>
          <w:color w:val="auto"/>
        </w:rPr>
      </w:pPr>
    </w:p>
    <w:p>
      <w:pPr>
        <w:ind w:left="1080" w:hanging="532"/>
        <w:spacing w:after="0"/>
        <w:tabs>
          <w:tab w:leader="none" w:pos="108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color w:val="auto"/>
        </w:rPr>
      </w:pPr>
    </w:p>
    <w:p>
      <w:pPr>
        <w:ind w:left="1100" w:right="60"/>
        <w:spacing w:after="0" w:line="259" w:lineRule="auto"/>
        <w:rPr>
          <w:rFonts w:ascii="Arial" w:cs="Arial" w:eastAsia="Arial" w:hAnsi="Arial"/>
          <w:sz w:val="18"/>
          <w:szCs w:val="18"/>
          <w:color w:val="auto"/>
        </w:rPr>
      </w:pPr>
      <w:r>
        <w:rPr>
          <w:rFonts w:ascii="Arial" w:cs="Arial" w:eastAsia="Arial" w:hAnsi="Arial"/>
          <w:sz w:val="18"/>
          <w:szCs w:val="18"/>
          <w:color w:val="auto"/>
        </w:rPr>
        <w:t>Intangible assets are amortized over their useful lives unless their lives are determined to be indefinite in which case they are not amortized. Intangible assets are carried at cost, less accumulated amortization. The Company’s intangible assets consist of internal-use software, a finite-lived intangible asset. Finite-lived intangible assets are amortized over the shorter of their contractual terms or estimated useful lives.</w:t>
      </w:r>
    </w:p>
    <w:p>
      <w:pPr>
        <w:spacing w:after="0" w:line="78" w:lineRule="exact"/>
        <w:rPr>
          <w:rFonts w:ascii="Arial" w:cs="Arial" w:eastAsia="Arial" w:hAnsi="Arial"/>
          <w:sz w:val="18"/>
          <w:szCs w:val="18"/>
          <w:color w:val="auto"/>
        </w:rPr>
      </w:pPr>
    </w:p>
    <w:p>
      <w:pPr>
        <w:ind w:left="1100" w:right="20"/>
        <w:spacing w:after="0" w:line="257" w:lineRule="auto"/>
        <w:rPr>
          <w:rFonts w:ascii="Arial" w:cs="Arial" w:eastAsia="Arial" w:hAnsi="Arial"/>
          <w:sz w:val="18"/>
          <w:szCs w:val="18"/>
          <w:color w:val="auto"/>
        </w:rPr>
      </w:pPr>
      <w:r>
        <w:rPr>
          <w:rFonts w:ascii="Arial" w:cs="Arial" w:eastAsia="Arial" w:hAnsi="Arial"/>
          <w:sz w:val="18"/>
          <w:szCs w:val="18"/>
          <w:color w:val="auto"/>
        </w:rPr>
        <w:t>Costs incurred to develop software for internal use are capitalized and amortized over the estimated useful lives of the software of 3 years on a straight-line basis. The capitalization of such costs begins during the application development stage of the software project and ceases once the software project is substantially complete and ready for its intended use. Costs of specified upgrades and enhancements to the internal-use software are capitalized, while costs associated with preliminary project stage activities, training, maintenance and all other post-implementation stage activities are expensed as incurred.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color w:val="auto"/>
        </w:rPr>
      </w:pPr>
    </w:p>
    <w:p>
      <w:pPr>
        <w:ind w:left="1100" w:right="20"/>
        <w:spacing w:after="0" w:line="291" w:lineRule="auto"/>
        <w:rPr>
          <w:rFonts w:ascii="Arial" w:cs="Arial" w:eastAsia="Arial" w:hAnsi="Arial"/>
          <w:sz w:val="18"/>
          <w:szCs w:val="18"/>
          <w:color w:val="auto"/>
        </w:rPr>
      </w:pPr>
      <w:r>
        <w:rPr>
          <w:rFonts w:ascii="Arial" w:cs="Arial" w:eastAsia="Arial" w:hAnsi="Arial"/>
          <w:sz w:val="16"/>
          <w:szCs w:val="16"/>
          <w:color w:val="auto"/>
        </w:rPr>
        <w:t>The Company evaluates the long-lived assets with finite lives to be held and used for impairment whenever indicators of impairment exist. The Company then compares the estimated future cash flows of the assets, on an undiscounted basis, to the carrying values of the</w:t>
      </w:r>
    </w:p>
    <w:p>
      <w:pPr>
        <w:ind w:left="1100"/>
        <w:spacing w:after="0" w:line="273" w:lineRule="auto"/>
        <w:rPr>
          <w:rFonts w:ascii="Arial" w:cs="Arial" w:eastAsia="Arial" w:hAnsi="Arial"/>
          <w:sz w:val="18"/>
          <w:szCs w:val="18"/>
          <w:color w:val="auto"/>
        </w:rPr>
      </w:pPr>
      <w:r>
        <w:rPr>
          <w:rFonts w:ascii="Arial" w:cs="Arial" w:eastAsia="Arial" w:hAnsi="Arial"/>
          <w:sz w:val="17"/>
          <w:szCs w:val="17"/>
          <w:color w:val="auto"/>
        </w:rPr>
        <w:t>assets. Estimating future cash flows of the assets involves significant assumptions, including future revenue growth rates and gross margin.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If an asset is still under development, future cash flows include remaining construction costs.</w:t>
      </w:r>
    </w:p>
    <w:p>
      <w:pPr>
        <w:spacing w:after="0" w:line="68" w:lineRule="exact"/>
        <w:rPr>
          <w:rFonts w:ascii="Arial" w:cs="Arial" w:eastAsia="Arial" w:hAnsi="Arial"/>
          <w:sz w:val="18"/>
          <w:szCs w:val="18"/>
          <w:color w:val="auto"/>
        </w:rPr>
      </w:pPr>
    </w:p>
    <w:p>
      <w:pPr>
        <w:ind w:left="1100" w:right="100"/>
        <w:spacing w:after="0" w:line="275" w:lineRule="auto"/>
        <w:rPr>
          <w:rFonts w:ascii="Arial" w:cs="Arial" w:eastAsia="Arial" w:hAnsi="Arial"/>
          <w:sz w:val="18"/>
          <w:szCs w:val="18"/>
          <w:color w:val="auto"/>
        </w:rPr>
      </w:pPr>
      <w:r>
        <w:rPr>
          <w:rFonts w:ascii="Arial" w:cs="Arial" w:eastAsia="Arial" w:hAnsi="Arial"/>
          <w:sz w:val="17"/>
          <w:szCs w:val="17"/>
          <w:color w:val="auto"/>
        </w:rPr>
        <w:t>During the year ended December 31, 2020, an impairment loss of $3,769 was recognized, mainly due to reconfigurations and renovations at Studio City, and included in property charges and other in the accompanying consolidated statements of operations. As a result of the COVID-19 pandemic as disclosed in Note 1(b), the Company evaluated its long-lived assets for recoverability as of December 31, 2020 and concluded no impairment existed at that date as the estimated undiscounted future cash flows exceeded their carrying values. No impairment losses were recognized during the years ended December 31, 2019 and 2018.</w:t>
      </w:r>
    </w:p>
    <w:p>
      <w:pPr>
        <w:spacing w:after="0" w:line="77" w:lineRule="exact"/>
        <w:rPr>
          <w:rFonts w:ascii="Arial" w:cs="Arial" w:eastAsia="Arial" w:hAnsi="Arial"/>
          <w:sz w:val="18"/>
          <w:szCs w:val="18"/>
          <w:color w:val="auto"/>
        </w:rPr>
      </w:pPr>
    </w:p>
    <w:p>
      <w:pPr>
        <w:ind w:left="1080" w:hanging="532"/>
        <w:spacing w:after="0"/>
        <w:tabs>
          <w:tab w:leader="none" w:pos="108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Deferred Financing Costs</w:t>
      </w:r>
    </w:p>
    <w:p>
      <w:pPr>
        <w:spacing w:after="0" w:line="121" w:lineRule="exact"/>
        <w:rPr>
          <w:rFonts w:ascii="Arial" w:cs="Arial" w:eastAsia="Arial" w:hAnsi="Arial"/>
          <w:sz w:val="18"/>
          <w:szCs w:val="18"/>
          <w:color w:val="auto"/>
        </w:rPr>
      </w:pPr>
    </w:p>
    <w:p>
      <w:pPr>
        <w:ind w:left="1100" w:right="20"/>
        <w:spacing w:after="0" w:line="277" w:lineRule="auto"/>
        <w:rPr>
          <w:rFonts w:ascii="Arial" w:cs="Arial" w:eastAsia="Arial" w:hAnsi="Arial"/>
          <w:sz w:val="18"/>
          <w:szCs w:val="18"/>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expenses over the terms of the related debt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86"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Deferred Financing Costs </w:t>
      </w:r>
      <w:r>
        <w:rPr>
          <w:rFonts w:ascii="Arial" w:cs="Arial" w:eastAsia="Arial" w:hAnsi="Arial"/>
          <w:sz w:val="18"/>
          <w:szCs w:val="18"/>
          <w:color w:val="auto"/>
        </w:rPr>
        <w:t>- continued</w:t>
      </w:r>
    </w:p>
    <w:p>
      <w:pPr>
        <w:spacing w:after="0" w:line="121" w:lineRule="exact"/>
        <w:rPr>
          <w:rFonts w:ascii="Arial" w:cs="Arial" w:eastAsia="Arial" w:hAnsi="Arial"/>
          <w:sz w:val="18"/>
          <w:szCs w:val="18"/>
          <w:color w:val="auto"/>
        </w:rPr>
      </w:pPr>
    </w:p>
    <w:p>
      <w:pPr>
        <w:ind w:left="1100" w:right="80"/>
        <w:spacing w:after="0" w:line="259" w:lineRule="auto"/>
        <w:rPr>
          <w:rFonts w:ascii="Arial" w:cs="Arial" w:eastAsia="Arial" w:hAnsi="Arial"/>
          <w:sz w:val="18"/>
          <w:szCs w:val="18"/>
          <w:color w:val="auto"/>
        </w:rPr>
      </w:pPr>
      <w:r>
        <w:rPr>
          <w:rFonts w:ascii="Arial" w:cs="Arial" w:eastAsia="Arial" w:hAnsi="Arial"/>
          <w:sz w:val="18"/>
          <w:szCs w:val="18"/>
          <w:color w:val="auto"/>
        </w:rPr>
        <w:t>agreements using the effective interest method. Deferred financing costs incurred in connection with the issuance of revolving credit facilities are included in other assets either current or non-current in the accompanying consolidated balance sheets, based on the maturity of each revolving credit facility. All other deferred financing costs are presented as a reduction of long-term debt in the accompanying consolidated balance sheets.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Land Use Right</w:t>
      </w:r>
    </w:p>
    <w:p>
      <w:pPr>
        <w:spacing w:after="0" w:line="121" w:lineRule="exact"/>
        <w:rPr>
          <w:rFonts w:ascii="Arial" w:cs="Arial" w:eastAsia="Arial" w:hAnsi="Arial"/>
          <w:sz w:val="18"/>
          <w:szCs w:val="18"/>
          <w:color w:val="auto"/>
        </w:rPr>
      </w:pPr>
    </w:p>
    <w:p>
      <w:pPr>
        <w:jc w:val="both"/>
        <w:ind w:left="1100" w:right="460"/>
        <w:spacing w:after="0" w:line="342" w:lineRule="auto"/>
        <w:rPr>
          <w:rFonts w:ascii="Arial" w:cs="Arial" w:eastAsia="Arial" w:hAnsi="Arial"/>
          <w:sz w:val="18"/>
          <w:szCs w:val="18"/>
          <w:color w:val="auto"/>
        </w:rPr>
      </w:pPr>
      <w:r>
        <w:rPr>
          <w:rFonts w:ascii="Arial" w:cs="Arial" w:eastAsia="Arial" w:hAnsi="Arial"/>
          <w:sz w:val="16"/>
          <w:szCs w:val="16"/>
          <w:color w:val="auto"/>
        </w:rPr>
        <w:t>Land use right represents the upfront land premium paid for the use of land held under operating lease, which is recorded at cost less accumulated amortization. Amortization is provided over the estimated term of the land use right of 40 years on a straight-line basis.</w:t>
      </w:r>
    </w:p>
    <w:p>
      <w:pPr>
        <w:spacing w:after="0" w:line="25" w:lineRule="exact"/>
        <w:rPr>
          <w:rFonts w:ascii="Arial" w:cs="Arial" w:eastAsia="Arial" w:hAnsi="Arial"/>
          <w:sz w:val="18"/>
          <w:szCs w:val="18"/>
          <w:color w:val="auto"/>
        </w:rPr>
      </w:pPr>
    </w:p>
    <w:p>
      <w:pPr>
        <w:ind w:left="1080" w:hanging="53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Leases</w:t>
      </w:r>
    </w:p>
    <w:p>
      <w:pPr>
        <w:spacing w:after="0" w:line="121" w:lineRule="exact"/>
        <w:rPr>
          <w:rFonts w:ascii="Arial" w:cs="Arial" w:eastAsia="Arial" w:hAnsi="Arial"/>
          <w:sz w:val="18"/>
          <w:szCs w:val="18"/>
          <w:color w:val="auto"/>
        </w:rPr>
      </w:pPr>
    </w:p>
    <w:p>
      <w:pPr>
        <w:ind w:left="1100" w:right="280"/>
        <w:spacing w:after="0" w:line="286" w:lineRule="auto"/>
        <w:rPr>
          <w:rFonts w:ascii="Arial" w:cs="Arial" w:eastAsia="Arial" w:hAnsi="Arial"/>
          <w:sz w:val="18"/>
          <w:szCs w:val="18"/>
          <w:color w:val="auto"/>
        </w:rPr>
      </w:pPr>
      <w:r>
        <w:rPr>
          <w:rFonts w:ascii="Arial" w:cs="Arial" w:eastAsia="Arial" w:hAnsi="Arial"/>
          <w:sz w:val="17"/>
          <w:szCs w:val="17"/>
          <w:color w:val="auto"/>
        </w:rPr>
        <w:t>On January 1, 2019, the Company adopted the guidance on leases under the accounting standards update (as subsequently amended) issued in February 2016 by the Financial Accounting Standards Board (“FASB”), which amends various aspects of existing accounting guidance for leases, using the modified retrospective method without restating comparative information.</w:t>
      </w:r>
    </w:p>
    <w:p>
      <w:pPr>
        <w:spacing w:after="0" w:line="57" w:lineRule="exact"/>
        <w:rPr>
          <w:rFonts w:ascii="Arial" w:cs="Arial" w:eastAsia="Arial" w:hAnsi="Arial"/>
          <w:sz w:val="18"/>
          <w:szCs w:val="18"/>
          <w:color w:val="auto"/>
        </w:rPr>
      </w:pPr>
    </w:p>
    <w:p>
      <w:pPr>
        <w:ind w:left="1100" w:right="140"/>
        <w:spacing w:after="0" w:line="257" w:lineRule="auto"/>
        <w:rPr>
          <w:rFonts w:ascii="Arial" w:cs="Arial" w:eastAsia="Arial" w:hAnsi="Arial"/>
          <w:sz w:val="18"/>
          <w:szCs w:val="18"/>
          <w:color w:val="auto"/>
        </w:rPr>
      </w:pPr>
      <w:r>
        <w:rPr>
          <w:rFonts w:ascii="Arial" w:cs="Arial" w:eastAsia="Arial" w:hAnsi="Arial"/>
          <w:sz w:val="18"/>
          <w:szCs w:val="18"/>
          <w:color w:val="auto"/>
        </w:rPr>
        <w:t>The Company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existing leases as of the adoption date. As a result of adoption, the Company recognized $14,745 of operating lease right-of-use assets and $14,745 of operating lease liabilities as of January 1, 2019. The adoption of this guidance did not have a material impact on net income or cash flows.</w:t>
      </w:r>
    </w:p>
    <w:p>
      <w:pPr>
        <w:spacing w:after="0" w:line="79" w:lineRule="exact"/>
        <w:rPr>
          <w:rFonts w:ascii="Arial" w:cs="Arial" w:eastAsia="Arial" w:hAnsi="Arial"/>
          <w:sz w:val="18"/>
          <w:szCs w:val="18"/>
          <w:color w:val="auto"/>
        </w:rPr>
      </w:pPr>
    </w:p>
    <w:p>
      <w:pPr>
        <w:ind w:left="1100" w:right="200"/>
        <w:spacing w:after="0" w:line="259" w:lineRule="auto"/>
        <w:rPr>
          <w:rFonts w:ascii="Arial" w:cs="Arial" w:eastAsia="Arial" w:hAnsi="Arial"/>
          <w:sz w:val="18"/>
          <w:szCs w:val="18"/>
          <w:color w:val="auto"/>
        </w:rPr>
      </w:pPr>
      <w:r>
        <w:rPr>
          <w:rFonts w:ascii="Arial" w:cs="Arial" w:eastAsia="Arial" w:hAnsi="Arial"/>
          <w:sz w:val="18"/>
          <w:szCs w:val="18"/>
          <w:color w:val="auto"/>
        </w:rPr>
        <w:t>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spacing w:after="0" w:line="78" w:lineRule="exact"/>
        <w:rPr>
          <w:rFonts w:ascii="Arial" w:cs="Arial" w:eastAsia="Arial" w:hAnsi="Arial"/>
          <w:sz w:val="18"/>
          <w:szCs w:val="18"/>
          <w:color w:val="auto"/>
        </w:rPr>
      </w:pPr>
    </w:p>
    <w:p>
      <w:pPr>
        <w:ind w:left="1100"/>
        <w:spacing w:after="0" w:line="290" w:lineRule="auto"/>
        <w:rPr>
          <w:rFonts w:ascii="Arial" w:cs="Arial" w:eastAsia="Arial" w:hAnsi="Arial"/>
          <w:sz w:val="18"/>
          <w:szCs w:val="18"/>
          <w:color w:val="auto"/>
        </w:rPr>
      </w:pPr>
      <w:r>
        <w:rPr>
          <w:rFonts w:ascii="Arial" w:cs="Arial" w:eastAsia="Arial" w:hAnsi="Arial"/>
          <w:sz w:val="16"/>
          <w:szCs w:val="16"/>
          <w:color w:val="auto"/>
        </w:rPr>
        <w:t>Operating lease right-of-use assets and liabilities are recognized based on the present value of the future minimum lease payments over the lease term at commencement date. The initial measurement of the right-of-use assets also includes any prepaid lease payments and any initial direct 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not accounted for on the balance sheet and the related lease expense is recognized on a straight-line basis over the expected lease term.</w:t>
      </w:r>
    </w:p>
    <w:p>
      <w:pPr>
        <w:spacing w:after="0" w:line="57" w:lineRule="exact"/>
        <w:rPr>
          <w:rFonts w:ascii="Arial" w:cs="Arial" w:eastAsia="Arial" w:hAnsi="Arial"/>
          <w:sz w:val="18"/>
          <w:szCs w:val="18"/>
          <w:color w:val="auto"/>
        </w:rPr>
      </w:pPr>
    </w:p>
    <w:p>
      <w:pPr>
        <w:ind w:left="1100" w:right="220"/>
        <w:spacing w:after="0" w:line="259" w:lineRule="auto"/>
        <w:rPr>
          <w:rFonts w:ascii="Arial" w:cs="Arial" w:eastAsia="Arial" w:hAnsi="Arial"/>
          <w:sz w:val="18"/>
          <w:szCs w:val="18"/>
          <w:color w:val="auto"/>
        </w:rPr>
      </w:pPr>
      <w:r>
        <w:rPr>
          <w:rFonts w:ascii="Arial" w:cs="Arial" w:eastAsia="Arial" w:hAnsi="Arial"/>
          <w:sz w:val="18"/>
          <w:szCs w:val="18"/>
          <w:color w:val="auto"/>
        </w:rPr>
        <w:t>The Company’s lease contracts have lease and non-lease components. For contracts in which the Company is a lessee, the Company accounts for the lease components and non-lease components as a single lease component for all classes of underlying assets, except for real estate. For contracts in which the Company is a lessor, all are accounted for as operating leases, and the lease components and non-lease components are accounted for separately.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86"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color w:val="auto"/>
        </w:rPr>
      </w:pPr>
    </w:p>
    <w:p>
      <w:pPr>
        <w:ind w:left="1100" w:right="40"/>
        <w:spacing w:after="0" w:line="272" w:lineRule="auto"/>
        <w:rPr>
          <w:rFonts w:ascii="Arial" w:cs="Arial" w:eastAsia="Arial" w:hAnsi="Arial"/>
          <w:sz w:val="18"/>
          <w:szCs w:val="18"/>
          <w:color w:val="auto"/>
        </w:rPr>
      </w:pPr>
      <w:r>
        <w:rPr>
          <w:rFonts w:ascii="Arial" w:cs="Arial" w:eastAsia="Arial" w:hAnsi="Arial"/>
          <w:sz w:val="17"/>
          <w:szCs w:val="17"/>
          <w:color w:val="auto"/>
        </w:rPr>
        <w:t>On January 1, 2018, the Company adopted the guidance under the accounting standards update (as subsequently amended) issued in May 2014 by the FASB, which outlined a single comprehensive model for entities to use in accounting for revenues arising from contracts with customers and superseded most current revenue recognition guidance, including industry-specific guidance (“New Revenue Standard”), using the modified retrospective method. The cumulative effect of the adoption of this guidance did not have a material impact on the accumulated losses as of January 1, 2018. In addition, the adoption of this guidance did not have a material impact on net loss, comprehensive loss, basic and diluted net loss attributable to Studio City International Holdings Limited per Class A ordinary share amounts for the year ended December 31, 2018 and net assets as of December 31, 2018.</w:t>
      </w:r>
    </w:p>
    <w:p>
      <w:pPr>
        <w:spacing w:after="0" w:line="69" w:lineRule="exact"/>
        <w:rPr>
          <w:rFonts w:ascii="Arial" w:cs="Arial" w:eastAsia="Arial" w:hAnsi="Arial"/>
          <w:sz w:val="18"/>
          <w:szCs w:val="18"/>
          <w:color w:val="auto"/>
        </w:rPr>
      </w:pPr>
    </w:p>
    <w:p>
      <w:pPr>
        <w:ind w:left="1100" w:right="680"/>
        <w:spacing w:after="0" w:line="277" w:lineRule="auto"/>
        <w:rPr>
          <w:rFonts w:ascii="Arial" w:cs="Arial" w:eastAsia="Arial" w:hAnsi="Arial"/>
          <w:sz w:val="18"/>
          <w:szCs w:val="18"/>
          <w:color w:val="auto"/>
        </w:rPr>
      </w:pPr>
      <w:r>
        <w:rPr>
          <w:rFonts w:ascii="Arial" w:cs="Arial" w:eastAsia="Arial" w:hAnsi="Arial"/>
          <w:sz w:val="18"/>
          <w:szCs w:val="18"/>
          <w:color w:val="auto"/>
        </w:rPr>
        <w:t>The Company’s revenues from contracts with customers consist of provision of gaming related services, sales of rooms, food and beverage, entertainment, retail and other goods and services.</w:t>
      </w:r>
    </w:p>
    <w:p>
      <w:pPr>
        <w:spacing w:after="0" w:line="62" w:lineRule="exact"/>
        <w:rPr>
          <w:rFonts w:ascii="Arial" w:cs="Arial" w:eastAsia="Arial" w:hAnsi="Arial"/>
          <w:sz w:val="18"/>
          <w:szCs w:val="18"/>
          <w:color w:val="auto"/>
        </w:rPr>
      </w:pPr>
    </w:p>
    <w:p>
      <w:pPr>
        <w:ind w:left="1100"/>
        <w:spacing w:after="0" w:line="291" w:lineRule="auto"/>
        <w:rPr>
          <w:rFonts w:ascii="Arial" w:cs="Arial" w:eastAsia="Arial" w:hAnsi="Arial"/>
          <w:sz w:val="18"/>
          <w:szCs w:val="18"/>
          <w:color w:val="auto"/>
        </w:rPr>
      </w:pPr>
      <w:r>
        <w:rPr>
          <w:rFonts w:ascii="Arial" w:cs="Arial" w:eastAsia="Arial" w:hAnsi="Arial"/>
          <w:sz w:val="16"/>
          <w:szCs w:val="16"/>
          <w:color w:val="auto"/>
        </w:rPr>
        <w:t>Revenues from provision of gaming related services represent revenues arising from the provision of facilities for the operations of Studio City Casino and services related thereto pursuant to the Services and Right to Use Arrangements, under which Melco Resorts Macau operates the Studio City Casino. Melco Resorts Macau deducts gaming taxes and the costs incurred in connection with the operations of Studio City Casino pursuant to the Services and Right to Use Arrangements, including the standalone selling prices of complimentary services within Studio City provided to the Studio City gaming patrons, from the Studio City Casino gross gaming revenues. The Company recognizes the residual amount as revenues from provision of gaming related services. The Company has concluded that it is not the controlling entity to the arrangements and recognizes the revenues from provision of gaming related services on a net basis.</w:t>
      </w:r>
    </w:p>
    <w:p>
      <w:pPr>
        <w:spacing w:after="0" w:line="58" w:lineRule="exact"/>
        <w:rPr>
          <w:rFonts w:ascii="Arial" w:cs="Arial" w:eastAsia="Arial" w:hAnsi="Arial"/>
          <w:sz w:val="18"/>
          <w:szCs w:val="18"/>
          <w:color w:val="auto"/>
        </w:rPr>
      </w:pPr>
    </w:p>
    <w:p>
      <w:pPr>
        <w:ind w:left="1100" w:right="80"/>
        <w:spacing w:after="0" w:line="254" w:lineRule="auto"/>
        <w:rPr>
          <w:rFonts w:ascii="Arial" w:cs="Arial" w:eastAsia="Arial" w:hAnsi="Arial"/>
          <w:sz w:val="18"/>
          <w:szCs w:val="18"/>
          <w:color w:val="auto"/>
        </w:rPr>
      </w:pPr>
      <w:r>
        <w:rPr>
          <w:rFonts w:ascii="Arial" w:cs="Arial" w:eastAsia="Arial" w:hAnsi="Arial"/>
          <w:sz w:val="18"/>
          <w:szCs w:val="18"/>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advance ticket sales are recorded as customer deposits until services are provided to the customers. Revenues from contracts with multiple goods or services provided by the Company are allocated to each good or service based on its relative standalone selling price.</w:t>
      </w:r>
    </w:p>
    <w:p>
      <w:pPr>
        <w:spacing w:after="0" w:line="86" w:lineRule="exact"/>
        <w:rPr>
          <w:rFonts w:ascii="Arial" w:cs="Arial" w:eastAsia="Arial" w:hAnsi="Arial"/>
          <w:sz w:val="18"/>
          <w:szCs w:val="18"/>
          <w:color w:val="auto"/>
        </w:rPr>
      </w:pPr>
    </w:p>
    <w:p>
      <w:pPr>
        <w:ind w:left="1100" w:right="100"/>
        <w:spacing w:after="0" w:line="308" w:lineRule="auto"/>
        <w:rPr>
          <w:rFonts w:ascii="Arial" w:cs="Arial" w:eastAsia="Arial" w:hAnsi="Arial"/>
          <w:sz w:val="18"/>
          <w:szCs w:val="18"/>
          <w:color w:val="auto"/>
        </w:rPr>
      </w:pPr>
      <w:r>
        <w:rPr>
          <w:rFonts w:ascii="Arial" w:cs="Arial" w:eastAsia="Arial" w:hAnsi="Arial"/>
          <w:sz w:val="17"/>
          <w:szCs w:val="17"/>
          <w:color w:val="auto"/>
        </w:rPr>
        <w:t>Minimum operating and right to use fees representing lease revenues, adjusted for contractual base fees and operating fee escalations, are included in mall revenues and are recognized over the terms of the related agreements on a straight-line basis.</w:t>
      </w:r>
    </w:p>
    <w:p>
      <w:pPr>
        <w:spacing w:after="0" w:line="38"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i w:val="1"/>
          <w:iCs w:val="1"/>
          <w:color w:val="auto"/>
        </w:rPr>
        <w:t>Contract and Contract-Related Liabilities</w:t>
      </w:r>
    </w:p>
    <w:p>
      <w:pPr>
        <w:spacing w:after="0" w:line="117" w:lineRule="exact"/>
        <w:rPr>
          <w:rFonts w:ascii="Arial" w:cs="Arial" w:eastAsia="Arial" w:hAnsi="Arial"/>
          <w:sz w:val="18"/>
          <w:szCs w:val="18"/>
          <w:color w:val="auto"/>
        </w:rPr>
      </w:pPr>
    </w:p>
    <w:p>
      <w:pPr>
        <w:ind w:left="1100" w:right="80"/>
        <w:spacing w:after="0" w:line="255" w:lineRule="auto"/>
        <w:rPr>
          <w:rFonts w:ascii="Arial" w:cs="Arial" w:eastAsia="Arial" w:hAnsi="Arial"/>
          <w:sz w:val="18"/>
          <w:szCs w:val="18"/>
          <w:color w:val="auto"/>
        </w:rPr>
      </w:pPr>
      <w:r>
        <w:rPr>
          <w:rFonts w:ascii="Arial" w:cs="Arial" w:eastAsia="Arial" w:hAnsi="Arial"/>
          <w:sz w:val="18"/>
          <w:szCs w:val="18"/>
          <w:color w:val="auto"/>
        </w:rPr>
        <w:t>In providing goods and services to its customers, there may be a timing difference between cash receipts from customers and recognition of revenues, resulting in a contract or contract-related liability. The Company’s primary type of liabilities related to contracts with customers is advance deposits on rooms and advance ticket sales which represent cash received in advance for goods or services yet to be provided. These amounts are included in accrued expenses and other current liabilities on the accompanying consolidated balance sheets and will be recognized as revenues when the goods or services are provided or the events are held. Decreases in this balance generally represent the</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86"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continued</w:t>
      </w:r>
    </w:p>
    <w:p>
      <w:pPr>
        <w:spacing w:after="0" w:line="12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i w:val="1"/>
          <w:iCs w:val="1"/>
          <w:color w:val="auto"/>
        </w:rPr>
        <w:t xml:space="preserve">Contract and Contract-Related Liabilities </w:t>
      </w:r>
      <w:r>
        <w:rPr>
          <w:rFonts w:ascii="Arial" w:cs="Arial" w:eastAsia="Arial" w:hAnsi="Arial"/>
          <w:sz w:val="18"/>
          <w:szCs w:val="18"/>
          <w:color w:val="auto"/>
        </w:rPr>
        <w:t>- continued</w:t>
      </w:r>
    </w:p>
    <w:p>
      <w:pPr>
        <w:spacing w:after="0" w:line="130" w:lineRule="exact"/>
        <w:rPr>
          <w:rFonts w:ascii="Arial" w:cs="Arial" w:eastAsia="Arial" w:hAnsi="Arial"/>
          <w:sz w:val="18"/>
          <w:szCs w:val="18"/>
          <w:color w:val="auto"/>
        </w:rPr>
      </w:pPr>
    </w:p>
    <w:p>
      <w:pPr>
        <w:ind w:left="1100" w:right="340"/>
        <w:spacing w:after="0" w:line="279" w:lineRule="auto"/>
        <w:rPr>
          <w:rFonts w:ascii="Arial" w:cs="Arial" w:eastAsia="Arial" w:hAnsi="Arial"/>
          <w:sz w:val="18"/>
          <w:szCs w:val="18"/>
          <w:color w:val="auto"/>
        </w:rPr>
      </w:pPr>
      <w:r>
        <w:rPr>
          <w:rFonts w:ascii="Arial" w:cs="Arial" w:eastAsia="Arial" w:hAnsi="Arial"/>
          <w:sz w:val="17"/>
          <w:szCs w:val="17"/>
          <w:color w:val="auto"/>
        </w:rPr>
        <w:t>recognition of revenues and increases in the balance represent additional deposits made by customers. The deposits are expected to primarily be recognized as revenues within one year. Advance customer deposits and ticket sales of $2,403 as of December 31, 2020 decreased by $1,543 from the balance of $3,946 as of December 31, 2019. Advance customer deposits and ticket sales of $3,946 as of December 31, 2019 decreased by $434 from the balance of $4,380 as of December 31, 2018.</w:t>
      </w:r>
    </w:p>
    <w:p>
      <w:pPr>
        <w:spacing w:after="0" w:line="72" w:lineRule="exact"/>
        <w:rPr>
          <w:rFonts w:ascii="Arial" w:cs="Arial" w:eastAsia="Arial" w:hAnsi="Arial"/>
          <w:sz w:val="18"/>
          <w:szCs w:val="18"/>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Pre-opening Costs</w:t>
      </w:r>
    </w:p>
    <w:p>
      <w:pPr>
        <w:spacing w:after="0" w:line="121" w:lineRule="exact"/>
        <w:rPr>
          <w:rFonts w:ascii="Arial" w:cs="Arial" w:eastAsia="Arial" w:hAnsi="Arial"/>
          <w:sz w:val="18"/>
          <w:szCs w:val="18"/>
          <w:color w:val="auto"/>
        </w:rPr>
      </w:pPr>
    </w:p>
    <w:p>
      <w:pPr>
        <w:ind w:left="1100" w:right="60"/>
        <w:spacing w:after="0" w:line="286" w:lineRule="auto"/>
        <w:rPr>
          <w:rFonts w:ascii="Arial" w:cs="Arial" w:eastAsia="Arial" w:hAnsi="Arial"/>
          <w:sz w:val="18"/>
          <w:szCs w:val="18"/>
          <w:color w:val="auto"/>
        </w:rPr>
      </w:pPr>
      <w:r>
        <w:rPr>
          <w:rFonts w:ascii="Arial" w:cs="Arial" w:eastAsia="Arial" w:hAnsi="Arial"/>
          <w:sz w:val="17"/>
          <w:szCs w:val="17"/>
          <w:color w:val="auto"/>
        </w:rPr>
        <w:t>Pre-opening costs represent personnel, marketing and other costs incurred prior to the opening of new or start-up operations and are expensed as incurred. During the years ended December 31, 2020, 2019 and 2018, the Company incurred pre-opening costs in connection with the development and other one-off activities related to the marketing of new facilities and operations of Studio City.</w:t>
      </w:r>
    </w:p>
    <w:p>
      <w:pPr>
        <w:spacing w:after="0" w:line="66" w:lineRule="exact"/>
        <w:rPr>
          <w:rFonts w:ascii="Arial" w:cs="Arial" w:eastAsia="Arial" w:hAnsi="Arial"/>
          <w:sz w:val="18"/>
          <w:szCs w:val="18"/>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Advertising and Promotional Costs</w:t>
      </w:r>
    </w:p>
    <w:p>
      <w:pPr>
        <w:spacing w:after="0" w:line="121" w:lineRule="exact"/>
        <w:rPr>
          <w:rFonts w:ascii="Arial" w:cs="Arial" w:eastAsia="Arial" w:hAnsi="Arial"/>
          <w:sz w:val="18"/>
          <w:szCs w:val="18"/>
          <w:color w:val="auto"/>
        </w:rPr>
      </w:pPr>
    </w:p>
    <w:p>
      <w:pPr>
        <w:ind w:left="1100" w:right="260"/>
        <w:spacing w:after="0" w:line="263" w:lineRule="auto"/>
        <w:rPr>
          <w:rFonts w:ascii="Arial" w:cs="Arial" w:eastAsia="Arial" w:hAnsi="Arial"/>
          <w:sz w:val="18"/>
          <w:szCs w:val="18"/>
          <w:color w:val="auto"/>
        </w:rPr>
      </w:pPr>
      <w:r>
        <w:rPr>
          <w:rFonts w:ascii="Arial" w:cs="Arial" w:eastAsia="Arial" w:hAnsi="Arial"/>
          <w:sz w:val="18"/>
          <w:szCs w:val="18"/>
          <w:color w:val="auto"/>
        </w:rPr>
        <w:t>The Company expenses advertising and promotional costs the first time the advertising takes place or as incurred. Advertising and promotional costs included in the accompanying consolidated statements of operations were $4,607, $22,177 and $28,009 for the years ended December 31, 2020, 2019 and 2018, respectively.</w:t>
      </w:r>
    </w:p>
    <w:p>
      <w:pPr>
        <w:spacing w:after="0" w:line="85" w:lineRule="exact"/>
        <w:rPr>
          <w:rFonts w:ascii="Arial" w:cs="Arial" w:eastAsia="Arial" w:hAnsi="Arial"/>
          <w:sz w:val="18"/>
          <w:szCs w:val="18"/>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Foreign Currency Transactions and Translations</w:t>
      </w:r>
    </w:p>
    <w:p>
      <w:pPr>
        <w:spacing w:after="0" w:line="121" w:lineRule="exact"/>
        <w:rPr>
          <w:rFonts w:ascii="Arial" w:cs="Arial" w:eastAsia="Arial" w:hAnsi="Arial"/>
          <w:sz w:val="18"/>
          <w:szCs w:val="18"/>
          <w:color w:val="auto"/>
        </w:rPr>
      </w:pPr>
    </w:p>
    <w:p>
      <w:pPr>
        <w:ind w:left="1100"/>
        <w:spacing w:after="0" w:line="259" w:lineRule="auto"/>
        <w:rPr>
          <w:rFonts w:ascii="Arial" w:cs="Arial" w:eastAsia="Arial" w:hAnsi="Arial"/>
          <w:sz w:val="18"/>
          <w:szCs w:val="18"/>
          <w:color w:val="auto"/>
        </w:rPr>
      </w:pPr>
      <w:r>
        <w:rPr>
          <w:rFonts w:ascii="Arial" w:cs="Arial" w:eastAsia="Arial" w:hAnsi="Arial"/>
          <w:sz w:val="18"/>
          <w:szCs w:val="18"/>
          <w:color w:val="auto"/>
        </w:rPr>
        <w:t>All transactions in currencies other than functional currencies of Studio City International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w:t>
      </w:r>
    </w:p>
    <w:p>
      <w:pPr>
        <w:spacing w:after="0" w:line="78" w:lineRule="exact"/>
        <w:rPr>
          <w:rFonts w:ascii="Arial" w:cs="Arial" w:eastAsia="Arial" w:hAnsi="Arial"/>
          <w:sz w:val="18"/>
          <w:szCs w:val="18"/>
          <w:color w:val="auto"/>
        </w:rPr>
      </w:pPr>
    </w:p>
    <w:p>
      <w:pPr>
        <w:ind w:left="1100" w:right="80"/>
        <w:spacing w:after="0" w:line="257" w:lineRule="auto"/>
        <w:rPr>
          <w:rFonts w:ascii="Arial" w:cs="Arial" w:eastAsia="Arial" w:hAnsi="Arial"/>
          <w:sz w:val="18"/>
          <w:szCs w:val="18"/>
          <w:color w:val="auto"/>
        </w:rPr>
      </w:pPr>
      <w:r>
        <w:rPr>
          <w:rFonts w:ascii="Arial" w:cs="Arial" w:eastAsia="Arial" w:hAnsi="Arial"/>
          <w:sz w:val="18"/>
          <w:szCs w:val="18"/>
          <w:color w:val="auto"/>
        </w:rPr>
        <w:t>The functional currency of Studio City International is the United States dollar (“$” or “US$”) and the functional currency of most of Studio City International’s foreign subsidiaries is the local currency in which the subsidiary operates. All assets and liabilities are translated at the rates of exchange prevailing at the balance sheet date and all income and expense items are translated at the average rates of exchange over the year. All exchange differences arising from the translation of foreign subsidiaries’ financial statements are recorded as a component of other comprehensive income (loss).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Comprehensive (Loss) Income and Accumulated Other Comprehensive (Loss) Income</w:t>
      </w:r>
    </w:p>
    <w:p>
      <w:pPr>
        <w:spacing w:after="0" w:line="121" w:lineRule="exact"/>
        <w:rPr>
          <w:rFonts w:ascii="Arial" w:cs="Arial" w:eastAsia="Arial" w:hAnsi="Arial"/>
          <w:sz w:val="18"/>
          <w:szCs w:val="18"/>
          <w:color w:val="auto"/>
        </w:rPr>
      </w:pPr>
    </w:p>
    <w:p>
      <w:pPr>
        <w:ind w:left="1100" w:right="460"/>
        <w:spacing w:after="0" w:line="308" w:lineRule="auto"/>
        <w:rPr>
          <w:rFonts w:ascii="Arial" w:cs="Arial" w:eastAsia="Arial" w:hAnsi="Arial"/>
          <w:sz w:val="18"/>
          <w:szCs w:val="18"/>
          <w:color w:val="auto"/>
        </w:rPr>
      </w:pPr>
      <w:r>
        <w:rPr>
          <w:rFonts w:ascii="Arial" w:cs="Arial" w:eastAsia="Arial" w:hAnsi="Arial"/>
          <w:sz w:val="17"/>
          <w:szCs w:val="17"/>
          <w:color w:val="auto"/>
        </w:rPr>
        <w:t>Comprehensive (loss) income includes net (loss) income and other non-shareholder changes in equity, or other comprehensive (loss) income and is reported in the accompanying consolidated statements of comprehensive (loss) income.</w:t>
      </w:r>
    </w:p>
    <w:p>
      <w:pPr>
        <w:spacing w:after="0" w:line="38" w:lineRule="exact"/>
        <w:rPr>
          <w:rFonts w:ascii="Arial" w:cs="Arial" w:eastAsia="Arial" w:hAnsi="Arial"/>
          <w:sz w:val="18"/>
          <w:szCs w:val="18"/>
          <w:color w:val="auto"/>
        </w:rPr>
      </w:pPr>
    </w:p>
    <w:p>
      <w:pPr>
        <w:ind w:left="1100" w:right="10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2020 and 2019, the Company’s accumulated other comprehensive (loss) income consisted solely of foreign currency translation adjustments, net of tax and participation interest.</w:t>
      </w:r>
    </w:p>
    <w:p>
      <w:pPr>
        <w:spacing w:after="0" w:line="71" w:lineRule="exact"/>
        <w:rPr>
          <w:rFonts w:ascii="Arial" w:cs="Arial" w:eastAsia="Arial" w:hAnsi="Arial"/>
          <w:sz w:val="18"/>
          <w:szCs w:val="18"/>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Income Tax</w:t>
      </w:r>
    </w:p>
    <w:p>
      <w:pPr>
        <w:spacing w:after="0" w:line="12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The Company is subject to income taxes in Macau and Hong Kong where it operates.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86"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100" w:right="120"/>
        <w:spacing w:after="0" w:line="279" w:lineRule="auto"/>
        <w:rPr>
          <w:rFonts w:ascii="Arial" w:cs="Arial" w:eastAsia="Arial" w:hAnsi="Arial"/>
          <w:sz w:val="18"/>
          <w:szCs w:val="18"/>
          <w:color w:val="auto"/>
        </w:rPr>
      </w:pPr>
      <w:r>
        <w:rPr>
          <w:rFonts w:ascii="Arial" w:cs="Arial" w:eastAsia="Arial" w:hAnsi="Arial"/>
          <w:sz w:val="17"/>
          <w:szCs w:val="17"/>
          <w:color w:val="auto"/>
        </w:rPr>
        <w:t>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63" w:lineRule="exact"/>
        <w:rPr>
          <w:rFonts w:ascii="Arial" w:cs="Arial" w:eastAsia="Arial" w:hAnsi="Arial"/>
          <w:sz w:val="18"/>
          <w:szCs w:val="18"/>
          <w:color w:val="auto"/>
        </w:rPr>
      </w:pPr>
    </w:p>
    <w:p>
      <w:pPr>
        <w:ind w:left="1100" w:right="100"/>
        <w:spacing w:after="0" w:line="293" w:lineRule="auto"/>
        <w:rPr>
          <w:rFonts w:ascii="Arial" w:cs="Arial" w:eastAsia="Arial" w:hAnsi="Arial"/>
          <w:sz w:val="18"/>
          <w:szCs w:val="18"/>
          <w:color w:val="auto"/>
        </w:rPr>
      </w:pPr>
      <w:r>
        <w:rPr>
          <w:rFonts w:ascii="Arial" w:cs="Arial" w:eastAsia="Arial" w:hAnsi="Arial"/>
          <w:sz w:val="16"/>
          <w:szCs w:val="16"/>
          <w:color w:val="auto"/>
        </w:rPr>
        <w:t>The Company’s income tax returns are subject to examination by tax authorities in the jurisdictions where it operates. The Company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based on the technical merits of position, will be sustained on audit, including resolution of related appeals or litigation processes, if any. The second step is to measure the tax benefit as the largest amount which is more than 50% likely, based on cumulative probability.</w:t>
      </w:r>
    </w:p>
    <w:p>
      <w:pPr>
        <w:spacing w:after="0" w:line="65" w:lineRule="exact"/>
        <w:rPr>
          <w:rFonts w:ascii="Arial" w:cs="Arial" w:eastAsia="Arial" w:hAnsi="Arial"/>
          <w:sz w:val="18"/>
          <w:szCs w:val="18"/>
          <w:color w:val="auto"/>
        </w:rPr>
      </w:pPr>
    </w:p>
    <w:p>
      <w:pPr>
        <w:ind w:left="1080" w:hanging="532"/>
        <w:spacing w:after="0"/>
        <w:tabs>
          <w:tab w:leader="none" w:pos="10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Net (Loss) Income Attributable to Studio City International Holdings Limited Per Class A Ordinary Share</w:t>
      </w:r>
    </w:p>
    <w:p>
      <w:pPr>
        <w:spacing w:after="0" w:line="121" w:lineRule="exact"/>
        <w:rPr>
          <w:rFonts w:ascii="Arial" w:cs="Arial" w:eastAsia="Arial" w:hAnsi="Arial"/>
          <w:sz w:val="18"/>
          <w:szCs w:val="18"/>
          <w:color w:val="auto"/>
        </w:rPr>
      </w:pPr>
    </w:p>
    <w:p>
      <w:pPr>
        <w:ind w:left="1100" w:right="100"/>
        <w:spacing w:after="0" w:line="263" w:lineRule="auto"/>
        <w:rPr>
          <w:rFonts w:ascii="Arial" w:cs="Arial" w:eastAsia="Arial" w:hAnsi="Arial"/>
          <w:sz w:val="18"/>
          <w:szCs w:val="18"/>
          <w:color w:val="auto"/>
        </w:rPr>
      </w:pPr>
      <w:r>
        <w:rPr>
          <w:rFonts w:ascii="Arial" w:cs="Arial" w:eastAsia="Arial" w:hAnsi="Arial"/>
          <w:sz w:val="18"/>
          <w:szCs w:val="18"/>
          <w:color w:val="auto"/>
        </w:rPr>
        <w:t>Basic net (loss) income attributable to Studio City International Holdings Limited per Class A ordinary share is calculated by dividing the net (loss) income attributable to Studio City International Holdings Limited by the weighted average number of Class A ordinary shares outstanding during the year.</w:t>
      </w:r>
    </w:p>
    <w:p>
      <w:pPr>
        <w:spacing w:after="0" w:line="75" w:lineRule="exact"/>
        <w:rPr>
          <w:rFonts w:ascii="Arial" w:cs="Arial" w:eastAsia="Arial" w:hAnsi="Arial"/>
          <w:sz w:val="18"/>
          <w:szCs w:val="18"/>
          <w:color w:val="auto"/>
        </w:rPr>
      </w:pPr>
    </w:p>
    <w:p>
      <w:pPr>
        <w:ind w:left="1100"/>
        <w:spacing w:after="0" w:line="255" w:lineRule="auto"/>
        <w:rPr>
          <w:rFonts w:ascii="Arial" w:cs="Arial" w:eastAsia="Arial" w:hAnsi="Arial"/>
          <w:sz w:val="18"/>
          <w:szCs w:val="18"/>
          <w:color w:val="auto"/>
        </w:rPr>
      </w:pPr>
      <w:r>
        <w:rPr>
          <w:rFonts w:ascii="Arial" w:cs="Arial" w:eastAsia="Arial" w:hAnsi="Arial"/>
          <w:sz w:val="18"/>
          <w:szCs w:val="18"/>
          <w:color w:val="auto"/>
        </w:rPr>
        <w:t>Diluted net (loss) income attributable to Studio City International Holdings Limited per Class A ordinary share is calculated by dividing the net (loss) income attributable to Studio City International Holdings Limited by the weighted average number of Class A ordinary shares outstanding during the year adjusted to include the number of additional Class A ordinary shares that would have been outstanding if potential dilutive securities had been issued and the if-converted method is applied for the potential dilutive effect of the exchange of Class B ordinary share for the proportionate number of Class A ordinary share. During the years ended December 31, 2019 and 2018, there were no potentially dilutive securities issued or outstanding.</w:t>
      </w:r>
    </w:p>
    <w:p>
      <w:pPr>
        <w:spacing w:after="0" w:line="84" w:lineRule="exact"/>
        <w:rPr>
          <w:rFonts w:ascii="Arial" w:cs="Arial" w:eastAsia="Arial" w:hAnsi="Arial"/>
          <w:sz w:val="18"/>
          <w:szCs w:val="18"/>
          <w:color w:val="auto"/>
        </w:rPr>
      </w:pPr>
    </w:p>
    <w:p>
      <w:pPr>
        <w:ind w:left="1100" w:right="80"/>
        <w:spacing w:after="0" w:line="269" w:lineRule="auto"/>
        <w:rPr>
          <w:rFonts w:ascii="Arial" w:cs="Arial" w:eastAsia="Arial" w:hAnsi="Arial"/>
          <w:sz w:val="18"/>
          <w:szCs w:val="18"/>
          <w:color w:val="auto"/>
        </w:rPr>
      </w:pPr>
      <w:r>
        <w:rPr>
          <w:rFonts w:ascii="Arial" w:cs="Arial" w:eastAsia="Arial" w:hAnsi="Arial"/>
          <w:sz w:val="17"/>
          <w:szCs w:val="17"/>
          <w:color w:val="auto"/>
        </w:rPr>
        <w:t>Basic and diluted net (loss) income attributable to Studio City International Holdings Limited per Class A ordinary share does not include Class B ordinary share as such share do not participate in the (loss) income of Studio City International. As a result, Class B ordinary shares are not considered participating securities and are not included in the weighted average number of shares outstanding for purposes of computing net (loss) income attributable to Studio City International Holdings Limited per share. For the calculation of net loss attributable to Studio City International Holdings Limited per Class A ordinary share for the year ended December 31, 2018 for which a portion of the period preceded the Offering, Studio City International has retrospectively presented net loss attributable to Studio City International Holdings Limited per Class A ordinary share and the share capital as if the Organizational Transactions had occurred at the beginning of 2018. Such retrospective presentation reflects the redesignation of the then issued 18,127.94 ordinary shares of $1 par value each into 181,279,400 Class A ordinary shares of $0.0001 par value each. The retrospective presentation does not include the exchange of 72,511,760 Class A ordinary shares into 72,511,760 Class B ordinary shares of $0.0001 par value each and the issuance of 115,000,000 Class A ordinary shares in the Offering.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86"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2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Net (Loss) Income Attributable to Studio City International Holdings Limited Per Class A Ordinary Share </w:t>
      </w:r>
      <w:r>
        <w:rPr>
          <w:rFonts w:ascii="Arial" w:cs="Arial" w:eastAsia="Arial" w:hAnsi="Arial"/>
          <w:sz w:val="18"/>
          <w:szCs w:val="18"/>
          <w:color w:val="auto"/>
        </w:rPr>
        <w:t>- continued</w:t>
      </w:r>
    </w:p>
    <w:p>
      <w:pPr>
        <w:spacing w:after="0" w:line="116" w:lineRule="exact"/>
        <w:rPr>
          <w:rFonts w:ascii="Arial" w:cs="Arial" w:eastAsia="Arial" w:hAnsi="Arial"/>
          <w:sz w:val="18"/>
          <w:szCs w:val="18"/>
          <w:color w:val="auto"/>
        </w:rPr>
      </w:pPr>
    </w:p>
    <w:p>
      <w:pPr>
        <w:ind w:left="1100" w:right="420"/>
        <w:spacing w:after="0" w:line="277" w:lineRule="auto"/>
        <w:rPr>
          <w:rFonts w:ascii="Arial" w:cs="Arial" w:eastAsia="Arial" w:hAnsi="Arial"/>
          <w:sz w:val="18"/>
          <w:szCs w:val="18"/>
          <w:color w:val="auto"/>
        </w:rPr>
      </w:pPr>
      <w:r>
        <w:rPr>
          <w:rFonts w:ascii="Arial" w:cs="Arial" w:eastAsia="Arial" w:hAnsi="Arial"/>
          <w:sz w:val="18"/>
          <w:szCs w:val="18"/>
          <w:color w:val="auto"/>
        </w:rPr>
        <w:t>The weighted average number of Class A ordinary shares used in the calculation of basic and diluted net (loss) income attributable to Studio City International Holdings Limited per Class A ordinary share consisted of the following:</w:t>
      </w:r>
    </w:p>
    <w:p>
      <w:pPr>
        <w:spacing w:after="0" w:line="211"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420" w:type="dxa"/>
            <w:vAlign w:val="bottom"/>
            <w:gridSpan w:val="6"/>
          </w:tcPr>
          <w:p>
            <w:pPr>
              <w:ind w:left="72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18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2019</w:t>
            </w:r>
          </w:p>
        </w:tc>
        <w:tc>
          <w:tcPr>
            <w:tcW w:w="118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Weighted average number of Class A ordinary shares outstanding used in</w:t>
            </w: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calculation of basic net (loss) income attributable to Studio City</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Holdings Limited per Class A ordinary share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294,837,092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241,818,016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191,533,455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8"/>
              </w:rPr>
              <w:t>Incremental weighted average number of Class A ordinary shares from</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2"/>
              </w:rPr>
              <w:t>assumed exchange of Class B ordinary shares to Class A ordinary shares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under the if-converted method</w:t>
            </w:r>
          </w:p>
        </w:tc>
        <w:tc>
          <w:tcPr>
            <w:tcW w:w="1000" w:type="dxa"/>
            <w:vAlign w:val="bottom"/>
          </w:tcPr>
          <w:p>
            <w:pPr>
              <w:jc w:val="right"/>
              <w:spacing w:after="0"/>
              <w:rPr>
                <w:sz w:val="20"/>
                <w:szCs w:val="20"/>
                <w:color w:val="auto"/>
              </w:rPr>
            </w:pPr>
            <w:r>
              <w:rPr>
                <w:rFonts w:ascii="Arial" w:cs="Arial" w:eastAsia="Arial" w:hAnsi="Arial"/>
                <w:sz w:val="18"/>
                <w:szCs w:val="18"/>
                <w:color w:val="auto"/>
              </w:rPr>
              <w:t>72,511,760</w:t>
            </w:r>
          </w:p>
        </w:tc>
        <w:tc>
          <w:tcPr>
            <w:tcW w:w="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number of Class A ordinary shares outstanding used in</w:t>
            </w: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calculation of diluted net (loss) income attributable to Studio City</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Holdings Limited per Class A ordinary share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367,348,852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241,818,016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191,533,455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Anti-dilutive Class A ordinary shares under the if-converted method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5"/>
              </w:rPr>
              <w:t>excluded from the calculation of diluted net (loss) income attributable to</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9"/>
              </w:rPr>
              <w:t>Studio City International Holdings Limited per Class A ordinary share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72,511,760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14,303,690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100" w:right="6780" w:hanging="552"/>
        <w:spacing w:after="0" w:line="425" w:lineRule="auto"/>
        <w:tabs>
          <w:tab w:leader="none" w:pos="1081"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 xml:space="preserve">Recent Changes in Accounting Standards </w:t>
      </w:r>
      <w:r>
        <w:rPr>
          <w:rFonts w:ascii="Arial" w:cs="Arial" w:eastAsia="Arial" w:hAnsi="Arial"/>
          <w:sz w:val="16"/>
          <w:szCs w:val="16"/>
          <w:i w:val="1"/>
          <w:iCs w:val="1"/>
          <w:color w:val="auto"/>
        </w:rPr>
        <w:t>Newly Adopted Accounting Pronouncements</w:t>
      </w:r>
    </w:p>
    <w:p>
      <w:pPr>
        <w:ind w:left="1100" w:right="20"/>
        <w:spacing w:after="0" w:line="275" w:lineRule="auto"/>
        <w:rPr>
          <w:rFonts w:ascii="Arial" w:cs="Arial" w:eastAsia="Arial" w:hAnsi="Arial"/>
          <w:sz w:val="16"/>
          <w:szCs w:val="16"/>
          <w:color w:val="auto"/>
        </w:rPr>
      </w:pPr>
      <w:r>
        <w:rPr>
          <w:rFonts w:ascii="Arial" w:cs="Arial" w:eastAsia="Arial" w:hAnsi="Arial"/>
          <w:sz w:val="17"/>
          <w:szCs w:val="17"/>
          <w:color w:val="auto"/>
        </w:rPr>
        <w:t>In June 2016, the FASB issued an accounting standards update which replaces the incurred loss impairment methodology in current U.S. GAAP with a methodology that reflects expected credit losses and requires consideration of a broader range of reasonable and supportable information to inform credit loss estimates. The guidance is applied using a modified retrospective approach through a cumulative-effect adjustment to retained earnings as of the effective date. The Company adopted this new guidance on January 1, 2020 and this adoption did not have a material impact on its consolidated financial statements.</w:t>
      </w:r>
    </w:p>
    <w:p>
      <w:pPr>
        <w:spacing w:after="0" w:line="68" w:lineRule="exact"/>
        <w:rPr>
          <w:rFonts w:ascii="Arial" w:cs="Arial" w:eastAsia="Arial" w:hAnsi="Arial"/>
          <w:sz w:val="16"/>
          <w:szCs w:val="16"/>
          <w:color w:val="auto"/>
        </w:rPr>
      </w:pPr>
    </w:p>
    <w:p>
      <w:pPr>
        <w:ind w:left="1100"/>
        <w:spacing w:after="0" w:line="255" w:lineRule="auto"/>
        <w:rPr>
          <w:rFonts w:ascii="Arial" w:cs="Arial" w:eastAsia="Arial" w:hAnsi="Arial"/>
          <w:sz w:val="16"/>
          <w:szCs w:val="16"/>
          <w:color w:val="auto"/>
        </w:rPr>
      </w:pPr>
      <w:r>
        <w:rPr>
          <w:rFonts w:ascii="Arial" w:cs="Arial" w:eastAsia="Arial" w:hAnsi="Arial"/>
          <w:sz w:val="18"/>
          <w:szCs w:val="18"/>
          <w:color w:val="auto"/>
        </w:rPr>
        <w:t>In August 2018, the FASB issued an accounting standards update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new guidance. The guidance is applied prospectively. The Company adopted this new guidance on January 1, 2020 and this adoption did not have a material impact on its consolidated financial statements.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86"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100" w:right="5880" w:hanging="552"/>
        <w:spacing w:after="0" w:line="425" w:lineRule="auto"/>
        <w:tabs>
          <w:tab w:leader="none" w:pos="1081" w:val="left"/>
        </w:tabs>
        <w:numPr>
          <w:ilvl w:val="1"/>
          <w:numId w:val="110"/>
        </w:numPr>
        <w:rPr>
          <w:rFonts w:ascii="Arial" w:cs="Arial" w:eastAsia="Arial" w:hAnsi="Arial"/>
          <w:sz w:val="16"/>
          <w:szCs w:val="16"/>
          <w:color w:val="auto"/>
        </w:rPr>
      </w:pPr>
      <w:r>
        <w:rPr>
          <w:rFonts w:ascii="Arial" w:cs="Arial" w:eastAsia="Arial" w:hAnsi="Arial"/>
          <w:sz w:val="16"/>
          <w:szCs w:val="16"/>
          <w:b w:val="1"/>
          <w:bCs w:val="1"/>
          <w:color w:val="auto"/>
        </w:rPr>
        <w:t xml:space="preserve">Recent Changes in Accounting Standards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Recent Accounting Pronouncement Not Yet Adopted</w:t>
      </w:r>
    </w:p>
    <w:p>
      <w:pPr>
        <w:ind w:left="1100"/>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In December 2019, the FASB issued an accounting standards update which simplifies the accounting for income taxes by eliminating certain exceptions to the guidance in Accounting Standards Codification 740, </w:t>
      </w:r>
      <w:r>
        <w:rPr>
          <w:rFonts w:ascii="Arial" w:cs="Arial" w:eastAsia="Arial" w:hAnsi="Arial"/>
          <w:sz w:val="16"/>
          <w:szCs w:val="16"/>
          <w:i w:val="1"/>
          <w:iCs w:val="1"/>
          <w:color w:val="auto"/>
        </w:rPr>
        <w:t>Income Taxes</w:t>
      </w:r>
      <w:r>
        <w:rPr>
          <w:rFonts w:ascii="Arial" w:cs="Arial" w:eastAsia="Arial" w:hAnsi="Arial"/>
          <w:sz w:val="16"/>
          <w:szCs w:val="16"/>
          <w:color w:val="auto"/>
        </w:rPr>
        <w:t>, in order to reduce cost and complexity of its application. This guidance is effective for interim and fiscal years beginning after December 15, 2020, with early adoption permitted. The Company is currently evaluating the impact of the adoption of this guidance on its consolidated financial statements.</w:t>
      </w:r>
    </w:p>
    <w:p>
      <w:pPr>
        <w:spacing w:after="0" w:line="301" w:lineRule="exact"/>
        <w:rPr>
          <w:rFonts w:ascii="Arial" w:cs="Arial" w:eastAsia="Arial" w:hAnsi="Arial"/>
          <w:sz w:val="16"/>
          <w:szCs w:val="16"/>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RESTRICTED CASH</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Cash, cash equivalents and restricted cash reported within the accompanying consolidated statements of cash flows consisted of the following:</w:t>
      </w:r>
    </w:p>
    <w:p>
      <w:pPr>
        <w:spacing w:after="0" w:line="27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p>
        </w:tc>
        <w:tc>
          <w:tcPr>
            <w:tcW w:w="208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r>
      <w:tr>
        <w:trPr>
          <w:trHeight w:val="223"/>
        </w:trPr>
        <w:tc>
          <w:tcPr>
            <w:tcW w:w="804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CCEEFF"/>
            </w:tcBorders>
          </w:tcPr>
          <w:p>
            <w:pPr>
              <w:spacing w:after="0"/>
              <w:rPr>
                <w:sz w:val="19"/>
                <w:szCs w:val="19"/>
                <w:color w:val="auto"/>
              </w:rPr>
            </w:pPr>
          </w:p>
        </w:tc>
      </w:tr>
      <w:tr>
        <w:trPr>
          <w:trHeight w:val="209"/>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$575,215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$299,367</w:t>
            </w:r>
          </w:p>
        </w:tc>
        <w:tc>
          <w:tcPr>
            <w:tcW w:w="4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Current portion of restricted cash</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27,735</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restricted cash</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575,359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327,232</w:t>
            </w:r>
          </w:p>
        </w:tc>
        <w:tc>
          <w:tcPr>
            <w:tcW w:w="4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Components of accounts receivable, net are as follows:</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right"/>
              <w:ind w:right="5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90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Hotel</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900"/>
              <w:spacing w:after="0"/>
              <w:rPr>
                <w:sz w:val="20"/>
                <w:szCs w:val="20"/>
                <w:color w:val="auto"/>
              </w:rPr>
            </w:pPr>
            <w:r>
              <w:rPr>
                <w:rFonts w:ascii="Arial" w:cs="Arial" w:eastAsia="Arial" w:hAnsi="Arial"/>
                <w:sz w:val="18"/>
                <w:szCs w:val="18"/>
                <w:color w:val="auto"/>
                <w:w w:val="84"/>
              </w:rPr>
              <w:t>1,027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4"/>
              </w:rPr>
              <w:t>1,133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Less: allowances for credit losses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(976)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157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left="820" w:right="60"/>
        <w:spacing w:after="0" w:line="449" w:lineRule="auto"/>
        <w:rPr>
          <w:sz w:val="20"/>
          <w:szCs w:val="20"/>
          <w:color w:val="auto"/>
        </w:rPr>
      </w:pPr>
      <w:r>
        <w:rPr>
          <w:rFonts w:ascii="Arial" w:cs="Arial" w:eastAsia="Arial" w:hAnsi="Arial"/>
          <w:sz w:val="18"/>
          <w:szCs w:val="18"/>
          <w:color w:val="auto"/>
        </w:rPr>
        <w:t>The Company’s allowances for credit losses as of December 31, 2020 and 2019 were primarily related to receivables for entertainment business. F-26</w:t>
      </w:r>
    </w:p>
    <w:p>
      <w:pPr>
        <w:sectPr>
          <w:pgSz w:w="11900" w:h="16838" w:orient="portrait"/>
          <w:cols w:equalWidth="0" w:num="1">
            <w:col w:w="11020"/>
          </w:cols>
          <w:pgMar w:left="320" w:top="486" w:right="5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60" w:right="6220" w:hanging="444"/>
        <w:spacing w:after="0" w:line="462" w:lineRule="auto"/>
        <w:tabs>
          <w:tab w:leader="none" w:pos="552"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w:t>
      </w:r>
      <w:r>
        <w:rPr>
          <w:rFonts w:ascii="Arial" w:cs="Arial" w:eastAsia="Arial" w:hAnsi="Arial"/>
          <w:sz w:val="17"/>
          <w:szCs w:val="17"/>
          <w:color w:val="auto"/>
        </w:rPr>
        <w:t>Movement in the allowances for credit losses are as follows:</w:t>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9"/>
          </w:tcPr>
          <w:p>
            <w:pPr>
              <w:jc w:val="right"/>
              <w:ind w:right="640"/>
              <w:spacing w:after="0"/>
              <w:rPr>
                <w:sz w:val="20"/>
                <w:szCs w:val="20"/>
                <w:color w:val="auto"/>
              </w:rPr>
            </w:pPr>
            <w:r>
              <w:rPr>
                <w:rFonts w:ascii="Arial" w:cs="Arial" w:eastAsia="Arial" w:hAnsi="Arial"/>
                <w:sz w:val="18"/>
                <w:szCs w:val="18"/>
                <w:color w:val="auto"/>
                <w:w w:val="91"/>
              </w:rPr>
              <w:t>Year Ended December 31,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2020</w:t>
            </w: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2019</w:t>
            </w:r>
          </w:p>
        </w:tc>
        <w:tc>
          <w:tcPr>
            <w:tcW w:w="4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$965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$960</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60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965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72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72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gridSpan w:val="7"/>
          </w:tcPr>
          <w:p>
            <w:pPr>
              <w:ind w:left="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Buildings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$2,328,832</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2,320,265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fixtures and equipment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196,428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199,098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126,538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109,834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Motor vehicles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2,615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256,225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80,732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2,910,638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2,712,531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8"/>
                <w:szCs w:val="18"/>
                <w:color w:val="auto"/>
              </w:rPr>
              <w:t>(729,741)</w:t>
            </w:r>
          </w:p>
        </w:tc>
        <w:tc>
          <w:tcPr>
            <w:tcW w:w="1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(605,074)</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2,180,897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2,107,457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342" w:lineRule="auto"/>
        <w:rPr>
          <w:sz w:val="20"/>
          <w:szCs w:val="20"/>
          <w:color w:val="auto"/>
        </w:rPr>
      </w:pPr>
      <w:r>
        <w:rPr>
          <w:rFonts w:ascii="Arial" w:cs="Arial" w:eastAsia="Arial" w:hAnsi="Arial"/>
          <w:sz w:val="16"/>
          <w:szCs w:val="16"/>
          <w:color w:val="auto"/>
        </w:rPr>
        <w:t>As of December 31, 2020 and 2019, construction in progress, in relation to Studio City, included interest capitalized in accordance with applicable accounting standards and other direct incidental costs capitalized which, in the aggregate, amounted to $32,497 and $11,676, respectively.</w:t>
      </w:r>
    </w:p>
    <w:p>
      <w:pPr>
        <w:spacing w:after="0" w:line="268"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2020, intangible assets comprised the carrying amounts of internal-use software, finite-lived intangible assets, of $4,005.</w:t>
      </w:r>
    </w:p>
    <w:p>
      <w:pPr>
        <w:spacing w:after="0" w:line="140" w:lineRule="exact"/>
        <w:rPr>
          <w:rFonts w:ascii="Arial" w:cs="Arial" w:eastAsia="Arial" w:hAnsi="Arial"/>
          <w:sz w:val="18"/>
          <w:szCs w:val="18"/>
          <w:b w:val="1"/>
          <w:bCs w:val="1"/>
          <w:color w:val="auto"/>
        </w:rPr>
      </w:pPr>
    </w:p>
    <w:p>
      <w:pPr>
        <w:ind w:left="56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cost and the accumulated amortization of internal-use software amounted to $4,038 and $33 as of December 31, 2020. The amortization expenses of internal-use software recognized for the year ended December 31, 2020 were $33.</w:t>
      </w:r>
    </w:p>
    <w:p>
      <w:pPr>
        <w:spacing w:after="0" w:line="6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2020, the estimated future amortization expenses of internal-use software are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1,346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2022</w:t>
            </w:r>
          </w:p>
        </w:tc>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1,346</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1,313</w:t>
            </w:r>
          </w:p>
        </w:tc>
      </w:tr>
      <w:tr>
        <w:trPr>
          <w:trHeight w:val="223"/>
        </w:trPr>
        <w:tc>
          <w:tcPr>
            <w:tcW w:w="340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4,005</w:t>
            </w:r>
          </w:p>
        </w:tc>
        <w:tc>
          <w:tcPr>
            <w:tcW w:w="4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400" w:type="dxa"/>
            <w:vAlign w:val="bottom"/>
          </w:tcPr>
          <w:p>
            <w:pPr>
              <w:spacing w:after="0"/>
              <w:rPr>
                <w:sz w:val="24"/>
                <w:szCs w:val="24"/>
                <w:color w:val="auto"/>
              </w:rPr>
            </w:pPr>
          </w:p>
        </w:tc>
        <w:tc>
          <w:tcPr>
            <w:tcW w:w="6220" w:type="dxa"/>
            <w:vAlign w:val="bottom"/>
            <w:gridSpan w:val="2"/>
          </w:tcPr>
          <w:p>
            <w:pPr>
              <w:jc w:val="right"/>
              <w:ind w:right="4307"/>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60" w:right="4600" w:hanging="444"/>
        <w:spacing w:after="0" w:line="488" w:lineRule="auto"/>
        <w:tabs>
          <w:tab w:leader="none" w:pos="552"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PREPAYMENTS, DEPOSITS AND OTHER ASSETS </w:t>
      </w:r>
      <w:r>
        <w:rPr>
          <w:rFonts w:ascii="Arial" w:cs="Arial" w:eastAsia="Arial" w:hAnsi="Arial"/>
          <w:sz w:val="16"/>
          <w:szCs w:val="16"/>
          <w:color w:val="auto"/>
        </w:rPr>
        <w:t>Long-term prepayments, deposits and other assets consisted of the following:</w:t>
      </w:r>
    </w:p>
    <w:p>
      <w:pPr>
        <w:spacing w:after="0" w:line="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2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6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$ 106,268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103,699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3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(80,170)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(67,845)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Long-term prepayments</w:t>
            </w:r>
          </w:p>
        </w:tc>
        <w:tc>
          <w:tcPr>
            <w:tcW w:w="2620" w:type="dxa"/>
            <w:vAlign w:val="bottom"/>
            <w:gridSpan w:val="3"/>
          </w:tcPr>
          <w:p>
            <w:pPr>
              <w:jc w:val="right"/>
              <w:ind w:right="600"/>
              <w:spacing w:after="0"/>
              <w:rPr>
                <w:sz w:val="20"/>
                <w:szCs w:val="20"/>
                <w:color w:val="auto"/>
              </w:rPr>
            </w:pPr>
            <w:r>
              <w:rPr>
                <w:rFonts w:ascii="Arial" w:cs="Arial" w:eastAsia="Arial" w:hAnsi="Arial"/>
                <w:sz w:val="18"/>
                <w:szCs w:val="18"/>
                <w:color w:val="auto"/>
              </w:rPr>
              <w:t>48,469</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and deposits for acquisition of property and equipment</w:t>
            </w:r>
          </w:p>
        </w:tc>
        <w:tc>
          <w:tcPr>
            <w:tcW w:w="2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30,928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deposits and other</w:t>
            </w:r>
          </w:p>
        </w:tc>
        <w:tc>
          <w:tcPr>
            <w:tcW w:w="2620" w:type="dxa"/>
            <w:vAlign w:val="bottom"/>
            <w:gridSpan w:val="3"/>
          </w:tcPr>
          <w:p>
            <w:pPr>
              <w:jc w:val="right"/>
              <w:ind w:right="600"/>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2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long-term receivables</w:t>
            </w:r>
          </w:p>
        </w:tc>
        <w:tc>
          <w:tcPr>
            <w:tcW w:w="13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prepayments, deposits and other assets</w:t>
            </w:r>
          </w:p>
        </w:tc>
        <w:tc>
          <w:tcPr>
            <w:tcW w:w="2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$ 117,555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During the year ended December 31, 2020, the Company has made additional provision for credit losses, primarily related to other long-term receivables for mall operations, of $903 which was written off during the year ended December 31, 2020.</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8.   LAND USE RIGHT, NET</w:t>
            </w:r>
          </w:p>
        </w:tc>
        <w:tc>
          <w:tcPr>
            <w:tcW w:w="2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20" w:type="dxa"/>
            <w:vAlign w:val="bottom"/>
            <w:gridSpan w:val="4"/>
          </w:tcPr>
          <w:p>
            <w:pPr>
              <w:jc w:val="right"/>
              <w:ind w:right="6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600" w:type="dxa"/>
            <w:vAlign w:val="bottom"/>
            <w:tcBorders>
              <w:top w:val="single" w:sz="8" w:color="auto"/>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$ 179,091</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$ 178,258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8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(62,982)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(59,370)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4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$ 116,109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$ 118,888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5"/>
          </w:tcPr>
          <w:p>
            <w:pPr>
              <w:ind w:left="360"/>
              <w:spacing w:after="0"/>
              <w:rPr>
                <w:sz w:val="20"/>
                <w:szCs w:val="20"/>
                <w:color w:val="auto"/>
              </w:rPr>
            </w:pPr>
            <w:r>
              <w:rPr>
                <w:rFonts w:ascii="Arial" w:cs="Arial" w:eastAsia="Arial" w:hAnsi="Arial"/>
                <w:sz w:val="18"/>
                <w:szCs w:val="18"/>
                <w:color w:val="auto"/>
              </w:rPr>
              <w:t>December 31,</w:t>
            </w:r>
          </w:p>
        </w:tc>
      </w:tr>
      <w:tr>
        <w:trPr>
          <w:trHeight w:val="223"/>
        </w:trPr>
        <w:tc>
          <w:tcPr>
            <w:tcW w:w="4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2020</w:t>
            </w: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9"/>
                <w:szCs w:val="19"/>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payables</w:t>
            </w:r>
          </w:p>
        </w:tc>
        <w:tc>
          <w:tcPr>
            <w:tcW w:w="3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49,161</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$25,386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expenses payable</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45,737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22,053</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 and other accruals and liabilities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20,650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30,273</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Advance customer deposits and ticket sales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2,403</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3,946</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r>
      <w:tr>
        <w:trPr>
          <w:trHeight w:val="223"/>
        </w:trPr>
        <w:tc>
          <w:tcPr>
            <w:tcW w:w="4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118,946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82,553</w:t>
            </w:r>
          </w:p>
        </w:tc>
        <w:tc>
          <w:tcPr>
            <w:tcW w:w="4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3940" w:type="dxa"/>
            <w:vAlign w:val="bottom"/>
            <w:gridSpan w:val="2"/>
          </w:tcPr>
          <w:p>
            <w:pPr>
              <w:jc w:val="right"/>
              <w:ind w:right="2910"/>
              <w:spacing w:after="0"/>
              <w:rPr>
                <w:sz w:val="20"/>
                <w:szCs w:val="20"/>
                <w:color w:val="auto"/>
              </w:rPr>
            </w:pPr>
            <w:r>
              <w:rPr>
                <w:rFonts w:ascii="Arial" w:cs="Arial" w:eastAsia="Arial" w:hAnsi="Arial"/>
                <w:sz w:val="18"/>
                <w:szCs w:val="18"/>
                <w:color w:val="auto"/>
              </w:rPr>
              <w:t>F-28</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20"/>
          </w:cols>
          <w:pgMar w:left="320" w:top="486" w:right="8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NET</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Long-term debt, net consisted of the following:</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7"/>
          </w:tcPr>
          <w:p>
            <w:pPr>
              <w:ind w:left="360"/>
              <w:spacing w:after="0"/>
              <w:rPr>
                <w:sz w:val="20"/>
                <w:szCs w:val="20"/>
                <w:color w:val="auto"/>
              </w:rPr>
            </w:pPr>
            <w:r>
              <w:rPr>
                <w:rFonts w:ascii="Arial" w:cs="Arial" w:eastAsia="Arial" w:hAnsi="Arial"/>
                <w:sz w:val="18"/>
                <w:szCs w:val="18"/>
                <w:color w:val="auto"/>
              </w:rPr>
              <w:t>December 31,</w:t>
            </w:r>
          </w:p>
        </w:tc>
      </w:tr>
      <w:tr>
        <w:trPr>
          <w:trHeight w:val="223"/>
        </w:trPr>
        <w:tc>
          <w:tcPr>
            <w:tcW w:w="3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CEEFF"/>
            </w:tcBorders>
          </w:tcPr>
          <w:p>
            <w:pPr>
              <w:spacing w:after="0"/>
              <w:rPr>
                <w:sz w:val="19"/>
                <w:szCs w:val="19"/>
                <w:color w:val="auto"/>
              </w:rPr>
            </w:pPr>
          </w:p>
        </w:tc>
      </w:tr>
      <w:tr>
        <w:trPr>
          <w:trHeight w:val="196"/>
        </w:trPr>
        <w:tc>
          <w:tcPr>
            <w:tcW w:w="8100" w:type="dxa"/>
            <w:vAlign w:val="bottom"/>
            <w:gridSpan w:val="3"/>
            <w:shd w:val="clear" w:color="auto" w:fill="CCEEFF"/>
          </w:tcPr>
          <w:p>
            <w:pPr>
              <w:spacing w:after="0" w:line="195" w:lineRule="exact"/>
              <w:rPr>
                <w:sz w:val="20"/>
                <w:szCs w:val="20"/>
                <w:color w:val="auto"/>
              </w:rPr>
            </w:pPr>
            <w:r>
              <w:rPr>
                <w:rFonts w:ascii="Arial" w:cs="Arial" w:eastAsia="Arial" w:hAnsi="Arial"/>
                <w:sz w:val="16"/>
                <w:szCs w:val="16"/>
                <w:b w:val="1"/>
                <w:bCs w:val="1"/>
                <w:color w:val="auto"/>
              </w:rPr>
              <w:t>Senior Notes</w:t>
            </w:r>
            <w:r>
              <w:rPr>
                <w:rFonts w:ascii="Arial" w:cs="Arial" w:eastAsia="Arial" w:hAnsi="Arial"/>
                <w:sz w:val="22"/>
                <w:szCs w:val="22"/>
                <w:color w:val="auto"/>
                <w:vertAlign w:val="superscript"/>
              </w:rPr>
              <w: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380" w:type="dxa"/>
            <w:vAlign w:val="bottom"/>
          </w:tcPr>
          <w:p>
            <w:pPr>
              <w:spacing w:after="0" w:line="201" w:lineRule="exact"/>
              <w:rPr>
                <w:sz w:val="20"/>
                <w:szCs w:val="20"/>
                <w:color w:val="auto"/>
              </w:rPr>
            </w:pPr>
            <w:r>
              <w:rPr>
                <w:rFonts w:ascii="Arial" w:cs="Arial" w:eastAsia="Arial" w:hAnsi="Arial"/>
                <w:sz w:val="18"/>
                <w:szCs w:val="18"/>
                <w:color w:val="auto"/>
                <w:w w:val="89"/>
              </w:rPr>
              <w:t>2019</w:t>
            </w:r>
          </w:p>
        </w:tc>
        <w:tc>
          <w:tcPr>
            <w:tcW w:w="600" w:type="dxa"/>
            <w:vAlign w:val="bottom"/>
          </w:tcPr>
          <w:p>
            <w:pPr>
              <w:ind w:left="20"/>
              <w:spacing w:after="0" w:line="201" w:lineRule="exact"/>
              <w:rPr>
                <w:sz w:val="20"/>
                <w:szCs w:val="20"/>
                <w:color w:val="auto"/>
              </w:rPr>
            </w:pPr>
            <w:r>
              <w:rPr>
                <w:rFonts w:ascii="Arial" w:cs="Arial" w:eastAsia="Arial" w:hAnsi="Arial"/>
                <w:sz w:val="18"/>
                <w:szCs w:val="18"/>
                <w:color w:val="auto"/>
                <w:w w:val="91"/>
              </w:rPr>
              <w:t>7.250%</w:t>
            </w:r>
          </w:p>
        </w:tc>
        <w:tc>
          <w:tcPr>
            <w:tcW w:w="7120" w:type="dxa"/>
            <w:vAlign w:val="bottom"/>
          </w:tcPr>
          <w:p>
            <w:pPr>
              <w:ind w:left="20"/>
              <w:spacing w:after="0" w:line="201" w:lineRule="exact"/>
              <w:rPr>
                <w:sz w:val="20"/>
                <w:szCs w:val="20"/>
                <w:color w:val="auto"/>
              </w:rPr>
            </w:pPr>
            <w:r>
              <w:rPr>
                <w:rFonts w:ascii="Arial" w:cs="Arial" w:eastAsia="Arial" w:hAnsi="Arial"/>
                <w:sz w:val="18"/>
                <w:szCs w:val="18"/>
                <w:color w:val="auto"/>
              </w:rPr>
              <w:t>Studio City Notes, due 2024 (net of unamortized deferred financing costs of $6,165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8100" w:type="dxa"/>
            <w:vAlign w:val="bottom"/>
            <w:gridSpan w:val="3"/>
          </w:tcPr>
          <w:p>
            <w:pPr>
              <w:ind w:left="180"/>
              <w:spacing w:after="0"/>
              <w:rPr>
                <w:sz w:val="20"/>
                <w:szCs w:val="20"/>
                <w:color w:val="auto"/>
              </w:rPr>
            </w:pPr>
            <w:r>
              <w:rPr>
                <w:rFonts w:ascii="Arial" w:cs="Arial" w:eastAsia="Arial" w:hAnsi="Arial"/>
                <w:sz w:val="18"/>
                <w:szCs w:val="18"/>
                <w:color w:val="auto"/>
              </w:rPr>
              <w:t>$7,829, respectively)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593,835</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592,171</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2020</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6.000%</w:t>
            </w:r>
          </w:p>
        </w:tc>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 Notes, due 2025 (net of unamortized deferred financing costs of $4,566)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495,434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2020</w:t>
            </w:r>
          </w:p>
        </w:tc>
        <w:tc>
          <w:tcPr>
            <w:tcW w:w="600" w:type="dxa"/>
            <w:vAlign w:val="bottom"/>
          </w:tcPr>
          <w:p>
            <w:pPr>
              <w:ind w:left="20"/>
              <w:spacing w:after="0"/>
              <w:rPr>
                <w:sz w:val="20"/>
                <w:szCs w:val="20"/>
                <w:color w:val="auto"/>
              </w:rPr>
            </w:pPr>
            <w:r>
              <w:rPr>
                <w:rFonts w:ascii="Arial" w:cs="Arial" w:eastAsia="Arial" w:hAnsi="Arial"/>
                <w:sz w:val="18"/>
                <w:szCs w:val="18"/>
                <w:color w:val="auto"/>
                <w:w w:val="91"/>
              </w:rPr>
              <w:t>6.500%</w:t>
            </w:r>
          </w:p>
        </w:tc>
        <w:tc>
          <w:tcPr>
            <w:tcW w:w="7120" w:type="dxa"/>
            <w:vAlign w:val="bottom"/>
          </w:tcPr>
          <w:p>
            <w:pPr>
              <w:ind w:left="20"/>
              <w:spacing w:after="0"/>
              <w:rPr>
                <w:sz w:val="20"/>
                <w:szCs w:val="20"/>
                <w:color w:val="auto"/>
              </w:rPr>
            </w:pPr>
            <w:r>
              <w:rPr>
                <w:rFonts w:ascii="Arial" w:cs="Arial" w:eastAsia="Arial" w:hAnsi="Arial"/>
                <w:sz w:val="18"/>
                <w:szCs w:val="18"/>
                <w:color w:val="auto"/>
              </w:rPr>
              <w:t>SC Notes, due 2028 (net of unamortized deferred financing costs of $4,738)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495,262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7.250%</w:t>
            </w:r>
          </w:p>
        </w:tc>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 Secured Notes, due 2021 (net of unamortized deferred financing costs of $7,211)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842,789</w:t>
            </w:r>
          </w:p>
        </w:tc>
      </w:tr>
      <w:tr>
        <w:trPr>
          <w:trHeight w:val="324"/>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Credit Facilities</w:t>
            </w:r>
            <w:r>
              <w:rPr>
                <w:rFonts w:ascii="Arial" w:cs="Arial" w:eastAsia="Arial" w:hAnsi="Arial"/>
                <w:sz w:val="25"/>
                <w:szCs w:val="25"/>
                <w:color w:val="auto"/>
                <w:vertAlign w:val="superscript"/>
              </w:rPr>
              <w:t>(b)</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77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Studio City Credit Facilities</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23"/>
        </w:trPr>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1,584,660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1,435,088</w:t>
            </w:r>
          </w:p>
        </w:tc>
        <w:tc>
          <w:tcPr>
            <w:tcW w:w="6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Note</w:t>
      </w:r>
    </w:p>
    <w:p>
      <w:pPr>
        <w:spacing w:after="0" w:line="22" w:lineRule="exact"/>
        <w:rPr>
          <w:sz w:val="20"/>
          <w:szCs w:val="20"/>
          <w:color w:val="auto"/>
        </w:rPr>
      </w:pPr>
    </w:p>
    <w:p>
      <w:pPr>
        <w:ind w:left="980" w:right="260" w:hanging="432"/>
        <w:spacing w:after="0" w:line="276" w:lineRule="auto"/>
        <w:tabs>
          <w:tab w:leader="none" w:pos="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As of December 31, 2020 and 2019, the unamortized deferred financing costs related to the 2016 SC Revolving Credit Facility of the 2016 Studio City Credit Facilities of $440 and $885 are included in long-term prepayments, deposits and other assets in the accompanying consolidated balance sheets, respectively.</w:t>
      </w:r>
    </w:p>
    <w:p>
      <w:pPr>
        <w:spacing w:after="0" w:line="325"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2019 7.250% Studio City Notes</w:t>
      </w:r>
    </w:p>
    <w:p>
      <w:pPr>
        <w:spacing w:after="0" w:line="117"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On February 11, 2019, Studio City Finance Limited (“Studio City Finance”), a subsidiary of Studio City International, issued $600,000 in aggregate principal amount of 7.250% senior notes which would have been due on February 11, 2024 at an issue price of 100% of the principal amount (the “2019 7.250% Studio City Notes”). The interest on the 2019 7.250% Studio City Notes was accrued at a rate of 7.250% per annum, payable semi-annually in arrears on February 11 and August 11 of each year, and commenced on August 11, 2019. The 2019 7.250% Studio City Notes were general obligations of Studio City Finance, ranked equally in right of payment to all existing and future senior indebtedness of Studio City Finance, ranked senior in right of payment to any existing and future subordinated indebtedness of Studio City Finance and were effectively subordinated to all of Studio City Finance’s existing and future secured indebtedness to the extent of the value of the property and assets securing such indebtedness.</w:t>
      </w:r>
    </w:p>
    <w:p>
      <w:pPr>
        <w:spacing w:after="0" w:line="70"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color w:val="auto"/>
        </w:rPr>
        <w:t>The net proceeds from the offering of the 2019 7.250% Studio City Notes were used to partially fund the conditional tender offer and the remaining outstanding balance with accrued interest of the previous senior notes of Studio City Finance in March 2019 and with the remaining amount used for general corporate purposes.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20"/>
          </w:cols>
          <w:pgMar w:left="320" w:top="486" w:right="5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2019 7.250% Studio City Notes </w:t>
      </w:r>
      <w:r>
        <w:rPr>
          <w:rFonts w:ascii="Arial" w:cs="Arial" w:eastAsia="Arial" w:hAnsi="Arial"/>
          <w:sz w:val="18"/>
          <w:szCs w:val="18"/>
          <w:color w:val="auto"/>
        </w:rPr>
        <w:t>- continued</w:t>
      </w:r>
    </w:p>
    <w:p>
      <w:pPr>
        <w:spacing w:after="0" w:line="131" w:lineRule="exact"/>
        <w:rPr>
          <w:sz w:val="20"/>
          <w:szCs w:val="20"/>
          <w:color w:val="auto"/>
        </w:rPr>
      </w:pPr>
    </w:p>
    <w:p>
      <w:pPr>
        <w:ind w:left="560"/>
        <w:spacing w:after="0" w:line="342" w:lineRule="auto"/>
        <w:rPr>
          <w:sz w:val="20"/>
          <w:szCs w:val="20"/>
          <w:color w:val="auto"/>
        </w:rPr>
      </w:pPr>
      <w:r>
        <w:rPr>
          <w:rFonts w:ascii="Arial" w:cs="Arial" w:eastAsia="Arial" w:hAnsi="Arial"/>
          <w:sz w:val="16"/>
          <w:szCs w:val="16"/>
          <w:color w:val="auto"/>
        </w:rPr>
        <w:t>As of February 17, 2021, no amount of the 2019 7.250% Studio City Notes remained outstanding following the conditional tender offer in January 2021 as disclosed in Note 21(b) and the redemption of the remaining outstanding amount in February 2021 as disclosed in Note 21(c).</w:t>
      </w:r>
    </w:p>
    <w:p>
      <w:pPr>
        <w:spacing w:after="0" w:line="16" w:lineRule="exact"/>
        <w:rPr>
          <w:sz w:val="20"/>
          <w:szCs w:val="20"/>
          <w:color w:val="auto"/>
        </w:rPr>
      </w:pPr>
    </w:p>
    <w:p>
      <w:pPr>
        <w:ind w:left="560" w:right="320"/>
        <w:spacing w:after="0" w:line="290" w:lineRule="auto"/>
        <w:rPr>
          <w:sz w:val="20"/>
          <w:szCs w:val="20"/>
          <w:color w:val="auto"/>
        </w:rPr>
      </w:pPr>
      <w:r>
        <w:rPr>
          <w:rFonts w:ascii="Arial" w:cs="Arial" w:eastAsia="Arial" w:hAnsi="Arial"/>
          <w:sz w:val="16"/>
          <w:szCs w:val="16"/>
          <w:color w:val="auto"/>
        </w:rPr>
        <w:t>All of the existing subsidiaries of Studio City Finance and any other future restricted subsidiaries that provided guarantees of certain specified indebtedness (including the 2016 Studio City Credit Facilities as described below) (the “2019 7.250% Studio City Notes Guarantors”) jointly, severally and unconditionally guaranteed the 2019 7.250% Studio City Notes on a senior basis (the “2019 7.250% Studio City Notes Guarantees”). The 2019 7.250% Studio City Notes Guarantees were general obligations of the 2019 7.250% Studio City Notes Guarantors, ranked equally in right of payment to all existing and future senior indebtedness of the 2019 7.250% Studio City Notes Guarantors and ranked senior in right of payment to any existing and future subordinated indebtedness of the 2019 7.250% Studio City Notes Guarantors. The 2019 7.250% Studio City Notes Guarantees were effectively subordinated to the 2019 7.250% Studio City Notes Guarantors’ obligations under all existing and any future secured indebtedness to the extent of the value of such property and assets securing such indebtedness.</w:t>
      </w:r>
    </w:p>
    <w:p>
      <w:pPr>
        <w:spacing w:after="0" w:line="57" w:lineRule="exact"/>
        <w:rPr>
          <w:sz w:val="20"/>
          <w:szCs w:val="20"/>
          <w:color w:val="auto"/>
        </w:rPr>
      </w:pPr>
    </w:p>
    <w:p>
      <w:pPr>
        <w:ind w:left="560" w:right="40"/>
        <w:spacing w:after="0" w:line="270" w:lineRule="auto"/>
        <w:rPr>
          <w:sz w:val="20"/>
          <w:szCs w:val="20"/>
          <w:color w:val="auto"/>
        </w:rPr>
      </w:pPr>
      <w:r>
        <w:rPr>
          <w:rFonts w:ascii="Arial" w:cs="Arial" w:eastAsia="Arial" w:hAnsi="Arial"/>
          <w:sz w:val="17"/>
          <w:szCs w:val="17"/>
          <w:color w:val="auto"/>
        </w:rPr>
        <w:t>At any time prior to February 11, 2021, Studio City Finance had the options i) to redeem all or a portion of the 2019 7.250% Studio City Notes at a “make-whole” redemption price; and ii) to redeem up to 35% of the 2019 7.250% Studio City Notes with the net cash proceeds of certain equity offerings at a fixed redemption price. Thereafter, Studio City Finance had the option to redeem all or a portion of the 2019 7.250% Studio City Notes at any time at fixed redemption prices that decline ratably over time. Further, under certain circumstances and subject to certain exceptions as more fully described in the indenture governing the 2019 7.250% Studio City Notes, Studio City Finance also had the option to redeem in whole, but not in part the 2019 7.250% Studio City Notes at fixed redemption prices. In certain events that related to the gaming subconcession of Melco Resorts Macau and subject to certain exceptions as more fully described in the indenture governing the 2019 7.250% Studio City Notes, each holder of the 2019 7.250% Studio City Notes would have the right to require Studio City Finance to repurchase all or any part of such holder’s 2019 7.250% Studio City Notes at a fixed redemption price.</w:t>
      </w:r>
    </w:p>
    <w:p>
      <w:pPr>
        <w:spacing w:after="0" w:line="73" w:lineRule="exact"/>
        <w:rPr>
          <w:sz w:val="20"/>
          <w:szCs w:val="20"/>
          <w:color w:val="auto"/>
        </w:rPr>
      </w:pPr>
    </w:p>
    <w:p>
      <w:pPr>
        <w:ind w:left="560" w:right="400"/>
        <w:spacing w:after="0" w:line="291" w:lineRule="auto"/>
        <w:rPr>
          <w:sz w:val="20"/>
          <w:szCs w:val="20"/>
          <w:color w:val="auto"/>
        </w:rPr>
      </w:pPr>
      <w:r>
        <w:rPr>
          <w:rFonts w:ascii="Arial" w:cs="Arial" w:eastAsia="Arial" w:hAnsi="Arial"/>
          <w:sz w:val="16"/>
          <w:szCs w:val="16"/>
          <w:color w:val="auto"/>
        </w:rPr>
        <w:t>The indenture governing the 2019 7.250% Studio City Notes contained certain covenants that, subject to certain exceptions and conditions, limited the ability of Studio City Finance and its restricted subsidiaries to, among other things: (i) incur or guarantee additional indebtedness;</w:t>
      </w:r>
    </w:p>
    <w:p>
      <w:pPr>
        <w:ind w:left="560" w:right="200" w:hanging="4"/>
        <w:spacing w:after="0" w:line="253" w:lineRule="auto"/>
        <w:tabs>
          <w:tab w:leader="none" w:pos="82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 The indenture governing the 2019 7.250% Studio City Notes also contained conditions and events of default customary for such financings.</w:t>
      </w:r>
    </w:p>
    <w:p>
      <w:pPr>
        <w:spacing w:after="0" w:line="85"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There were provisions under the indenture governing the 2019 7.250% Studio City Notes that limited or prohibited certain payments of dividends and other distributions by Studio City Finance and its restricted subsidiaries to companies or persons who were not Studio City Finance or restricted subsidiaries of Studio City Finance, subject to certain exceptions and conditions. As of December 31, 2020, the net assets of Studio City Finance and its restricted subsidiaries of approximately $1,288,000 were restricted from being distributed under the terms of the 2019 7.250% Studio City Notes.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86"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2020 Studio City Notes</w:t>
      </w:r>
    </w:p>
    <w:p>
      <w:pPr>
        <w:spacing w:after="0" w:line="117"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On July 15, 2020, Studio City Finance issued $500,000 in aggregate principal amount of 6.000% senior notes due July 15, 2025 at an issue price of 100% of the principal amount (the “2020 6.000% SC Notes”) and $500,000 in aggregate principal amount of 6.500% senior notes due January 15, 2028 at an issue price of 100% of the principal amount (the “2020 6.500% SC Notes” and together with 2020 6.000% SC Notes, the “2020 Studio City Notes”). The interest on the 2020 6.000% SC Notes and 2020 6.500% SC Notes is accrued at a rate of 6.000% and 6.500% per annum, respectively, payable semi-annually in arrears on January 15 and July 15 of each year, and commenced on January 15, 2021. The 2020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are effectively subordinated to all of Studio City Finance’s existing and future secured indebtedness to the extent of the value of the property and assets securing such indebtedness.</w:t>
      </w:r>
    </w:p>
    <w:p>
      <w:pPr>
        <w:spacing w:after="0" w:line="73"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The net proceeds from the offering of the 2020 Studio City Notes were partially used to redeem in full the 2016 7.250% SC Secured Notes (as described below) with accrued interest and redemption premium in August 2020 and with the remaining amount used for the capital expenditures of the remaining development project at Studio City.</w:t>
      </w:r>
    </w:p>
    <w:p>
      <w:pPr>
        <w:spacing w:after="0" w:line="76"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All of the existing subsidiaries of Studio City Finance and any other future restricted subsidiaries that provide guarantees of certain specified indebtedness (including the 2016 Studio City Credit Facilities) (the “2020 Studio City Notes Guarantors”) jointly, severally and unconditionally guarantee the 2020 Studio City Notes on a senior basis (the “2020 Studio City Notes Guarantees”). The 2020 Studio City Notes Guarantees are general obligations of the 2020 Studio City Notes Guarantors, rank equally in right of payment to all existing and future senior indebtedness of the 2020 Studio City Notes Guarantors and rank senior in right of payment to any existing and future subordinated indebtedness of the 2020 Studio City Notes Guarantors. The 2020 Studio City Notes Guarantees are effectively subordinated to the 2020 Studio City Notes Guarantors’ obligations under all existing and any future secured indebtedness to the extent of the value of such property and assets securing such indebtedness.</w:t>
      </w:r>
    </w:p>
    <w:p>
      <w:pPr>
        <w:spacing w:after="0" w:line="58" w:lineRule="exact"/>
        <w:rPr>
          <w:sz w:val="20"/>
          <w:szCs w:val="20"/>
          <w:color w:val="auto"/>
        </w:rPr>
      </w:pPr>
    </w:p>
    <w:p>
      <w:pPr>
        <w:ind w:left="560" w:right="20"/>
        <w:spacing w:after="0" w:line="269" w:lineRule="auto"/>
        <w:rPr>
          <w:sz w:val="20"/>
          <w:szCs w:val="20"/>
          <w:color w:val="auto"/>
        </w:rPr>
      </w:pPr>
      <w:r>
        <w:rPr>
          <w:rFonts w:ascii="Arial" w:cs="Arial" w:eastAsia="Arial" w:hAnsi="Arial"/>
          <w:sz w:val="17"/>
          <w:szCs w:val="17"/>
          <w:color w:val="auto"/>
        </w:rPr>
        <w:t>At any time prior to July 15, 2022, Studio City Finance has the options i) to redeem all or a portion of the 2020 6.000% SC Notes at a “make-whole” redemption price; and ii) to redeem up to 35% of the 2020 6.000% SC Notes with the net cash proceeds of certain equity offerings at a fixed redemption price. Thereafter, Studio City Finance has the option to redeem all or a portion of the 2020 6.000% SC Notes at any time at fixed redemption prices that decline ratably over time. At any time prior to July 15, 2023, Studio City Finance has the options i) to redeem all or a portion of the 2020 6.500% SC Notes at a “make-whole” redemption price; and ii) to redeem up to 35% of the 2020 6.500% SC Notes with the net cash proceeds of certain equity offerings at a fixed redemption price. Thereafter, Studio City Finance has the option to redeem all or a portion of the 2020 6.500% SC Notes at any time at fixed redemption prices that decline ratably over time. Further, under certain circumstances and subject to certain exceptions as more fully described in the indenture governing the 2020 Studio City Notes, Studio City Finance also has the option to redeem in whole, but not in part the 2020 Studio City Notes at fixed redemption prices. In certain events that relate to the gaming subconcession of Melco Resorts Macau and subject to certain exceptions as more fully described in the indenture governing the 2020 Studio City Notes, each holder of the 2020 Studio City Notes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86"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2020 Studio City Notes </w:t>
      </w:r>
      <w:r>
        <w:rPr>
          <w:rFonts w:ascii="Arial" w:cs="Arial" w:eastAsia="Arial" w:hAnsi="Arial"/>
          <w:sz w:val="18"/>
          <w:szCs w:val="18"/>
          <w:color w:val="auto"/>
        </w:rPr>
        <w:t>- continued</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will have the right to require Studio City Finance to repurchase all or any part of such holder’s 2020 Studio City Notes at a fixed redemption price.</w:t>
      </w:r>
    </w:p>
    <w:p>
      <w:pPr>
        <w:spacing w:after="0" w:line="140" w:lineRule="exact"/>
        <w:rPr>
          <w:sz w:val="20"/>
          <w:szCs w:val="20"/>
          <w:color w:val="auto"/>
        </w:rPr>
      </w:pPr>
    </w:p>
    <w:p>
      <w:pPr>
        <w:ind w:left="560" w:right="80"/>
        <w:spacing w:after="0" w:line="286" w:lineRule="auto"/>
        <w:rPr>
          <w:sz w:val="20"/>
          <w:szCs w:val="20"/>
          <w:color w:val="auto"/>
        </w:rPr>
      </w:pPr>
      <w:r>
        <w:rPr>
          <w:rFonts w:ascii="Arial" w:cs="Arial" w:eastAsia="Arial" w:hAnsi="Arial"/>
          <w:sz w:val="16"/>
          <w:szCs w:val="16"/>
          <w:color w:val="auto"/>
        </w:rPr>
        <w:t>The indenture governing the 2020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1" w:lineRule="exact"/>
        <w:rPr>
          <w:sz w:val="20"/>
          <w:szCs w:val="20"/>
          <w:color w:val="auto"/>
        </w:rPr>
      </w:pPr>
    </w:p>
    <w:p>
      <w:pPr>
        <w:ind w:left="560" w:right="680" w:hanging="4"/>
        <w:spacing w:after="0" w:line="260" w:lineRule="auto"/>
        <w:tabs>
          <w:tab w:leader="none" w:pos="9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effect a consolidation or merger. The indenture governing the 2020 Studio City Notes also contains conditions and events of default customary for such financings.</w:t>
      </w:r>
    </w:p>
    <w:p>
      <w:pPr>
        <w:spacing w:after="0" w:line="77" w:lineRule="exact"/>
        <w:rPr>
          <w:sz w:val="20"/>
          <w:szCs w:val="20"/>
          <w:color w:val="auto"/>
        </w:rPr>
      </w:pPr>
    </w:p>
    <w:p>
      <w:pPr>
        <w:ind w:left="560" w:right="140"/>
        <w:spacing w:after="0" w:line="301" w:lineRule="auto"/>
        <w:rPr>
          <w:sz w:val="20"/>
          <w:szCs w:val="20"/>
          <w:color w:val="auto"/>
        </w:rPr>
      </w:pPr>
      <w:r>
        <w:rPr>
          <w:rFonts w:ascii="Arial" w:cs="Arial" w:eastAsia="Arial" w:hAnsi="Arial"/>
          <w:sz w:val="16"/>
          <w:szCs w:val="16"/>
          <w:color w:val="auto"/>
        </w:rPr>
        <w:t>There are provisions under the indenture governing the 2020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2020, the net assets of Studio City Finance and its restricted subsidiaries of approximately $1,288,000 were restricted from being distributed under the terms of the 2020 Studio City Notes.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2016 7.250% SC Secured Notes</w:t>
      </w:r>
    </w:p>
    <w:p>
      <w:pPr>
        <w:spacing w:after="0" w:line="117"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color w:val="auto"/>
        </w:rPr>
        <w:t>On November 30, 2016, Studio City Company Limited (“Studio City Company”), a subsidiary of Studio City International, issued $850,000 in aggregate principal amount of 7.250% senior secured notes due November 30, 2021 at an issue price of 100% of the principal amount (the “2016 7.250% SC Secured Notes”). The net proceeds from the offering of the 2016 7.250% SC Secured Notes were used to partially repay the Studio City Borrower’s prior senior secured credit facilities (as described below).</w:t>
      </w:r>
    </w:p>
    <w:p>
      <w:pPr>
        <w:spacing w:after="0" w:line="79" w:lineRule="exact"/>
        <w:rPr>
          <w:sz w:val="20"/>
          <w:szCs w:val="20"/>
          <w:color w:val="auto"/>
        </w:rPr>
      </w:pPr>
    </w:p>
    <w:p>
      <w:pPr>
        <w:ind w:left="560" w:right="140"/>
        <w:spacing w:after="0" w:line="301" w:lineRule="auto"/>
        <w:rPr>
          <w:sz w:val="20"/>
          <w:szCs w:val="20"/>
          <w:color w:val="auto"/>
        </w:rPr>
      </w:pPr>
      <w:r>
        <w:rPr>
          <w:rFonts w:ascii="Arial" w:cs="Arial" w:eastAsia="Arial" w:hAnsi="Arial"/>
          <w:sz w:val="16"/>
          <w:szCs w:val="16"/>
          <w:color w:val="auto"/>
        </w:rPr>
        <w:t>The interest on the 2016 7.250% SC Secured Notes was accrued at a rate of 7.250% per annum and was payable semi-annually in arrears. On August 14, 2020, Studio City Company used a portion of the net proceeds from the offering of the 2020 Studio City Notes to redeem in full the 2016 7.250% SC Secured Notes, together with accrued interest and redemption premium. In connection with the redemption of the 2016 7.250% SC Secured Notes, the Company recorded a loss on extinguishment of debt of $18,716 during the year ended December 31, 2020.</w:t>
      </w:r>
    </w:p>
    <w:p>
      <w:pPr>
        <w:spacing w:after="0" w:line="59"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2016 Studio City Credit Facilities</w:t>
      </w:r>
    </w:p>
    <w:p>
      <w:pPr>
        <w:spacing w:after="0" w:line="117" w:lineRule="exact"/>
        <w:rPr>
          <w:sz w:val="20"/>
          <w:szCs w:val="20"/>
          <w:color w:val="auto"/>
        </w:rPr>
      </w:pPr>
    </w:p>
    <w:p>
      <w:pPr>
        <w:ind w:left="560" w:right="20"/>
        <w:spacing w:after="0" w:line="272" w:lineRule="auto"/>
        <w:rPr>
          <w:sz w:val="20"/>
          <w:szCs w:val="20"/>
          <w:color w:val="auto"/>
        </w:rPr>
      </w:pPr>
      <w:r>
        <w:rPr>
          <w:rFonts w:ascii="Arial" w:cs="Arial" w:eastAsia="Arial" w:hAnsi="Arial"/>
          <w:sz w:val="17"/>
          <w:szCs w:val="17"/>
          <w:color w:val="auto"/>
        </w:rPr>
        <w:t>On November 30, 2016, Studio City Company (the “Studio City Borrower”) amended and restated the Studio City Borrower’s prior senior secured credit facilities agreement from 10,855,880,000 Hong Kong dollars (“HK$”) (equivalent to $1,395,357) to a HK$234,000,000 (equivalent to $30,077) senior secured credit facilities agreement (the “2016 Studio City Credit Facilities”), comprising a HK$1,000,000 (equivalent to $129) term loan facility (the “2016 SC Term Loan Facility”) and a HK$233,000,000 (equivalent to $29,948) revolving credit facility (the “2016 SC Revolving Credit Facility”). As of December 31, 2020, the outstanding principal amount of the 2016 SC Term Loan Facility and the 2016 SC Revolving Credit Facility were HK$1,000,000 (equivalent to $129) and nil, respectively, and the available borrowing capacity under the 2016 SC Revolving Credit Facility was HK$233,000,000 (equivalent to $30,054).</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86"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2016 Studio City Credit Facilities </w:t>
      </w:r>
      <w:r>
        <w:rPr>
          <w:rFonts w:ascii="Arial" w:cs="Arial" w:eastAsia="Arial" w:hAnsi="Arial"/>
          <w:sz w:val="18"/>
          <w:szCs w:val="18"/>
          <w:color w:val="auto"/>
        </w:rPr>
        <w:t>- continued</w:t>
      </w:r>
    </w:p>
    <w:p>
      <w:pPr>
        <w:spacing w:after="0" w:line="131"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The 2016 SC Term Loan Facility and the 2016 SC Revolving Credit Facility which would have matured on November 30, 2021 were extended to January 15, 2028 as disclosed in Note 21(d). The 2016 SC Term Loan Facility has to be repaid at maturity with no interim amortization payments. The 2016 SC Revolving Credit Facility is available up to the date that is one month prior to the 2016 SC Revolving Credit Facility’s maturity date. The 2016 SC Term Loan Facility is collateralized by cash of HK$1,012,500 (equivalent to $131). The Studio City Borrower is subject to mandatory prepayment requirements in respect of various amounts of the 2016 SC Revolving Credit Facility as specified in the 2016 Studio City Credit Facilities; in the event of the disposal of all or substantially all of the business and assets of the Studio City borrowing group which includes the Studio City Borrower and certain of its subsidiaries as defined under the 2016 Studio City Credit Facilities (the “2016 Studio City Borrowing Group”), the 2016 Studio City Credit Facilities are required to be repaid in full. In the event of a change of control, the Studio City Borrower may be required, at the election of any lender under the 2016 Studio City Credit Facilities, to repay such lender in full (other than the principal amount of the 2016 SC Term Loan Facility).</w:t>
      </w:r>
    </w:p>
    <w:p>
      <w:pPr>
        <w:spacing w:after="0" w:line="77"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color w:val="auto"/>
        </w:rPr>
        <w:t>The indebtedness under the 2016 Studio City Credit Facilities is guaranteed by Studio City Investments Limited (“Studio City Investments”), the shareholder of Studio City Company, and its subsidiaries (other than the Studio City Borrower). Security for the 2016 Studio City Credit Facilities includes a first-priority mortgage over any rights under the land concession contract of Studio City and an assignment of certain leases or rights to use agreements; as well as other customary security. The 2016 Studio City Credit Facilities contain certain affirmative and negative covenants customary for such financings. Certain specified bank accounts of Melco Resorts Macau are pledged under 2016 Studio City Credit Facilities and related finance documents. The 2016 Studio City Credit Facilities are secured by substantially all of the material assets of Studio City Investments and its subsidiaries.</w:t>
      </w:r>
    </w:p>
    <w:p>
      <w:pPr>
        <w:spacing w:after="0" w:line="87" w:lineRule="exact"/>
        <w:rPr>
          <w:sz w:val="20"/>
          <w:szCs w:val="20"/>
          <w:color w:val="auto"/>
        </w:rPr>
      </w:pPr>
    </w:p>
    <w:p>
      <w:pPr>
        <w:ind w:left="560" w:right="80"/>
        <w:spacing w:after="0" w:line="285" w:lineRule="auto"/>
        <w:rPr>
          <w:sz w:val="20"/>
          <w:szCs w:val="20"/>
          <w:color w:val="auto"/>
        </w:rPr>
      </w:pPr>
      <w:r>
        <w:rPr>
          <w:rFonts w:ascii="Arial" w:cs="Arial" w:eastAsia="Arial" w:hAnsi="Arial"/>
          <w:sz w:val="16"/>
          <w:szCs w:val="16"/>
          <w:color w:val="auto"/>
        </w:rPr>
        <w:t>The 2016 Studio City Credit Facilities contain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w:t>
      </w:r>
    </w:p>
    <w:p>
      <w:pPr>
        <w:spacing w:after="0" w:line="2" w:lineRule="exact"/>
        <w:rPr>
          <w:sz w:val="20"/>
          <w:szCs w:val="20"/>
          <w:color w:val="auto"/>
        </w:rPr>
      </w:pPr>
    </w:p>
    <w:p>
      <w:pPr>
        <w:ind w:left="560" w:right="500" w:hanging="4"/>
        <w:spacing w:after="0" w:line="323" w:lineRule="auto"/>
        <w:tabs>
          <w:tab w:leader="none" w:pos="8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change the nature of the business of the relevant group; (x) enter into transactions with shareholders or affiliates; and (xi) effect a consolidation or merger. The 2016 Studio City Credit Facilities also contain conditions and events of default customary for such financings.</w:t>
      </w:r>
    </w:p>
    <w:p>
      <w:pPr>
        <w:spacing w:after="0" w:line="30"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color w:val="auto"/>
        </w:rPr>
        <w:t>There are provisions that limit certain payments of dividends and other distributions by the 2016 Studio City Borrowing Group to companies or persons who are not members of the 2016 Studio City Borrowing Group. As of December 31, 2020, the net assets of Studio City Investments and its restricted subsidiaries of approximately $1,192,000 were restricted from being distributed under the terms of the 2016 Studio City Credit Facilities.</w:t>
      </w:r>
    </w:p>
    <w:p>
      <w:pPr>
        <w:spacing w:after="0" w:line="79" w:lineRule="exact"/>
        <w:rPr>
          <w:sz w:val="20"/>
          <w:szCs w:val="20"/>
          <w:color w:val="auto"/>
        </w:rPr>
      </w:pPr>
    </w:p>
    <w:p>
      <w:pPr>
        <w:jc w:val="both"/>
        <w:ind w:left="560" w:right="180"/>
        <w:spacing w:after="0" w:line="263" w:lineRule="auto"/>
        <w:rPr>
          <w:sz w:val="20"/>
          <w:szCs w:val="20"/>
          <w:color w:val="auto"/>
        </w:rPr>
      </w:pPr>
      <w:r>
        <w:rPr>
          <w:rFonts w:ascii="Arial" w:cs="Arial" w:eastAsia="Arial" w:hAnsi="Arial"/>
          <w:sz w:val="18"/>
          <w:szCs w:val="18"/>
          <w:color w:val="auto"/>
        </w:rPr>
        <w:t>Borrowings under the 2016 Studio City Credit Facilities bear interest at HIBOR plus a margin of 4% per annum. The Studio City Borrower may select an interest period for borrowings under the 2016 Studio City Credit Facilities ranging from one to six months or any other agreed period. The Studio City Borrower 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86"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2016 Studio City Credit Facilities </w:t>
      </w:r>
      <w:r>
        <w:rPr>
          <w:rFonts w:ascii="Arial" w:cs="Arial" w:eastAsia="Arial" w:hAnsi="Arial"/>
          <w:sz w:val="18"/>
          <w:szCs w:val="18"/>
          <w:color w:val="auto"/>
        </w:rPr>
        <w:t>- continued</w:t>
      </w:r>
    </w:p>
    <w:p>
      <w:pPr>
        <w:spacing w:after="0" w:line="131"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obligated to pay a commitment fee on the undrawn amount of the 2016 SC Revolving Credit Facility and recognized loan commitment fees of $421, $416 and $419 during the years ended December 31, 2020, 2019 and 2018, respectively.</w:t>
      </w:r>
    </w:p>
    <w:p>
      <w:pPr>
        <w:spacing w:after="0" w:line="58"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Rates and Scheduled Maturities of Long-term Debt</w:t>
      </w:r>
    </w:p>
    <w:p>
      <w:pPr>
        <w:spacing w:after="0" w:line="121"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During the years ended December 31, 2020, 2019 and 2018, the Company’s average borrowing rates were approximately 6.98%, 7.05% and 7.50% per annum, respectively.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Scheduled maturities of the long-term debt (excluding unamortized deferred financing costs) as of December 31, 2020 are as follows:</w:t>
      </w:r>
    </w:p>
    <w:p>
      <w:pPr>
        <w:spacing w:after="0" w:line="27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4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Over 2025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500,129</w:t>
            </w:r>
          </w:p>
        </w:tc>
        <w:tc>
          <w:tcPr>
            <w:tcW w:w="40" w:type="dxa"/>
            <w:vAlign w:val="bottom"/>
            <w:shd w:val="clear" w:color="auto" w:fill="CCEEFF"/>
          </w:tcPr>
          <w:p>
            <w:pPr>
              <w:spacing w:after="0"/>
              <w:rPr>
                <w:sz w:val="18"/>
                <w:szCs w:val="18"/>
                <w:color w:val="auto"/>
              </w:rPr>
            </w:pPr>
          </w:p>
        </w:tc>
      </w:tr>
      <w:tr>
        <w:trPr>
          <w:trHeight w:val="223"/>
        </w:trPr>
        <w:tc>
          <w:tcPr>
            <w:tcW w:w="9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1,600,129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Lessee Arrangements</w:t>
      </w:r>
    </w:p>
    <w:p>
      <w:pPr>
        <w:spacing w:after="0" w:line="121" w:lineRule="exact"/>
        <w:rPr>
          <w:rFonts w:ascii="Arial" w:cs="Arial" w:eastAsia="Arial" w:hAnsi="Arial"/>
          <w:sz w:val="18"/>
          <w:szCs w:val="18"/>
          <w:b w:val="1"/>
          <w:bCs w:val="1"/>
          <w:color w:val="auto"/>
        </w:rPr>
      </w:pPr>
    </w:p>
    <w:p>
      <w:pPr>
        <w:ind w:left="5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the lessee under operating leases for equipment and real estate, including the land in Macau on which Studio City is located. Certain leases include options to extend the lease term and options to terminate the lease term. The land concession contract of Studio City has a term of 25 years, which is renewable for further consecutive periods of 10 years, subject to applicable legislation in Macau. The estimated term related to the land concession contract of Studio City is 40 years.</w:t>
      </w:r>
    </w:p>
    <w:p>
      <w:pPr>
        <w:spacing w:after="0" w:line="7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operating lease costs are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5"/>
          </w:tcPr>
          <w:p>
            <w:pPr>
              <w:ind w:left="80"/>
              <w:spacing w:after="0"/>
              <w:rPr>
                <w:sz w:val="20"/>
                <w:szCs w:val="20"/>
                <w:color w:val="auto"/>
              </w:rPr>
            </w:pPr>
            <w:r>
              <w:rPr>
                <w:rFonts w:ascii="Arial" w:cs="Arial" w:eastAsia="Arial" w:hAnsi="Arial"/>
                <w:sz w:val="18"/>
                <w:szCs w:val="18"/>
                <w:color w:val="auto"/>
              </w:rPr>
              <w:t>Year Ended December 31,</w:t>
            </w:r>
          </w:p>
        </w:tc>
      </w:tr>
      <w:tr>
        <w:trPr>
          <w:trHeight w:val="223"/>
        </w:trPr>
        <w:tc>
          <w:tcPr>
            <w:tcW w:w="354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CCEEFF"/>
            </w:tcBorders>
          </w:tcPr>
          <w:p>
            <w:pPr>
              <w:spacing w:after="0"/>
              <w:rPr>
                <w:sz w:val="19"/>
                <w:szCs w:val="19"/>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use right</w:t>
            </w:r>
          </w:p>
        </w:tc>
        <w:tc>
          <w:tcPr>
            <w:tcW w:w="4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4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Operating lease costs</w:t>
            </w:r>
          </w:p>
        </w:tc>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1,108</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1,409</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4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w:t>
            </w: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 operating lease costs</w:t>
            </w:r>
          </w:p>
        </w:tc>
        <w:tc>
          <w:tcPr>
            <w:tcW w:w="4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5,758</w:t>
            </w:r>
          </w:p>
        </w:tc>
        <w:tc>
          <w:tcPr>
            <w:tcW w:w="4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4340" w:type="dxa"/>
            <w:vAlign w:val="bottom"/>
            <w:gridSpan w:val="2"/>
          </w:tcPr>
          <w:p>
            <w:pPr>
              <w:jc w:val="right"/>
              <w:ind w:right="2550"/>
              <w:spacing w:after="0"/>
              <w:rPr>
                <w:sz w:val="20"/>
                <w:szCs w:val="20"/>
                <w:color w:val="auto"/>
              </w:rPr>
            </w:pPr>
            <w:r>
              <w:rPr>
                <w:rFonts w:ascii="Arial" w:cs="Arial" w:eastAsia="Arial" w:hAnsi="Arial"/>
                <w:sz w:val="18"/>
                <w:szCs w:val="18"/>
                <w:color w:val="auto"/>
              </w:rPr>
              <w:t>F-34</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86" w:right="6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continued</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Lessee Arrangements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Other information related to lease term and discount rate of operating leases is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9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December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years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35.9 years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December 31, 2020 are as follows:</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2021</w:t>
            </w:r>
          </w:p>
        </w:tc>
        <w:tc>
          <w:tcPr>
            <w:tcW w:w="19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2023</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2025</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Over 2025</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39,377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Present value of future minimum lease payments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Non-current portion</w:t>
            </w:r>
          </w:p>
        </w:tc>
        <w:tc>
          <w:tcPr>
            <w:tcW w:w="158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Lessor Arrangements</w:t>
      </w:r>
    </w:p>
    <w:p>
      <w:pPr>
        <w:spacing w:after="0" w:line="121"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color w:val="auto"/>
        </w:rPr>
        <w:t>The Company is the lessor under non-cancellable operating leases mainly for mall spaces in Studio City with various retailers that expire at various dates through August 2028. Certain of the operating leases include minimum base fees with contingent fee clauses based on percentages of turnover.</w:t>
      </w:r>
    </w:p>
    <w:p>
      <w:pPr>
        <w:spacing w:after="0" w:line="76" w:lineRule="exact"/>
        <w:rPr>
          <w:sz w:val="20"/>
          <w:szCs w:val="20"/>
          <w:color w:val="auto"/>
        </w:rPr>
      </w:pPr>
    </w:p>
    <w:p>
      <w:pPr>
        <w:ind w:left="560" w:right="80"/>
        <w:spacing w:after="0" w:line="279" w:lineRule="auto"/>
        <w:rPr>
          <w:sz w:val="20"/>
          <w:szCs w:val="20"/>
          <w:color w:val="auto"/>
        </w:rPr>
      </w:pPr>
      <w:r>
        <w:rPr>
          <w:rFonts w:ascii="Arial" w:cs="Arial" w:eastAsia="Arial" w:hAnsi="Arial"/>
          <w:sz w:val="17"/>
          <w:szCs w:val="17"/>
          <w:color w:val="auto"/>
        </w:rPr>
        <w:t>During the year ended December 31, 2020, the Company earned minimum operating lease income of $12,064 and contingent operating lease income of $(1,254). Total lease income was reduced by $3,913 as a result of the rent concessions and uncollectible lease income related to the effects of the COVID-19 pandemic. During the years ended December 31, 2019 and 2018, the Company earned minimum operating lease income of $150 and $7,428 and contingent operating lease income of $8,077 and $9,301, respectively.</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86"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continued</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Lessor Arrangements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fees, excluding the contingent fees to be received under non-cancellable operating leases as of December 31, 2020 were as follows:</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2021</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8,579</w:t>
            </w:r>
          </w:p>
        </w:tc>
        <w:tc>
          <w:tcPr>
            <w:tcW w:w="4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7,090</w:t>
            </w:r>
          </w:p>
        </w:tc>
        <w:tc>
          <w:tcPr>
            <w:tcW w:w="4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2,407</w:t>
            </w:r>
          </w:p>
        </w:tc>
        <w:tc>
          <w:tcPr>
            <w:tcW w:w="4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1,882</w:t>
            </w:r>
          </w:p>
        </w:tc>
        <w:tc>
          <w:tcPr>
            <w:tcW w:w="4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1,408</w:t>
            </w:r>
          </w:p>
        </w:tc>
        <w:tc>
          <w:tcPr>
            <w:tcW w:w="4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Over 2025</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2,532</w:t>
            </w:r>
          </w:p>
        </w:tc>
        <w:tc>
          <w:tcPr>
            <w:tcW w:w="40" w:type="dxa"/>
            <w:vAlign w:val="bottom"/>
            <w:shd w:val="clear" w:color="auto" w:fill="CCEEFF"/>
          </w:tcPr>
          <w:p>
            <w:pPr>
              <w:spacing w:after="0"/>
              <w:rPr>
                <w:sz w:val="18"/>
                <w:szCs w:val="18"/>
                <w:color w:val="auto"/>
              </w:rPr>
            </w:pPr>
          </w:p>
        </w:tc>
      </w:tr>
      <w:tr>
        <w:trPr>
          <w:trHeight w:val="223"/>
        </w:trPr>
        <w:tc>
          <w:tcPr>
            <w:tcW w:w="9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560" w:right="2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Authoritative literature provides a fair value hierarchy, which prioritizes the input to valuation techniques used to measure fair values into three broad levels. The level in the hierarchy within which the fair value measurements in its entirety is based upon the lowest level of input that is significant to the fair value measurement as follows:</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30" w:lineRule="exact"/>
        <w:rPr>
          <w:rFonts w:ascii="Arial" w:cs="Arial" w:eastAsia="Arial" w:hAnsi="Arial"/>
          <w:sz w:val="18"/>
          <w:szCs w:val="18"/>
          <w:color w:val="auto"/>
        </w:rPr>
      </w:pPr>
    </w:p>
    <w:p>
      <w:pPr>
        <w:ind w:left="1080" w:right="20" w:hanging="532"/>
        <w:spacing w:after="0" w:line="286" w:lineRule="auto"/>
        <w:tabs>
          <w:tab w:leader="none" w:pos="108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0" w:lineRule="exact"/>
        <w:rPr>
          <w:rFonts w:ascii="Arial" w:cs="Arial" w:eastAsia="Arial" w:hAnsi="Arial"/>
          <w:sz w:val="17"/>
          <w:szCs w:val="17"/>
          <w:color w:val="auto"/>
        </w:rPr>
      </w:pPr>
    </w:p>
    <w:p>
      <w:pPr>
        <w:ind w:left="1080" w:right="260" w:hanging="532"/>
        <w:spacing w:after="0" w:line="263" w:lineRule="auto"/>
        <w:tabs>
          <w:tab w:leader="none" w:pos="10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76"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The carrying values of cash and cash equivalents and restricted cash approximated fair value and were classified as level 1 in the fair value hierarchy. The carrying values of long-term deposits, other long-term receivables and other long-term liabilities approximated fair value and were classified as level 2 in the fair value hierarchy.</w:t>
      </w:r>
    </w:p>
    <w:p>
      <w:pPr>
        <w:spacing w:after="0" w:line="76" w:lineRule="exact"/>
        <w:rPr>
          <w:sz w:val="20"/>
          <w:szCs w:val="20"/>
          <w:color w:val="auto"/>
        </w:rPr>
      </w:pPr>
    </w:p>
    <w:p>
      <w:pPr>
        <w:ind w:left="560" w:right="180"/>
        <w:spacing w:after="0" w:line="296" w:lineRule="auto"/>
        <w:rPr>
          <w:sz w:val="20"/>
          <w:szCs w:val="20"/>
          <w:color w:val="auto"/>
        </w:rPr>
      </w:pPr>
      <w:r>
        <w:rPr>
          <w:rFonts w:ascii="Arial" w:cs="Arial" w:eastAsia="Arial" w:hAnsi="Arial"/>
          <w:sz w:val="16"/>
          <w:szCs w:val="16"/>
          <w:color w:val="auto"/>
        </w:rPr>
        <w:t>The estimated fair value of long-term debt as of December 31, 2020 and 2019 were approximately $1,693,260 and $1,505,673, respectively, as compared to its carrying value, excluding unamortized deferred financing costs, of $1,600,129 and $1,450,128, respectively. Fair values were estimated using quoted market prices and were classified as level 1 in the fair value hierarchy for the 2019 7.250% Studio City Notes, the 2020 Studio City Notes and the 2016 7.250% SC Secured Notes. Fair value for the 2016 Studio City Credit Facilities approximated the carrying value as the instrument carried variable interest rates that approximated the market rates and was classified as level 2 in the fair value hierarchy.</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86"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2019, the Company did not have any non-financial assets or liabilities that were recognized or disclosed at fair value in the accompanying consolidated financial statements.</w:t>
      </w:r>
    </w:p>
    <w:p>
      <w:pPr>
        <w:spacing w:after="0" w:line="314" w:lineRule="exact"/>
        <w:rPr>
          <w:rFonts w:ascii="Arial" w:cs="Arial" w:eastAsia="Arial" w:hAnsi="Arial"/>
          <w:sz w:val="18"/>
          <w:szCs w:val="18"/>
          <w:b w:val="1"/>
          <w:bCs w:val="1"/>
          <w:color w:val="auto"/>
        </w:rPr>
      </w:pPr>
    </w:p>
    <w:p>
      <w:pPr>
        <w:ind w:left="540" w:hanging="424"/>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w:t>
      </w:r>
    </w:p>
    <w:p>
      <w:pPr>
        <w:spacing w:after="0" w:line="121" w:lineRule="exact"/>
        <w:rPr>
          <w:rFonts w:ascii="Arial" w:cs="Arial" w:eastAsia="Arial" w:hAnsi="Arial"/>
          <w:sz w:val="18"/>
          <w:szCs w:val="18"/>
          <w:b w:val="1"/>
          <w:bCs w:val="1"/>
          <w:color w:val="auto"/>
        </w:rPr>
      </w:pPr>
    </w:p>
    <w:p>
      <w:pPr>
        <w:ind w:left="5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Immediately prior to the Organizational Transactions, Studio City International’s authorized share capital was 200,000 shares of $1 par value per share and 18,127.94 ordinary shares were issued and fully paid.</w:t>
      </w:r>
    </w:p>
    <w:p>
      <w:pPr>
        <w:spacing w:after="0" w:line="62" w:lineRule="exact"/>
        <w:rPr>
          <w:rFonts w:ascii="Arial" w:cs="Arial" w:eastAsia="Arial" w:hAnsi="Arial"/>
          <w:sz w:val="18"/>
          <w:szCs w:val="18"/>
          <w:b w:val="1"/>
          <w:bCs w:val="1"/>
          <w:color w:val="auto"/>
        </w:rPr>
      </w:pPr>
    </w:p>
    <w:p>
      <w:pPr>
        <w:ind w:left="5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October 2018, in connection with the Organizational Transactions, Studio City International amended and restated the memorandum and articles of association to, among other things, authorized two classes of ordinary shares, the Class A ordinary shares and the Class B ordinary shares, in each case with a par value of $0.0001 each. Studio City International’s authorized share capital of $200 was divided into 2,000,000,000 shares comprising of 1,927,488,240 Class A ordinary shares and 72,511,760 Class B ordinary shares of a par value of $0.0001 each. The 60% equity interest in Studio City International held directly by MCO Cotai prior to the Organizational Transactions was reclassified into 108,767,640 Class A ordinary shares while the 40% equity interest in Studio City International held directly by New Cotai prior to the Organizational Transactions was exchanged for 72,511,760 Class B ordinary shares.</w:t>
      </w:r>
    </w:p>
    <w:p>
      <w:pPr>
        <w:spacing w:after="0" w:line="69" w:lineRule="exact"/>
        <w:rPr>
          <w:rFonts w:ascii="Arial" w:cs="Arial" w:eastAsia="Arial" w:hAnsi="Arial"/>
          <w:sz w:val="18"/>
          <w:szCs w:val="18"/>
          <w:b w:val="1"/>
          <w:bCs w:val="1"/>
          <w:color w:val="auto"/>
        </w:rPr>
      </w:pPr>
    </w:p>
    <w:p>
      <w:pPr>
        <w:ind w:left="5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Each Class A ordinary share and each Class B ordinary share entitles its holder to one vote on all matters to be voted on by shareholders generally and holders of Class A ordinary shares and Class B ordinary shares will vote together as a single class on all matters presented to the shareholders for their vote or approval, except as otherwise required by applicable law or the memorandum of association and articles of association. The Class A ordinary shares and the Class B ordinary shares have the same rights, except that holders of the Class B ordinary shares only have voting and no economic rights to receive dividends or distribution upon the liquidation or winding up of Studio City International. In addition, pursuant to the terms of the Participation Agreement, New Cotai has a non-voting, non-shareholding economic Participation Interest in MSC Cotai, which entitles New Cotai to receive from MSC Cotai an amount equal to a certain percentage of the MSC Cotai’s Distribution, subject to adjustments, exceptions and conditions as set out in the Participation Agreement. The Participation Agreement also provides that New Cotai is entitled to exchange all or a portion of its Participation Interest for a number of Class A ordinary shares subject to adjustments, exceptions and conditions as set out in the Participation Agreement and a proportionate number of Class B ordinary shares will be deemed surrendered and automatically canceled for no consideration as set out in the Participation Agreement when New Cotai exchanges all or a portion of the Participation Interest for Class A ordinary shares.</w:t>
      </w:r>
    </w:p>
    <w:p>
      <w:pPr>
        <w:spacing w:after="0" w:line="70" w:lineRule="exact"/>
        <w:rPr>
          <w:rFonts w:ascii="Arial" w:cs="Arial" w:eastAsia="Arial" w:hAnsi="Arial"/>
          <w:sz w:val="18"/>
          <w:szCs w:val="18"/>
          <w:b w:val="1"/>
          <w:bCs w:val="1"/>
          <w:color w:val="auto"/>
        </w:rPr>
      </w:pPr>
    </w:p>
    <w:p>
      <w:pPr>
        <w:ind w:left="5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October 22, 2018, Studio City International completed the Offering of 28,750,000 ADSs, representing 115,000,000 Class A ordinary shares, and together with the concurrent private placement of 800,376 Class A ordinary shares to Melco International to effect an assured entitlement distribution, a total of 115,800,376 Class A ordinary shares were issued with gross proceeds amounting to $361,876 and offering expenses of $16,573.</w:t>
      </w:r>
    </w:p>
    <w:p>
      <w:pPr>
        <w:spacing w:after="0" w:line="79" w:lineRule="exact"/>
        <w:rPr>
          <w:sz w:val="20"/>
          <w:szCs w:val="20"/>
          <w:color w:val="auto"/>
        </w:rPr>
      </w:pPr>
    </w:p>
    <w:p>
      <w:pPr>
        <w:ind w:left="560" w:right="640"/>
        <w:spacing w:after="0" w:line="308" w:lineRule="auto"/>
        <w:rPr>
          <w:sz w:val="20"/>
          <w:szCs w:val="20"/>
          <w:color w:val="auto"/>
        </w:rPr>
      </w:pPr>
      <w:r>
        <w:rPr>
          <w:rFonts w:ascii="Arial" w:cs="Arial" w:eastAsia="Arial" w:hAnsi="Arial"/>
          <w:sz w:val="17"/>
          <w:szCs w:val="17"/>
          <w:color w:val="auto"/>
        </w:rPr>
        <w:t>On November 19, 2018, pursuant to the full exercise by the underwriters of the over-allotment option, Studio City International issued an additional 4,312,500 ADSs, representing 17,250,000 Class A ordinary shares with gross proceeds amounting to $53,906.</w:t>
      </w:r>
    </w:p>
    <w:p>
      <w:pPr>
        <w:spacing w:after="0" w:line="38" w:lineRule="exact"/>
        <w:rPr>
          <w:sz w:val="20"/>
          <w:szCs w:val="20"/>
          <w:color w:val="auto"/>
        </w:rPr>
      </w:pPr>
    </w:p>
    <w:p>
      <w:pPr>
        <w:ind w:left="560" w:right="60" w:firstLine="45"/>
        <w:spacing w:after="0" w:line="263" w:lineRule="auto"/>
        <w:rPr>
          <w:sz w:val="20"/>
          <w:szCs w:val="20"/>
          <w:color w:val="auto"/>
        </w:rPr>
      </w:pPr>
      <w:r>
        <w:rPr>
          <w:rFonts w:ascii="Arial" w:cs="Arial" w:eastAsia="Arial" w:hAnsi="Arial"/>
          <w:sz w:val="18"/>
          <w:szCs w:val="18"/>
          <w:color w:val="auto"/>
        </w:rPr>
        <w:t>During July and August 2020, Studio City International announced and completed the Private Placements of 72,185,488 Class A ordinary shares and 14,087,299 ADSs (representing 56,349,196 Class A ordinary shares) to certain existing shareholders and holders of its ADSs, including Melco, with gross proceeds amounting to $500,000 and offering expenses of $1,052.</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080"/>
          </w:cols>
          <w:pgMar w:left="320" w:top="486"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2019, Studio City International had 370,352,700 and 241,818,016 Class A ordinary shares and 72,511,760 and 72,511,760 Class B ordinary shares issued and outstanding, respectively.</w:t>
      </w:r>
    </w:p>
    <w:p>
      <w:pPr>
        <w:spacing w:after="0" w:line="62" w:lineRule="exact"/>
        <w:rPr>
          <w:rFonts w:ascii="Arial" w:cs="Arial" w:eastAsia="Arial" w:hAnsi="Arial"/>
          <w:sz w:val="18"/>
          <w:szCs w:val="18"/>
          <w:b w:val="1"/>
          <w:bCs w:val="1"/>
          <w:color w:val="auto"/>
        </w:rPr>
      </w:pPr>
    </w:p>
    <w:p>
      <w:pPr>
        <w:ind w:left="5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preparation of the accompanying consolidated financial statements, Studio City International has retrospectively presented the share capital as if the Organizational Transactions had occurred at the beginning of 2018. Such retrospective presentation reflects the redesignation of the then issued 18,127.94 ordinary shares of $1 par value each into 181,279,400 Class A ordinary shares of $0.0001 par value each. Further information is included in Note 2(v).</w:t>
      </w:r>
    </w:p>
    <w:p>
      <w:pPr>
        <w:spacing w:after="0" w:line="317" w:lineRule="exact"/>
        <w:rPr>
          <w:rFonts w:ascii="Arial" w:cs="Arial" w:eastAsia="Arial" w:hAnsi="Arial"/>
          <w:sz w:val="18"/>
          <w:szCs w:val="18"/>
          <w:b w:val="1"/>
          <w:bCs w:val="1"/>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(Loss) income before income tax consisted of:</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12"/>
          </w:tcPr>
          <w:p>
            <w:pPr>
              <w:jc w:val="center"/>
              <w:ind w:left="330"/>
              <w:spacing w:after="0"/>
              <w:rPr>
                <w:sz w:val="20"/>
                <w:szCs w:val="20"/>
                <w:color w:val="auto"/>
              </w:rPr>
            </w:pPr>
            <w:r>
              <w:rPr>
                <w:rFonts w:ascii="Arial" w:cs="Arial" w:eastAsia="Arial" w:hAnsi="Arial"/>
                <w:sz w:val="18"/>
                <w:szCs w:val="18"/>
                <w:color w:val="auto"/>
                <w:w w:val="88"/>
              </w:rPr>
              <w:t>Year Ended December 31,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4"/>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2018</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Macau operations</w:t>
            </w:r>
          </w:p>
        </w:tc>
        <w:tc>
          <w:tcPr>
            <w:tcW w:w="3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(278,388)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181,579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137,918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Hong Kong and other jurisdictions operations</w:t>
            </w:r>
          </w:p>
        </w:tc>
        <w:tc>
          <w:tcPr>
            <w:tcW w:w="310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(127,715)</w:t>
            </w:r>
          </w:p>
        </w:tc>
        <w:tc>
          <w:tcPr>
            <w:tcW w:w="16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(137,548)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(158,119)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w:t>
            </w:r>
          </w:p>
        </w:tc>
        <w:tc>
          <w:tcPr>
            <w:tcW w:w="3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3"/>
              </w:rPr>
              <w:t>$ (406,103)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44,031</w:t>
            </w: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(20,201)</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The income tax (credit) expense consisted of:</w:t>
            </w:r>
          </w:p>
        </w:tc>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60" w:type="dxa"/>
            <w:vAlign w:val="bottom"/>
            <w:gridSpan w:val="2"/>
            <w:vMerge w:val="continue"/>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14"/>
          </w:tcPr>
          <w:p>
            <w:pPr>
              <w:jc w:val="right"/>
              <w:ind w:right="68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Under provision of income taxes in prior years: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center"/>
              <w:ind w:left="130"/>
              <w:spacing w:after="0"/>
              <w:rPr>
                <w:sz w:val="20"/>
                <w:szCs w:val="20"/>
                <w:color w:val="auto"/>
              </w:rPr>
            </w:pPr>
            <w:r>
              <w:rPr>
                <w:rFonts w:ascii="Arial" w:cs="Arial" w:eastAsia="Arial" w:hAnsi="Arial"/>
                <w:sz w:val="18"/>
                <w:szCs w:val="18"/>
                <w:color w:val="auto"/>
                <w:w w:val="99"/>
              </w:rPr>
              <w:t>—</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expense - deferred:</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center"/>
              <w:ind w:left="90"/>
              <w:spacing w:after="0"/>
              <w:rPr>
                <w:sz w:val="20"/>
                <w:szCs w:val="20"/>
                <w:color w:val="auto"/>
              </w:rPr>
            </w:pPr>
            <w:r>
              <w:rPr>
                <w:rFonts w:ascii="Arial" w:cs="Arial" w:eastAsia="Arial" w:hAnsi="Arial"/>
                <w:sz w:val="18"/>
                <w:szCs w:val="18"/>
                <w:color w:val="auto"/>
                <w:w w:val="87"/>
              </w:rPr>
              <w:t>(1,011)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ind w:left="44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(credit) expense</w:t>
            </w:r>
          </w:p>
        </w:tc>
        <w:tc>
          <w:tcPr>
            <w:tcW w:w="3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7"/>
              </w:rPr>
              <w:t>(1,011)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402</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320" w:type="dxa"/>
            <w:vAlign w:val="bottom"/>
            <w:gridSpan w:val="3"/>
          </w:tcPr>
          <w:p>
            <w:pPr>
              <w:jc w:val="right"/>
              <w:ind w:right="2150"/>
              <w:spacing w:after="0"/>
              <w:rPr>
                <w:sz w:val="20"/>
                <w:szCs w:val="20"/>
                <w:color w:val="auto"/>
              </w:rPr>
            </w:pPr>
            <w:r>
              <w:rPr>
                <w:rFonts w:ascii="Arial" w:cs="Arial" w:eastAsia="Arial" w:hAnsi="Arial"/>
                <w:sz w:val="18"/>
                <w:szCs w:val="18"/>
                <w:color w:val="auto"/>
              </w:rPr>
              <w:t>F-38</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reconciliation of the income tax (credit) expense from (loss) income before income tax per the accompanying consolidated statements of operations is as follows:</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December 31,</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2018</w:t>
            </w:r>
          </w:p>
        </w:tc>
        <w:tc>
          <w:tcPr>
            <w:tcW w:w="220" w:type="dxa"/>
            <w:vAlign w:val="bottom"/>
          </w:tcPr>
          <w:p>
            <w:pPr>
              <w:spacing w:after="0"/>
              <w:rPr>
                <w:sz w:val="19"/>
                <w:szCs w:val="19"/>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(406,103)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44,031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(20,201)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Macau Complementary Tax rate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expense at Macau Complementary Tax 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(48,732)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Effect of different tax rates of subsidiaries operating in other jurisdictions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Under provision in prior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Effect of income for which no income tax expense is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Effect of expenses for which no income tax benefit is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19,724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17,438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20,001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Effect of profits exempted from Macau Complementary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(42,203)</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(35,698)</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Effect of tax losses that cannot be carried forward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10,768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(1,456)</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Expired tax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13,158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14,866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20,212</w:t>
            </w: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Income tax (credit) expense</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79"/>
              </w:rPr>
              <w:t>402</w:t>
            </w: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79"/>
              </w:rPr>
              <w:t>544</w:t>
            </w:r>
          </w:p>
        </w:tc>
        <w:tc>
          <w:tcPr>
            <w:tcW w:w="2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200"/>
        <w:spacing w:after="0" w:line="287" w:lineRule="auto"/>
        <w:rPr>
          <w:sz w:val="20"/>
          <w:szCs w:val="20"/>
          <w:color w:val="auto"/>
        </w:rPr>
      </w:pPr>
      <w:r>
        <w:rPr>
          <w:rFonts w:ascii="Arial" w:cs="Arial" w:eastAsia="Arial" w:hAnsi="Arial"/>
          <w:sz w:val="16"/>
          <w:szCs w:val="16"/>
          <w:color w:val="auto"/>
        </w:rPr>
        <w:t>Studio City International and certain of its subsidiaries are exempt from tax in the Cayman Islands or British Virgin Islands (“BVI”), where they are incorporated, while one of these subsidiaries incorporated in BVI is subject to Hong Kong Profits Tax on income derived from Hong Kong during the years ended December 31, 2020 and 2019. The remaining subsidiaries of Studio City International incorporated in Macau and</w:t>
      </w:r>
    </w:p>
    <w:p>
      <w:pPr>
        <w:spacing w:after="0" w:line="2" w:lineRule="exact"/>
        <w:rPr>
          <w:sz w:val="20"/>
          <w:szCs w:val="20"/>
          <w:color w:val="auto"/>
        </w:rPr>
      </w:pPr>
    </w:p>
    <w:p>
      <w:pPr>
        <w:ind w:left="560" w:right="80"/>
        <w:spacing w:after="0" w:line="260" w:lineRule="auto"/>
        <w:rPr>
          <w:sz w:val="20"/>
          <w:szCs w:val="20"/>
          <w:color w:val="auto"/>
        </w:rPr>
      </w:pPr>
      <w:r>
        <w:rPr>
          <w:rFonts w:ascii="Arial" w:cs="Arial" w:eastAsia="Arial" w:hAnsi="Arial"/>
          <w:sz w:val="18"/>
          <w:szCs w:val="18"/>
          <w:color w:val="auto"/>
        </w:rPr>
        <w:t>Hong Kong are subject to Macau Complementary Tax and Hong Kong Profits Tax, respectively, during the years ended December 31, 2020, 2019 and 2018.</w:t>
      </w:r>
    </w:p>
    <w:p>
      <w:pPr>
        <w:spacing w:after="0" w:line="77" w:lineRule="exact"/>
        <w:rPr>
          <w:sz w:val="20"/>
          <w:szCs w:val="20"/>
          <w:color w:val="auto"/>
        </w:rPr>
      </w:pPr>
    </w:p>
    <w:p>
      <w:pPr>
        <w:ind w:left="560" w:right="660"/>
        <w:spacing w:after="0" w:line="342" w:lineRule="auto"/>
        <w:rPr>
          <w:sz w:val="20"/>
          <w:szCs w:val="20"/>
          <w:color w:val="auto"/>
        </w:rPr>
      </w:pPr>
      <w:r>
        <w:rPr>
          <w:rFonts w:ascii="Arial" w:cs="Arial" w:eastAsia="Arial" w:hAnsi="Arial"/>
          <w:sz w:val="16"/>
          <w:szCs w:val="16"/>
          <w:color w:val="auto"/>
        </w:rPr>
        <w:t>Macau Complementary Tax and Hong Kong Profits Tax have been provided at 12% and 16.5% on the estimated taxable income earned in or derived from Macau and Hong Kong, respectively, during the years ended December 31, 2020, 2019 and 2018, if applicable.</w:t>
      </w:r>
    </w:p>
    <w:p>
      <w:pPr>
        <w:spacing w:after="0" w:line="16" w:lineRule="exact"/>
        <w:rPr>
          <w:sz w:val="20"/>
          <w:szCs w:val="20"/>
          <w:color w:val="auto"/>
        </w:rPr>
      </w:pPr>
    </w:p>
    <w:p>
      <w:pPr>
        <w:ind w:left="560" w:right="120"/>
        <w:spacing w:after="0" w:line="257" w:lineRule="auto"/>
        <w:rPr>
          <w:sz w:val="20"/>
          <w:szCs w:val="20"/>
          <w:color w:val="auto"/>
        </w:rPr>
      </w:pPr>
      <w:r>
        <w:rPr>
          <w:rFonts w:ascii="Arial" w:cs="Arial" w:eastAsia="Arial" w:hAnsi="Arial"/>
          <w:sz w:val="18"/>
          <w:szCs w:val="18"/>
          <w:color w:val="auto"/>
        </w:rPr>
        <w:t>Pursuant to the approval notice issued by the Macau government in January 2017, one of Studio City International’s subsidiaries in Macau was granted an extension of the Macau Complementary Tax exemption on profits generated from income received from Melco Resorts Macau under the Services and Right to Use Arrangements for an additional five years from 2017 to 2021, to the extent that such income is derived from Studio City gaming operations and has been subject to gaming tax. The non-gaming profits and dividend distributions of such subsidiary to its shareholders continue to be subject to Macau Complementary Tax.</w:t>
      </w:r>
    </w:p>
    <w:p>
      <w:pPr>
        <w:spacing w:after="0" w:line="80" w:lineRule="exact"/>
        <w:rPr>
          <w:sz w:val="20"/>
          <w:szCs w:val="20"/>
          <w:color w:val="auto"/>
        </w:rPr>
      </w:pPr>
    </w:p>
    <w:p>
      <w:pPr>
        <w:ind w:left="560" w:right="20"/>
        <w:spacing w:after="0" w:line="293" w:lineRule="auto"/>
        <w:rPr>
          <w:sz w:val="20"/>
          <w:szCs w:val="20"/>
          <w:color w:val="auto"/>
        </w:rPr>
      </w:pPr>
      <w:r>
        <w:rPr>
          <w:rFonts w:ascii="Arial" w:cs="Arial" w:eastAsia="Arial" w:hAnsi="Arial"/>
          <w:sz w:val="16"/>
          <w:szCs w:val="16"/>
          <w:color w:val="auto"/>
        </w:rPr>
        <w:t>During the year ended December 31, 2020, the subsidiary of Studio City International did not have any profits generated from income received from Melco Resorts Macau under the Services and Right to Use Arrangements. During the years ended December 31, 2019 and 2018, had the subsidiary of Studio City International not received the income tax exemption on profits generated from income received from Melco Resorts Macau under the Services and Right to Use Arrangements, the Company’s consolidated net income attributable to Studio City International Holdings Limited for the year ended December 31, 2019 would have been decreased by $32,467 and diluted net income attributable to Studio City International Holdings Limited per Class A ordinary share would have been decreased by $0.134 per share, and the Company’s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86"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consolidated net loss attributable to Studio City International Holdings Limited for the year ended December 31, 2018 would have been increased by $33,835 and diluted net loss attributable to Studio City International Holdings Limited per Class A ordinary share would have been increased by $0.177 per share.</w:t>
      </w:r>
    </w:p>
    <w:p>
      <w:pPr>
        <w:spacing w:after="0" w:line="75" w:lineRule="exact"/>
        <w:rPr>
          <w:rFonts w:ascii="Arial" w:cs="Arial" w:eastAsia="Arial" w:hAnsi="Arial"/>
          <w:sz w:val="18"/>
          <w:szCs w:val="18"/>
          <w:b w:val="1"/>
          <w:bCs w:val="1"/>
          <w:color w:val="auto"/>
        </w:rPr>
      </w:pPr>
    </w:p>
    <w:p>
      <w:pPr>
        <w:ind w:left="5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effective tax rates for the years ended December 31, 2020, 2019 and 2018 were 0.2%, 0.9% and (2.7)%, respectively. Such rates differ from the statutory Macau Complementary Tax rate of 12% primarily due to the effect of expenses for which no income tax benefit is receivable, the effect of expired tax losses and the effect of changes in valuation allowances for the relevant years together with the effect of tax losses that cannot be carried forward for the year ended December 31, 2020 and the effect of profits exempted from Macau Complementary Tax for the years ended December 31, 2019 and 2018.</w:t>
      </w:r>
    </w:p>
    <w:p>
      <w:pPr>
        <w:spacing w:after="0" w:line="7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net deferred tax liabilities as of December 31, 2020 and 2019 consisted of the following:</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2020</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2019</w:t>
            </w:r>
          </w:p>
        </w:tc>
        <w:tc>
          <w:tcPr>
            <w:tcW w:w="120" w:type="dxa"/>
            <w:vAlign w:val="bottom"/>
            <w:tcBorders>
              <w:bottom w:val="single" w:sz="8" w:color="CCEEFF"/>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Net operating losses carried forward</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49,448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45,658</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27,004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18,166</w:t>
            </w: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Lease liabilities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2,176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1,754</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78,835</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65,578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(75,867)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(63,869)</w:t>
            </w: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Right-of-use assets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(1,709)</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capital allowances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(1,453)</w:t>
            </w: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2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(3,416)</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(3,162)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2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(1,453)</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As of December 31, 2020 and 2019, valuation allowances of $75,867 and $63,869 were provided, respectively, as management believes it is more likely than not that these deferred tax assets will not be realized. As of December 31, 2020, adjusted operating tax losses carried forward, amounting to $135,869, $131,364 and $144,836 will expire in 2021, 2022 and 2023, respectively. Adjusted operating tax losses carried forward of $109,654 expired during the year ended December 31, 2020.</w:t>
      </w:r>
    </w:p>
    <w:p>
      <w:pPr>
        <w:spacing w:after="0" w:line="79" w:lineRule="exact"/>
        <w:rPr>
          <w:sz w:val="20"/>
          <w:szCs w:val="20"/>
          <w:color w:val="auto"/>
        </w:rPr>
      </w:pPr>
    </w:p>
    <w:p>
      <w:pPr>
        <w:ind w:left="560" w:right="280"/>
        <w:spacing w:after="0" w:line="263" w:lineRule="auto"/>
        <w:rPr>
          <w:sz w:val="20"/>
          <w:szCs w:val="20"/>
          <w:color w:val="auto"/>
        </w:rPr>
      </w:pPr>
      <w:r>
        <w:rPr>
          <w:rFonts w:ascii="Arial" w:cs="Arial" w:eastAsia="Arial" w:hAnsi="Arial"/>
          <w:sz w:val="18"/>
          <w:szCs w:val="18"/>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76" w:lineRule="exact"/>
        <w:rPr>
          <w:sz w:val="20"/>
          <w:szCs w:val="20"/>
          <w:color w:val="auto"/>
        </w:rPr>
      </w:pPr>
    </w:p>
    <w:p>
      <w:pPr>
        <w:ind w:left="560" w:right="120"/>
        <w:spacing w:after="0" w:line="279" w:lineRule="auto"/>
        <w:rPr>
          <w:sz w:val="20"/>
          <w:szCs w:val="20"/>
          <w:color w:val="auto"/>
        </w:rPr>
      </w:pPr>
      <w:r>
        <w:rPr>
          <w:rFonts w:ascii="Arial" w:cs="Arial" w:eastAsia="Arial" w:hAnsi="Arial"/>
          <w:sz w:val="17"/>
          <w:szCs w:val="17"/>
          <w:color w:val="auto"/>
        </w:rPr>
        <w:t>Undistributed earnings of a foreign subsidiary of Studio City International available for distribution to Studio City International of approximately $892,924 and $982,864 as at December 31, 2020 and 2019, respectively, are considered to be indefinitely reinvested. Accordingly, no provision has been made for the dividend withholding taxes that would be payable upon the distribution of those amounts to Studio City International. If those earnings were to be distributed or they were determined to be no longer permanently</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86"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righ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reinvested, Studio City International would have to record a deferred income tax liability in respect of those undistributed earnings of approximately $107,151 and $117,944 as at December 31, 2020 and 2019, respectively.</w:t>
      </w:r>
    </w:p>
    <w:p>
      <w:pPr>
        <w:spacing w:after="0" w:line="62" w:lineRule="exact"/>
        <w:rPr>
          <w:rFonts w:ascii="Arial" w:cs="Arial" w:eastAsia="Arial" w:hAnsi="Arial"/>
          <w:sz w:val="18"/>
          <w:szCs w:val="18"/>
          <w:b w:val="1"/>
          <w:bCs w:val="1"/>
          <w:color w:val="auto"/>
        </w:rPr>
      </w:pPr>
    </w:p>
    <w:p>
      <w:pPr>
        <w:ind w:left="560" w:right="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concluded that there were no significant uncertain tax positions requiring recognition in the accompanying consolidated financial statements for the years ended December 31, 2020, 2019 and 2018 and there are no material unrecognized tax benefits which would favorably affect the effective income tax rates in future periods. As of December 31, 2020 and 2019, there were no interest and penalties related to uncertain tax positions recognized in the accompanying consolidated financial statements. The Company does not anticipate any significant increases or decreases in unrecognized tax benefits within the next twelve months.</w:t>
      </w:r>
    </w:p>
    <w:p>
      <w:pPr>
        <w:spacing w:after="0" w:line="68" w:lineRule="exact"/>
        <w:rPr>
          <w:rFonts w:ascii="Arial" w:cs="Arial" w:eastAsia="Arial" w:hAnsi="Arial"/>
          <w:sz w:val="18"/>
          <w:szCs w:val="18"/>
          <w:b w:val="1"/>
          <w:bCs w:val="1"/>
          <w:color w:val="auto"/>
        </w:rPr>
      </w:pPr>
    </w:p>
    <w:p>
      <w:pPr>
        <w:jc w:val="both"/>
        <w:ind w:left="560"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Income tax returns of Studio City International’s subsidiaries remain open and subject to examination by the tax authorities of Macau and Hong Kong until the statute of limitations expire in each corresponding jurisdiction. The statute of limitations in Macau and Hong Kong are five years and six years, respectively.</w:t>
      </w:r>
    </w:p>
    <w:p>
      <w:pPr>
        <w:spacing w:after="0" w:line="328" w:lineRule="exact"/>
        <w:rPr>
          <w:rFonts w:ascii="Arial" w:cs="Arial" w:eastAsia="Arial" w:hAnsi="Arial"/>
          <w:sz w:val="18"/>
          <w:szCs w:val="18"/>
          <w:b w:val="1"/>
          <w:bCs w:val="1"/>
          <w:color w:val="auto"/>
        </w:rPr>
      </w:pPr>
    </w:p>
    <w:p>
      <w:pPr>
        <w:ind w:left="540" w:hanging="424"/>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5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January 2021, Melco approved the grant of restricted shares under a share incentive plan adopted by Melco in 2011 (“Melco Share Incentive Plan”) to the eligible management personnel of Melco in lieu of the 2020 bonus for their services performed during 2020. The grant vested immediately on the grant date on March 31, 2021 and the grant date fair value was determined with reference to the closing price of Melco’s ADS trading on the Nasdaq Global Select Market on the date of grant.</w:t>
      </w:r>
    </w:p>
    <w:p>
      <w:pPr>
        <w:spacing w:after="0" w:line="78" w:lineRule="exact"/>
        <w:rPr>
          <w:rFonts w:ascii="Arial" w:cs="Arial" w:eastAsia="Arial" w:hAnsi="Arial"/>
          <w:sz w:val="18"/>
          <w:szCs w:val="18"/>
          <w:b w:val="1"/>
          <w:bCs w:val="1"/>
          <w:color w:val="auto"/>
        </w:rPr>
      </w:pPr>
    </w:p>
    <w:p>
      <w:pPr>
        <w:ind w:left="560" w:right="2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In accordance with the applicable accounting standards, the share-based compensation expenses related to this grant of restricted shares under Melco Share Incentive Plan to the eligible management personnel of Melco, to the extent of services received by the Company, were recognized in the accompanying consolidated statements of operations with a corresponding increase in amounts due to affiliated companies as the amounts were charged to the Company by Melco’s subsidiaries under the Management and Shared Services Arrangements.</w:t>
      </w:r>
    </w:p>
    <w:p>
      <w:pPr>
        <w:spacing w:after="0" w:line="4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share-based compensation expenses for the Company were recognized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Year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4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8"/>
                <w:szCs w:val="18"/>
                <w:color w:val="auto"/>
                <w:w w:val="88"/>
              </w:rPr>
              <w:t>December 31, 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share-based compensation expenses capitalized in construction in progress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 recognized in general and administrative expenses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56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provides defined contribution plans for its employees in Macau. Certain executive officers of the Company are members of defined contribution plan in Hong Kong operated by Melco. During the years ended December 31, 2020, 2019 and 2018, the Company’s contributions into these plans were $28, $(20) and $(324), respectively.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86"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PROFITS</w:t>
      </w:r>
    </w:p>
    <w:p>
      <w:pPr>
        <w:spacing w:after="0" w:line="121" w:lineRule="exact"/>
        <w:rPr>
          <w:rFonts w:ascii="Arial" w:cs="Arial" w:eastAsia="Arial" w:hAnsi="Arial"/>
          <w:sz w:val="18"/>
          <w:szCs w:val="18"/>
          <w:b w:val="1"/>
          <w:bCs w:val="1"/>
          <w:color w:val="auto"/>
        </w:rPr>
      </w:pPr>
    </w:p>
    <w:p>
      <w:pPr>
        <w:ind w:left="5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subsidiaries of Studio City International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the legal reserve is recorded in the subsidiaries’ financial statements in the year in which it is approved by the board of directors of the relevant subsidiaries. As of December 31, 2020 and 2019, the balance of the reserve amounted to $6 and $6, respectively.</w:t>
      </w:r>
    </w:p>
    <w:p>
      <w:pPr>
        <w:spacing w:after="0" w:line="84" w:lineRule="exact"/>
        <w:rPr>
          <w:rFonts w:ascii="Arial" w:cs="Arial" w:eastAsia="Arial" w:hAnsi="Arial"/>
          <w:sz w:val="18"/>
          <w:szCs w:val="18"/>
          <w:b w:val="1"/>
          <w:bCs w:val="1"/>
          <w:color w:val="auto"/>
        </w:rPr>
      </w:pPr>
    </w:p>
    <w:p>
      <w:pPr>
        <w:jc w:val="both"/>
        <w:ind w:left="5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borrowings, subject to certain exceptions and conditions, contain certain restrictions on paying dividends and other distributions, as defined in the respective indentures governing the relevant senior notes and the credit facility agreement, details of which are disclosed in Note 10 under each of the respective borrowings.</w:t>
      </w:r>
    </w:p>
    <w:p>
      <w:pPr>
        <w:spacing w:after="0" w:line="75" w:lineRule="exact"/>
        <w:rPr>
          <w:rFonts w:ascii="Arial" w:cs="Arial" w:eastAsia="Arial" w:hAnsi="Arial"/>
          <w:sz w:val="18"/>
          <w:szCs w:val="18"/>
          <w:b w:val="1"/>
          <w:bCs w:val="1"/>
          <w:color w:val="auto"/>
        </w:rPr>
      </w:pPr>
    </w:p>
    <w:p>
      <w:pPr>
        <w:ind w:left="560" w:right="160"/>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2020, 2019 and 2018, Studio City International did not declare or pay any cash dividends on the ordinary shares. No dividends have been proposed since the end of the reporting period.</w:t>
      </w:r>
    </w:p>
    <w:p>
      <w:pPr>
        <w:spacing w:after="0" w:line="288" w:lineRule="exact"/>
        <w:rPr>
          <w:rFonts w:ascii="Arial" w:cs="Arial" w:eastAsia="Arial" w:hAnsi="Arial"/>
          <w:sz w:val="18"/>
          <w:szCs w:val="18"/>
          <w:b w:val="1"/>
          <w:bCs w:val="1"/>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b w:val="1"/>
          <w:bCs w:val="1"/>
          <w:color w:val="auto"/>
        </w:rPr>
        <w:t>Capital and Other Commitments</w:t>
      </w:r>
    </w:p>
    <w:p>
      <w:pPr>
        <w:spacing w:after="0" w:line="121" w:lineRule="exact"/>
        <w:rPr>
          <w:rFonts w:ascii="Arial" w:cs="Arial" w:eastAsia="Arial" w:hAnsi="Arial"/>
          <w:sz w:val="18"/>
          <w:szCs w:val="18"/>
          <w:color w:val="auto"/>
        </w:rPr>
      </w:pPr>
    </w:p>
    <w:p>
      <w:pPr>
        <w:jc w:val="both"/>
        <w:ind w:left="1100" w:right="120"/>
        <w:spacing w:after="0" w:line="311" w:lineRule="auto"/>
        <w:rPr>
          <w:rFonts w:ascii="Arial" w:cs="Arial" w:eastAsia="Arial" w:hAnsi="Arial"/>
          <w:sz w:val="18"/>
          <w:szCs w:val="18"/>
          <w:color w:val="auto"/>
        </w:rPr>
      </w:pPr>
      <w:r>
        <w:rPr>
          <w:rFonts w:ascii="Arial" w:cs="Arial" w:eastAsia="Arial" w:hAnsi="Arial"/>
          <w:sz w:val="16"/>
          <w:szCs w:val="16"/>
          <w:color w:val="auto"/>
        </w:rPr>
        <w:t>As of December 31, 2020, the Company had capital commitments contracted for but not incurred for the construction and acquisition of property and equipment for Studio City totaling $498,490. In accordance with the Studio City land concession and the extension granted by the Macau government in November 2019, the land on which Studio City is located must be fully developed by May 31, 2022.</w:t>
      </w:r>
    </w:p>
    <w:p>
      <w:pPr>
        <w:spacing w:after="0" w:line="50" w:lineRule="exact"/>
        <w:rPr>
          <w:rFonts w:ascii="Arial" w:cs="Arial" w:eastAsia="Arial" w:hAnsi="Arial"/>
          <w:sz w:val="18"/>
          <w:szCs w:val="18"/>
          <w:color w:val="auto"/>
        </w:rPr>
      </w:pPr>
    </w:p>
    <w:p>
      <w:pPr>
        <w:ind w:left="1080" w:hanging="532"/>
        <w:spacing w:after="0"/>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b w:val="1"/>
          <w:bCs w:val="1"/>
          <w:color w:val="auto"/>
        </w:rPr>
        <w:t>Guarantee</w:t>
      </w:r>
    </w:p>
    <w:p>
      <w:pPr>
        <w:spacing w:after="0" w:line="12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Except as disclosed in Note 10, the Company has made the following significant guarantee as of December 31, 2020:</w:t>
      </w:r>
    </w:p>
    <w:p>
      <w:pPr>
        <w:spacing w:after="0" w:line="11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b w:val="1"/>
          <w:bCs w:val="1"/>
          <w:color w:val="auto"/>
        </w:rPr>
        <w:t>Trade Credit Facility</w:t>
      </w:r>
    </w:p>
    <w:p>
      <w:pPr>
        <w:spacing w:after="0" w:line="121" w:lineRule="exact"/>
        <w:rPr>
          <w:rFonts w:ascii="Arial" w:cs="Arial" w:eastAsia="Arial" w:hAnsi="Arial"/>
          <w:sz w:val="18"/>
          <w:szCs w:val="18"/>
          <w:color w:val="auto"/>
        </w:rPr>
      </w:pPr>
    </w:p>
    <w:p>
      <w:pPr>
        <w:ind w:left="1100" w:right="120"/>
        <w:spacing w:after="0" w:line="279" w:lineRule="auto"/>
        <w:rPr>
          <w:rFonts w:ascii="Arial" w:cs="Arial" w:eastAsia="Arial" w:hAnsi="Arial"/>
          <w:sz w:val="18"/>
          <w:szCs w:val="18"/>
          <w:color w:val="auto"/>
        </w:rPr>
      </w:pPr>
      <w:r>
        <w:rPr>
          <w:rFonts w:ascii="Arial" w:cs="Arial" w:eastAsia="Arial" w:hAnsi="Arial"/>
          <w:sz w:val="17"/>
          <w:szCs w:val="17"/>
          <w:color w:val="auto"/>
        </w:rPr>
        <w:t>In October 2013, one of the Studio City International’s subsidiaries entered into a trade credit facility agreement for HK$200,000,000 (equivalent to $25,797) (“Trade Credit Facility”) with a bank to meet certain payment obligations of the Studio City project. The Trade Credit Facility which matured on August 31, 2019 was further extended to August 31, 2021, and is guaranteed by Studio City Company. As of December 31, 2020, approximately $645 of the Trade Credit Facility had been utilized.</w:t>
      </w:r>
    </w:p>
    <w:p>
      <w:pPr>
        <w:spacing w:after="0" w:line="72" w:lineRule="exact"/>
        <w:rPr>
          <w:rFonts w:ascii="Arial" w:cs="Arial" w:eastAsia="Arial" w:hAnsi="Arial"/>
          <w:sz w:val="18"/>
          <w:szCs w:val="18"/>
          <w:color w:val="auto"/>
        </w:rPr>
      </w:pPr>
    </w:p>
    <w:p>
      <w:pPr>
        <w:ind w:left="1080" w:hanging="532"/>
        <w:spacing w:after="0"/>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color w:val="auto"/>
        </w:rPr>
      </w:pPr>
    </w:p>
    <w:p>
      <w:pPr>
        <w:ind w:left="1100" w:right="20"/>
        <w:spacing w:after="0" w:line="263" w:lineRule="auto"/>
        <w:rPr>
          <w:rFonts w:ascii="Arial" w:cs="Arial" w:eastAsia="Arial" w:hAnsi="Arial"/>
          <w:sz w:val="18"/>
          <w:szCs w:val="18"/>
          <w:color w:val="auto"/>
        </w:rPr>
      </w:pPr>
      <w:r>
        <w:rPr>
          <w:rFonts w:ascii="Arial" w:cs="Arial" w:eastAsia="Arial" w:hAnsi="Arial"/>
          <w:sz w:val="18"/>
          <w:szCs w:val="18"/>
          <w:color w:val="auto"/>
        </w:rPr>
        <w:t>As of December 31, 2020, the Company was a party to certain legal proceedings which relate to matters arising out of the ordinary course of its business. Management believes that the outcome of such proceedings have no material impacts on the Company’s consolidated financial statements as a whole.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60"/>
          </w:cols>
          <w:pgMar w:left="320" w:top="486" w:right="5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7"/>
          <w:szCs w:val="17"/>
          <w:color w:val="auto"/>
        </w:rPr>
        <w:t>During the years ended December 31, 2020, 2019 and 2018, the Company entered into the following significant related party transactions:</w:t>
      </w:r>
    </w:p>
    <w:p>
      <w:pPr>
        <w:spacing w:after="0" w:line="26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960" w:type="dxa"/>
            <w:vAlign w:val="bottom"/>
            <w:gridSpan w:val="2"/>
            <w:vMerge w:val="restart"/>
          </w:tcPr>
          <w:p>
            <w:pPr>
              <w:ind w:left="120"/>
              <w:spacing w:after="0"/>
              <w:rPr>
                <w:sz w:val="20"/>
                <w:szCs w:val="20"/>
                <w:color w:val="auto"/>
              </w:rPr>
            </w:pPr>
            <w:r>
              <w:rPr>
                <w:rFonts w:ascii="Arial" w:cs="Arial" w:eastAsia="Arial" w:hAnsi="Arial"/>
                <w:sz w:val="18"/>
                <w:szCs w:val="18"/>
                <w:color w:val="auto"/>
              </w:rPr>
              <w:t>Nature of transactions</w:t>
            </w:r>
          </w:p>
        </w:tc>
        <w:tc>
          <w:tcPr>
            <w:tcW w:w="200" w:type="dxa"/>
            <w:vAlign w:val="bottom"/>
          </w:tcPr>
          <w:p>
            <w:pPr>
              <w:spacing w:after="0"/>
              <w:rPr>
                <w:sz w:val="20"/>
                <w:szCs w:val="20"/>
                <w:color w:val="auto"/>
              </w:rPr>
            </w:pPr>
          </w:p>
        </w:tc>
        <w:tc>
          <w:tcPr>
            <w:tcW w:w="2880" w:type="dxa"/>
            <w:vAlign w:val="bottom"/>
            <w:tcBorders>
              <w:bottom w:val="single" w:sz="8" w:color="auto"/>
            </w:tcBorders>
            <w:gridSpan w:val="7"/>
          </w:tcPr>
          <w:p>
            <w:pPr>
              <w:jc w:val="right"/>
              <w:ind w:right="419"/>
              <w:spacing w:after="0"/>
              <w:rPr>
                <w:sz w:val="20"/>
                <w:szCs w:val="20"/>
                <w:color w:val="auto"/>
              </w:rPr>
            </w:pPr>
            <w:r>
              <w:rPr>
                <w:rFonts w:ascii="Arial" w:cs="Arial" w:eastAsia="Arial" w:hAnsi="Arial"/>
                <w:sz w:val="18"/>
                <w:szCs w:val="18"/>
                <w:color w:val="auto"/>
              </w:rPr>
              <w:t>Year Ended December 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20" w:type="dxa"/>
            <w:vAlign w:val="bottom"/>
            <w:gridSpan w:val="3"/>
          </w:tcPr>
          <w:p>
            <w:pPr>
              <w:spacing w:after="0"/>
              <w:rPr>
                <w:sz w:val="20"/>
                <w:szCs w:val="20"/>
                <w:color w:val="auto"/>
              </w:rPr>
            </w:pPr>
            <w:r>
              <w:rPr>
                <w:rFonts w:ascii="Arial" w:cs="Arial" w:eastAsia="Arial" w:hAnsi="Arial"/>
                <w:sz w:val="18"/>
                <w:szCs w:val="18"/>
                <w:color w:val="auto"/>
              </w:rPr>
              <w:t>Related companies</w:t>
            </w:r>
          </w:p>
        </w:tc>
        <w:tc>
          <w:tcPr>
            <w:tcW w:w="3960" w:type="dxa"/>
            <w:vAlign w:val="bottom"/>
            <w:gridSpan w:val="2"/>
            <w:vMerge w:val="continue"/>
          </w:tcPr>
          <w:p>
            <w:pPr>
              <w:spacing w:after="0"/>
              <w:rPr>
                <w:sz w:val="20"/>
                <w:szCs w:val="20"/>
                <w:color w:val="auto"/>
              </w:rPr>
            </w:pPr>
          </w:p>
        </w:tc>
        <w:tc>
          <w:tcPr>
            <w:tcW w:w="960" w:type="dxa"/>
            <w:vAlign w:val="bottom"/>
            <w:gridSpan w:val="2"/>
          </w:tcPr>
          <w:p>
            <w:pPr>
              <w:jc w:val="right"/>
              <w:ind w:right="116"/>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900" w:type="dxa"/>
            <w:vAlign w:val="bottom"/>
            <w:gridSpan w:val="2"/>
          </w:tcPr>
          <w:p>
            <w:pPr>
              <w:jc w:val="right"/>
              <w:ind w:right="119"/>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Transactions with affiliated companies</w:t>
            </w:r>
          </w:p>
        </w:tc>
        <w:tc>
          <w:tcPr>
            <w:tcW w:w="1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3020" w:type="dxa"/>
            <w:vAlign w:val="bottom"/>
            <w:gridSpan w:val="3"/>
          </w:tcPr>
          <w:p>
            <w:pPr>
              <w:spacing w:after="0"/>
              <w:rPr>
                <w:sz w:val="20"/>
                <w:szCs w:val="20"/>
                <w:color w:val="auto"/>
              </w:rPr>
            </w:pPr>
            <w:r>
              <w:rPr>
                <w:rFonts w:ascii="Arial" w:cs="Arial" w:eastAsia="Arial" w:hAnsi="Arial"/>
                <w:sz w:val="16"/>
                <w:szCs w:val="16"/>
                <w:color w:val="auto"/>
              </w:rPr>
              <w:t>Melco and its subsidiaries</w:t>
            </w:r>
          </w:p>
        </w:tc>
        <w:tc>
          <w:tcPr>
            <w:tcW w:w="39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 (services provided by the Company):</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Provision of gaming related services</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(42,682)</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393,512</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339,924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tcPr>
          <w:p>
            <w:pPr>
              <w:ind w:left="160"/>
              <w:spacing w:after="0" w:line="216" w:lineRule="exact"/>
              <w:rPr>
                <w:sz w:val="20"/>
                <w:szCs w:val="20"/>
                <w:color w:val="auto"/>
              </w:rPr>
            </w:pPr>
            <w:r>
              <w:rPr>
                <w:rFonts w:ascii="Arial" w:cs="Arial" w:eastAsia="Arial" w:hAnsi="Arial"/>
                <w:sz w:val="16"/>
                <w:szCs w:val="16"/>
                <w:color w:val="auto"/>
              </w:rPr>
              <w:t>Rooms and food and beverage</w:t>
            </w:r>
            <w:r>
              <w:rPr>
                <w:rFonts w:ascii="Arial" w:cs="Arial" w:eastAsia="Arial" w:hAnsi="Arial"/>
                <w:sz w:val="22"/>
                <w:szCs w:val="22"/>
                <w:color w:val="auto"/>
                <w:vertAlign w:val="superscript"/>
              </w:rPr>
              <w:t>(1)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30,468</w:t>
            </w:r>
          </w:p>
        </w:tc>
        <w:tc>
          <w:tcPr>
            <w:tcW w:w="1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92,584</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89,862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4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Services fee</w:t>
            </w:r>
            <w:r>
              <w:rPr>
                <w:rFonts w:ascii="Arial" w:cs="Arial" w:eastAsia="Arial" w:hAnsi="Arial"/>
                <w:sz w:val="22"/>
                <w:szCs w:val="22"/>
                <w:color w:val="auto"/>
                <w:vertAlign w:val="superscript"/>
              </w:rPr>
              <w:t>(2)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26,151</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39,470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39,126</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ind w:left="160"/>
              <w:spacing w:after="0"/>
              <w:rPr>
                <w:sz w:val="20"/>
                <w:szCs w:val="20"/>
                <w:color w:val="auto"/>
              </w:rPr>
            </w:pPr>
            <w:r>
              <w:rPr>
                <w:rFonts w:ascii="Arial" w:cs="Arial" w:eastAsia="Arial" w:hAnsi="Arial"/>
                <w:sz w:val="16"/>
                <w:szCs w:val="16"/>
                <w:color w:val="auto"/>
              </w:rPr>
              <w:t>Entertainment</w:t>
            </w:r>
            <w:r>
              <w:rPr>
                <w:rFonts w:ascii="Arial" w:cs="Arial" w:eastAsia="Arial" w:hAnsi="Arial"/>
                <w:sz w:val="22"/>
                <w:szCs w:val="22"/>
                <w:color w:val="auto"/>
                <w:vertAlign w:val="superscript"/>
              </w:rPr>
              <w:t>(1)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7,685</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Costs and expenses (services provided to the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Company):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Arial" w:cs="Arial" w:eastAsia="Arial" w:hAnsi="Arial"/>
                <w:sz w:val="16"/>
                <w:szCs w:val="16"/>
                <w:color w:val="auto"/>
              </w:rPr>
              <w:t>Staff costs recharges</w:t>
            </w:r>
            <w:r>
              <w:rPr>
                <w:rFonts w:ascii="Arial" w:cs="Arial" w:eastAsia="Arial" w:hAnsi="Arial"/>
                <w:sz w:val="22"/>
                <w:szCs w:val="22"/>
                <w:color w:val="auto"/>
                <w:vertAlign w:val="superscript"/>
              </w:rPr>
              <w:t>(3)(4)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65,515</w:t>
            </w:r>
          </w:p>
        </w:tc>
        <w:tc>
          <w:tcPr>
            <w:tcW w:w="18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89,273</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92,214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40" w:type="dxa"/>
            <w:vAlign w:val="bottom"/>
            <w:shd w:val="clear" w:color="auto" w:fill="CCEEFF"/>
          </w:tcPr>
          <w:p>
            <w:pPr>
              <w:ind w:left="160"/>
              <w:spacing w:after="0" w:line="203" w:lineRule="exact"/>
              <w:rPr>
                <w:sz w:val="20"/>
                <w:szCs w:val="20"/>
                <w:color w:val="auto"/>
              </w:rPr>
            </w:pPr>
            <w:r>
              <w:rPr>
                <w:rFonts w:ascii="Arial" w:cs="Arial" w:eastAsia="Arial" w:hAnsi="Arial"/>
                <w:sz w:val="16"/>
                <w:szCs w:val="16"/>
                <w:color w:val="auto"/>
              </w:rPr>
              <w:t>Corporate services</w:t>
            </w:r>
            <w:r>
              <w:rPr>
                <w:rFonts w:ascii="Arial" w:cs="Arial" w:eastAsia="Arial" w:hAnsi="Arial"/>
                <w:sz w:val="22"/>
                <w:szCs w:val="22"/>
                <w:color w:val="auto"/>
                <w:vertAlign w:val="superscript"/>
              </w:rPr>
              <w:t>(5)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32,354</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34,519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Pr>
          <w:p>
            <w:pPr>
              <w:ind w:left="160"/>
              <w:spacing w:after="0"/>
              <w:rPr>
                <w:sz w:val="20"/>
                <w:szCs w:val="20"/>
                <w:color w:val="auto"/>
              </w:rPr>
            </w:pPr>
            <w:r>
              <w:rPr>
                <w:rFonts w:ascii="Arial" w:cs="Arial" w:eastAsia="Arial" w:hAnsi="Arial"/>
                <w:sz w:val="16"/>
                <w:szCs w:val="16"/>
                <w:color w:val="auto"/>
              </w:rPr>
              <w:t>Other services</w:t>
            </w: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14,118</w:t>
            </w: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16,117</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12,498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40" w:type="dxa"/>
            <w:vAlign w:val="bottom"/>
            <w:shd w:val="clear" w:color="auto" w:fill="CCEEFF"/>
          </w:tcPr>
          <w:p>
            <w:pPr>
              <w:ind w:left="160"/>
              <w:spacing w:after="0" w:line="203" w:lineRule="exact"/>
              <w:rPr>
                <w:sz w:val="20"/>
                <w:szCs w:val="20"/>
                <w:color w:val="auto"/>
              </w:rPr>
            </w:pPr>
            <w:r>
              <w:rPr>
                <w:rFonts w:ascii="Arial" w:cs="Arial" w:eastAsia="Arial" w:hAnsi="Arial"/>
                <w:sz w:val="16"/>
                <w:szCs w:val="16"/>
                <w:color w:val="auto"/>
              </w:rPr>
              <w:t>Staff costs capitalized in construction in progress</w:t>
            </w:r>
            <w:r>
              <w:rPr>
                <w:rFonts w:ascii="Arial" w:cs="Arial" w:eastAsia="Arial" w:hAnsi="Arial"/>
                <w:sz w:val="22"/>
                <w:szCs w:val="22"/>
                <w:color w:val="auto"/>
                <w:vertAlign w:val="superscript"/>
              </w:rPr>
              <w:t>(4)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10,949</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7,864</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Pr>
          <w:p>
            <w:pPr>
              <w:ind w:left="160"/>
              <w:spacing w:after="0"/>
              <w:rPr>
                <w:sz w:val="20"/>
                <w:szCs w:val="20"/>
                <w:color w:val="auto"/>
              </w:rPr>
            </w:pPr>
            <w:r>
              <w:rPr>
                <w:rFonts w:ascii="Arial" w:cs="Arial" w:eastAsia="Arial" w:hAnsi="Arial"/>
                <w:sz w:val="16"/>
                <w:szCs w:val="16"/>
                <w:color w:val="auto"/>
              </w:rPr>
              <w:t>Purchases of goods and services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151</w:t>
            </w:r>
          </w:p>
        </w:tc>
        <w:tc>
          <w:tcPr>
            <w:tcW w:w="18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523</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Sale and purchase of assets: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tcPr>
          <w:p>
            <w:pPr>
              <w:ind w:left="160"/>
              <w:spacing w:after="0"/>
              <w:rPr>
                <w:sz w:val="20"/>
                <w:szCs w:val="20"/>
                <w:color w:val="auto"/>
              </w:rPr>
            </w:pPr>
            <w:r>
              <w:rPr>
                <w:rFonts w:ascii="Arial" w:cs="Arial" w:eastAsia="Arial" w:hAnsi="Arial"/>
                <w:sz w:val="16"/>
                <w:szCs w:val="16"/>
                <w:color w:val="auto"/>
                <w:w w:val="99"/>
              </w:rPr>
              <w:t>Sale of property and equipment and other long-term</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6"/>
                <w:szCs w:val="16"/>
                <w:color w:val="auto"/>
              </w:rPr>
              <w:t>assets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2,692</w:t>
            </w:r>
          </w:p>
        </w:tc>
        <w:tc>
          <w:tcPr>
            <w:tcW w:w="1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1,323</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9,112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Transfer-in of other long-term assets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7,206</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17,516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15,246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Pr>
          <w:p>
            <w:pPr>
              <w:ind w:left="160"/>
              <w:spacing w:after="0"/>
              <w:rPr>
                <w:sz w:val="20"/>
                <w:szCs w:val="20"/>
                <w:color w:val="auto"/>
              </w:rPr>
            </w:pPr>
            <w:r>
              <w:rPr>
                <w:rFonts w:ascii="Arial" w:cs="Arial" w:eastAsia="Arial" w:hAnsi="Arial"/>
                <w:sz w:val="16"/>
                <w:szCs w:val="16"/>
                <w:color w:val="auto"/>
              </w:rPr>
              <w:t>Purchases of intangible assets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A joint venture and a subsidiary of MECOM</w:t>
            </w:r>
          </w:p>
        </w:tc>
        <w:tc>
          <w:tcPr>
            <w:tcW w:w="12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Power and Construction Limited</w:t>
            </w:r>
          </w:p>
        </w:tc>
        <w:tc>
          <w:tcPr>
            <w:tcW w:w="12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000" w:type="dxa"/>
            <w:vAlign w:val="bottom"/>
            <w:gridSpan w:val="2"/>
            <w:shd w:val="clear" w:color="auto" w:fill="CCEEFF"/>
          </w:tcPr>
          <w:p>
            <w:pPr>
              <w:ind w:left="140"/>
              <w:spacing w:after="0" w:line="239" w:lineRule="exact"/>
              <w:rPr>
                <w:sz w:val="20"/>
                <w:szCs w:val="20"/>
                <w:color w:val="auto"/>
              </w:rPr>
            </w:pPr>
            <w:r>
              <w:rPr>
                <w:rFonts w:ascii="Arial" w:cs="Arial" w:eastAsia="Arial" w:hAnsi="Arial"/>
                <w:sz w:val="16"/>
                <w:szCs w:val="16"/>
                <w:color w:val="auto"/>
              </w:rPr>
              <w:t>(“MECOM”)</w:t>
            </w:r>
            <w:r>
              <w:rPr>
                <w:rFonts w:ascii="Arial" w:cs="Arial" w:eastAsia="Arial" w:hAnsi="Arial"/>
                <w:sz w:val="22"/>
                <w:szCs w:val="22"/>
                <w:color w:val="auto"/>
                <w:vertAlign w:val="superscript"/>
              </w:rPr>
              <w:t>(6)</w:t>
            </w:r>
          </w:p>
        </w:tc>
        <w:tc>
          <w:tcPr>
            <w:tcW w:w="12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Costs and expenses (services provided to the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Company):</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Pr>
          <w:p>
            <w:pPr>
              <w:ind w:left="160"/>
              <w:spacing w:after="0"/>
              <w:rPr>
                <w:sz w:val="20"/>
                <w:szCs w:val="20"/>
                <w:color w:val="auto"/>
              </w:rPr>
            </w:pPr>
            <w:r>
              <w:rPr>
                <w:rFonts w:ascii="Arial" w:cs="Arial" w:eastAsia="Arial" w:hAnsi="Arial"/>
                <w:sz w:val="16"/>
                <w:szCs w:val="16"/>
                <w:color w:val="auto"/>
              </w:rPr>
              <w:t>Consultancy fee</w:t>
            </w:r>
          </w:p>
        </w:tc>
        <w:tc>
          <w:tcPr>
            <w:tcW w:w="2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3,096</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Purchase of assets: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tcPr>
          <w:p>
            <w:pPr>
              <w:ind w:left="160"/>
              <w:spacing w:after="0"/>
              <w:rPr>
                <w:sz w:val="20"/>
                <w:szCs w:val="20"/>
                <w:color w:val="auto"/>
              </w:rPr>
            </w:pPr>
            <w:r>
              <w:rPr>
                <w:rFonts w:ascii="Arial" w:cs="Arial" w:eastAsia="Arial" w:hAnsi="Arial"/>
                <w:sz w:val="16"/>
                <w:szCs w:val="16"/>
                <w:color w:val="auto"/>
              </w:rPr>
              <w:t>Construction and renovation work performed and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Pr>
          <w:p>
            <w:pPr>
              <w:ind w:left="320"/>
              <w:spacing w:after="0"/>
              <w:rPr>
                <w:sz w:val="20"/>
                <w:szCs w:val="20"/>
                <w:color w:val="auto"/>
              </w:rPr>
            </w:pPr>
            <w:r>
              <w:rPr>
                <w:rFonts w:ascii="Arial" w:cs="Arial" w:eastAsia="Arial" w:hAnsi="Arial"/>
                <w:sz w:val="16"/>
                <w:szCs w:val="16"/>
                <w:color w:val="auto"/>
              </w:rPr>
              <w:t>recognized as property and equipment</w:t>
            </w:r>
          </w:p>
        </w:tc>
        <w:tc>
          <w:tcPr>
            <w:tcW w:w="2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4,328</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3,741</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Notes</w:t>
      </w:r>
    </w:p>
    <w:p>
      <w:pPr>
        <w:spacing w:after="0" w:line="22" w:lineRule="exact"/>
        <w:rPr>
          <w:sz w:val="20"/>
          <w:szCs w:val="20"/>
          <w:color w:val="auto"/>
        </w:rPr>
      </w:pPr>
    </w:p>
    <w:p>
      <w:pPr>
        <w:ind w:left="980" w:right="60" w:hanging="432"/>
        <w:spacing w:after="0" w:line="264" w:lineRule="auto"/>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These revenues primarily represented the standalone selling prices (upon the adoption of the New Revenue Standard) of the complimentary services (including rooms, food and beverage and entertainment services) provided to Studio City Casino’s gaming patrons and charged to Melco Resorts Macau. For the years ended December 31, 2020, 2019 and 2018, the related party rooms and food and beverage revenues and entertainment revenues aggregated to $30,493, $100,269 and $91,053, respectively, of which $27,090, $87,005 and $81,267 related to Studio City Casino’s gaming patrons and $3,403, $13,264 and $9,786 related to non-Studio City Casino’s gaming patrons, respectively.</w:t>
      </w:r>
    </w:p>
    <w:p>
      <w:pPr>
        <w:ind w:left="980" w:hanging="432"/>
        <w:spacing w:after="0" w:line="288" w:lineRule="auto"/>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Services provided by the Company to Melco and its subsidiaries mainly include, but are not limited to, certain shared administrative services and shuttle bus transportation services provided to Studio City Casino.</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86"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 continued</w:t>
      </w:r>
    </w:p>
    <w:p>
      <w:pPr>
        <w:spacing w:after="0" w:line="139" w:lineRule="exact"/>
        <w:rPr>
          <w:rFonts w:ascii="Arial" w:cs="Arial" w:eastAsia="Arial" w:hAnsi="Arial"/>
          <w:sz w:val="18"/>
          <w:szCs w:val="18"/>
          <w:b w:val="1"/>
          <w:bCs w:val="1"/>
          <w:color w:val="auto"/>
        </w:rPr>
      </w:pPr>
    </w:p>
    <w:p>
      <w:pPr>
        <w:jc w:val="both"/>
        <w:ind w:left="980" w:right="80" w:hanging="432"/>
        <w:spacing w:after="0" w:line="265" w:lineRule="auto"/>
        <w:tabs>
          <w:tab w:leader="none" w:pos="9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Staff costs are recharged by Melco and its subsidiaries for staff who are solely dedicated to Studio City to carry out activities, including food and beverage management, retail management, hotel management, entertainment projects, mall development and sales and marketing activities and staff costs for certain shared administrative services.</w:t>
      </w:r>
    </w:p>
    <w:p>
      <w:pPr>
        <w:spacing w:after="0" w:line="1" w:lineRule="exact"/>
        <w:rPr>
          <w:rFonts w:ascii="Arial" w:cs="Arial" w:eastAsia="Arial" w:hAnsi="Arial"/>
          <w:sz w:val="16"/>
          <w:szCs w:val="16"/>
          <w:color w:val="auto"/>
        </w:rPr>
      </w:pPr>
    </w:p>
    <w:p>
      <w:pPr>
        <w:ind w:left="980" w:hanging="432"/>
        <w:spacing w:after="0"/>
        <w:tabs>
          <w:tab w:leader="none" w:pos="9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These staff costs included share-based compensation expenses.</w:t>
      </w:r>
    </w:p>
    <w:p>
      <w:pPr>
        <w:spacing w:after="0" w:line="18" w:lineRule="exact"/>
        <w:rPr>
          <w:rFonts w:ascii="Arial" w:cs="Arial" w:eastAsia="Arial" w:hAnsi="Arial"/>
          <w:sz w:val="16"/>
          <w:szCs w:val="16"/>
          <w:color w:val="auto"/>
        </w:rPr>
      </w:pPr>
    </w:p>
    <w:p>
      <w:pPr>
        <w:ind w:left="980" w:right="40" w:hanging="432"/>
        <w:spacing w:after="0" w:line="264" w:lineRule="auto"/>
        <w:tabs>
          <w:tab w:leader="none" w:pos="9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Corporate services are provided to the Company by Melco and its subsidiaries. These services include, but are not limited to, general corporate services and senior executive management services for operational purposes.</w:t>
      </w:r>
    </w:p>
    <w:p>
      <w:pPr>
        <w:ind w:left="980" w:hanging="432"/>
        <w:spacing w:after="0" w:line="276" w:lineRule="auto"/>
        <w:tabs>
          <w:tab w:leader="none" w:pos="9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 company in which Mr. Lawrence Yau Lung Ho, Studio City International’s director, had beneficial interest of approximately 20% until December 10, 2019, the date on which Mr. Lawrence Yau Lung Ho disposed his entire beneficial interest in MECOM. The amount in 2019 represents the transactions with a joint venture and a subsidiary of MECOM during the period from January 1, 2019 to December 10, 2019.</w:t>
      </w:r>
    </w:p>
    <w:p>
      <w:pPr>
        <w:spacing w:after="0" w:line="82" w:lineRule="exact"/>
        <w:rPr>
          <w:sz w:val="20"/>
          <w:szCs w:val="20"/>
          <w:color w:val="auto"/>
        </w:rPr>
      </w:pPr>
    </w:p>
    <w:p>
      <w:pPr>
        <w:ind w:left="1080" w:hanging="532"/>
        <w:spacing w:after="0"/>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b w:val="1"/>
          <w:bCs w:val="1"/>
          <w:color w:val="auto"/>
        </w:rPr>
        <w:t>Amounts Due from Affiliated Companies</w:t>
      </w:r>
    </w:p>
    <w:p>
      <w:pPr>
        <w:spacing w:after="0" w:line="121" w:lineRule="exact"/>
        <w:rPr>
          <w:rFonts w:ascii="Arial" w:cs="Arial" w:eastAsia="Arial" w:hAnsi="Arial"/>
          <w:sz w:val="18"/>
          <w:szCs w:val="18"/>
          <w:color w:val="auto"/>
        </w:rPr>
      </w:pPr>
    </w:p>
    <w:p>
      <w:pPr>
        <w:ind w:left="1100" w:right="400"/>
        <w:spacing w:after="0" w:line="308" w:lineRule="auto"/>
        <w:rPr>
          <w:rFonts w:ascii="Arial" w:cs="Arial" w:eastAsia="Arial" w:hAnsi="Arial"/>
          <w:sz w:val="18"/>
          <w:szCs w:val="18"/>
          <w:color w:val="auto"/>
        </w:rPr>
      </w:pPr>
      <w:r>
        <w:rPr>
          <w:rFonts w:ascii="Arial" w:cs="Arial" w:eastAsia="Arial" w:hAnsi="Arial"/>
          <w:sz w:val="17"/>
          <w:szCs w:val="17"/>
          <w:color w:val="auto"/>
        </w:rPr>
        <w:t>The outstanding balances as of December 31, 2020 and 2019 are receivables from Melco’s subsidiaries mainly arising from operating income or prepayment of operating expenses, and are unsecured, non-interest bearing and repayable on demand.</w:t>
      </w:r>
    </w:p>
    <w:p>
      <w:pPr>
        <w:spacing w:after="0" w:line="47" w:lineRule="exact"/>
        <w:rPr>
          <w:rFonts w:ascii="Arial" w:cs="Arial" w:eastAsia="Arial" w:hAnsi="Arial"/>
          <w:sz w:val="18"/>
          <w:szCs w:val="18"/>
          <w:color w:val="auto"/>
        </w:rPr>
      </w:pPr>
    </w:p>
    <w:p>
      <w:pPr>
        <w:ind w:left="1080" w:hanging="532"/>
        <w:spacing w:after="0"/>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b w:val="1"/>
          <w:bCs w:val="1"/>
          <w:color w:val="auto"/>
        </w:rPr>
        <w:t>Amounts Due to Affiliated Companies</w:t>
      </w:r>
    </w:p>
    <w:p>
      <w:pPr>
        <w:spacing w:after="0" w:line="121" w:lineRule="exact"/>
        <w:rPr>
          <w:rFonts w:ascii="Arial" w:cs="Arial" w:eastAsia="Arial" w:hAnsi="Arial"/>
          <w:sz w:val="18"/>
          <w:szCs w:val="18"/>
          <w:color w:val="auto"/>
        </w:rPr>
      </w:pPr>
    </w:p>
    <w:p>
      <w:pPr>
        <w:ind w:left="1100" w:right="380"/>
        <w:spacing w:after="0" w:line="277" w:lineRule="auto"/>
        <w:rPr>
          <w:rFonts w:ascii="Arial" w:cs="Arial" w:eastAsia="Arial" w:hAnsi="Arial"/>
          <w:sz w:val="18"/>
          <w:szCs w:val="18"/>
          <w:color w:val="auto"/>
        </w:rPr>
      </w:pPr>
      <w:r>
        <w:rPr>
          <w:rFonts w:ascii="Arial" w:cs="Arial" w:eastAsia="Arial" w:hAnsi="Arial"/>
          <w:sz w:val="18"/>
          <w:szCs w:val="18"/>
          <w:color w:val="auto"/>
        </w:rPr>
        <w:t>The outstanding balances as of December 31, 2020 and 2019 are payables to Melco and its subsidiaries mainly arising from operating expenses, and are unsecured, non-interest bearing and repayable on demand.</w:t>
      </w:r>
    </w:p>
    <w:p>
      <w:pPr>
        <w:spacing w:after="0" w:line="314" w:lineRule="exact"/>
        <w:rPr>
          <w:rFonts w:ascii="Arial" w:cs="Arial" w:eastAsia="Arial" w:hAnsi="Arial"/>
          <w:sz w:val="18"/>
          <w:szCs w:val="18"/>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560" w:right="3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Company’s principal operating activities are engaged in the hospitality business and provision of gaming related services in Macau. The Company monitors its operations and evaluates its earnings by reviewing the assets and operations of Studio City as one operating segment. Accordingly, the Company does not present separate segment information. As of December 31, 2020 and 2019, the Company operated in one geographical area, Macau, where it derives its revenues and its long-lived assets are located.</w:t>
      </w:r>
    </w:p>
    <w:p>
      <w:pPr>
        <w:spacing w:after="0" w:line="315" w:lineRule="exact"/>
        <w:rPr>
          <w:rFonts w:ascii="Arial" w:cs="Arial" w:eastAsia="Arial" w:hAnsi="Arial"/>
          <w:sz w:val="18"/>
          <w:szCs w:val="18"/>
          <w:b w:val="1"/>
          <w:bCs w:val="1"/>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4" w:lineRule="exact"/>
        <w:rPr>
          <w:rFonts w:ascii="Arial" w:cs="Arial" w:eastAsia="Arial" w:hAnsi="Arial"/>
          <w:sz w:val="18"/>
          <w:szCs w:val="18"/>
          <w:b w:val="1"/>
          <w:bCs w:val="1"/>
          <w:color w:val="auto"/>
        </w:rPr>
      </w:pPr>
    </w:p>
    <w:p>
      <w:pPr>
        <w:ind w:left="1080" w:right="100" w:hanging="532"/>
        <w:spacing w:after="0" w:line="277" w:lineRule="auto"/>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December 2020, Melco Resorts Macau further agreed to continue VIP rolling chip operations at the Studio City Casino until December 2021, subject to early termination with 30 day’s prior notice by either the Company or Melco Resorts Macau.</w:t>
      </w:r>
    </w:p>
    <w:p>
      <w:pPr>
        <w:spacing w:after="0" w:line="75" w:lineRule="exact"/>
        <w:rPr>
          <w:rFonts w:ascii="Arial" w:cs="Arial" w:eastAsia="Arial" w:hAnsi="Arial"/>
          <w:sz w:val="18"/>
          <w:szCs w:val="18"/>
          <w:color w:val="auto"/>
        </w:rPr>
      </w:pPr>
    </w:p>
    <w:p>
      <w:pPr>
        <w:ind w:left="1080" w:right="80" w:hanging="532"/>
        <w:spacing w:after="0" w:line="275" w:lineRule="auto"/>
        <w:tabs>
          <w:tab w:leader="none" w:pos="108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On January 4, 2021, Studio City Finance initiated a conditional tender offer (the “Conditional Tender Offer”) to purchase for cash any and all of the outstanding 2019 7.250% Studio City Notes with accrued interest. The Conditional Tender Offer was conditional upon, among other things, Studio City Finance raising sufficient funding from the completion of one or more financing transactions, together with cash on hand, to fund the purchase of validly tendered notes. The Conditional Tender Offer expired on January 11, 2021 with $347,056 aggregate principal amount of the 2019 7.250% Studio City Notes tendered.</w:t>
      </w:r>
    </w:p>
    <w:p>
      <w:pPr>
        <w:spacing w:after="0" w:line="81" w:lineRule="exact"/>
        <w:rPr>
          <w:rFonts w:ascii="Arial" w:cs="Arial" w:eastAsia="Arial" w:hAnsi="Arial"/>
          <w:sz w:val="17"/>
          <w:szCs w:val="17"/>
          <w:color w:val="auto"/>
        </w:rPr>
      </w:pPr>
    </w:p>
    <w:p>
      <w:pPr>
        <w:ind w:left="1080" w:right="140" w:hanging="532"/>
        <w:spacing w:after="0" w:line="311" w:lineRule="auto"/>
        <w:tabs>
          <w:tab w:leader="none" w:pos="10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On January 14, 2021, Studio City Finance issued $750,000 in aggregate principal amount of 5.000% senior notes due January 15, 2029 at an issue price of 100% of the principal amount (the “2021 5.000% Studio City Notes”). The net proceeds from the offering of the 2021 5.000% Studio City Notes were used to fund the Conditional Tender Offer and, on February 17, 2021, redeem the 2019 7.250% Studio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86"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 continued</w:t>
      </w:r>
    </w:p>
    <w:p>
      <w:pPr>
        <w:spacing w:after="0" w:line="121" w:lineRule="exact"/>
        <w:rPr>
          <w:sz w:val="20"/>
          <w:szCs w:val="20"/>
          <w:color w:val="auto"/>
        </w:rPr>
      </w:pPr>
    </w:p>
    <w:p>
      <w:pPr>
        <w:ind w:left="1080" w:right="60"/>
        <w:spacing w:after="0" w:line="253" w:lineRule="auto"/>
        <w:rPr>
          <w:sz w:val="20"/>
          <w:szCs w:val="20"/>
          <w:color w:val="auto"/>
        </w:rPr>
      </w:pPr>
      <w:r>
        <w:rPr>
          <w:rFonts w:ascii="Arial" w:cs="Arial" w:eastAsia="Arial" w:hAnsi="Arial"/>
          <w:sz w:val="18"/>
          <w:szCs w:val="18"/>
          <w:color w:val="auto"/>
        </w:rPr>
        <w:t>City Notes in aggregate principal amount of $252,944 which remained outstanding following the completion of the Conditional Tender Offer, together with accrued interest. The remaining proceeds will be used to partially fund the capital expenditures of the remaining development project at Studio City and for general corporate purposes. All of the existing subsidiaries of Studio City Finance and any other future restricted subsidiaries as defined in the 2021 5.000% Studio City Notes are guarantors to guarantee the indebtedness under the 2021 5.000% Studio City Notes.</w:t>
      </w:r>
    </w:p>
    <w:p>
      <w:pPr>
        <w:spacing w:after="0" w:line="3" w:lineRule="exact"/>
        <w:rPr>
          <w:sz w:val="20"/>
          <w:szCs w:val="20"/>
          <w:color w:val="auto"/>
        </w:rPr>
      </w:pPr>
    </w:p>
    <w:p>
      <w:pPr>
        <w:ind w:left="1080" w:hanging="532"/>
        <w:spacing w:after="0" w:line="287" w:lineRule="auto"/>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On March 15, 2021, Studio City Company amended the terms of the 2016 Studio City Credit Facilities, including the extension of the maturity date for the 2016 SC Term Loan Facility and the 2016 SC Revolving Credit Facility from November 30, 2021 to January 15, 2028 (the “Extended Maturity Date”). The 2016 SC Term Loan Facility shall be repaid at the Extended Maturity Date with no interim amortization payments. The 2016 SC Revolving Credit Facility is available up to the date that is one month prior to the 2016 SC Revolving Credit Facility’s Extended Maturity Date. Changes have also been made to the covenants in order to align them with those of certain other financings at Studio City Finance, including amending the threshold sizes and measurement dates of the covenants. Accordingly, the outstanding principal amount of the 2016 SC Term Loan Facility, and the related deferred financing costs and restricted cash as of December 31, 2020 were classified as non-current liabilities or assets in the accompanying consolidated balance sheets.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86"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 - FINANCIAL STATEMENT SCHEDULE 1</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6"/>
          </w:tcPr>
          <w:p>
            <w:pPr>
              <w:jc w:val="right"/>
              <w:ind w:right="7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3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Amount due from a subsidiary</w:t>
            </w:r>
          </w:p>
        </w:tc>
        <w:tc>
          <w:tcPr>
            <w:tcW w:w="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6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1,061,037</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891,367</w:t>
            </w:r>
          </w:p>
        </w:tc>
        <w:tc>
          <w:tcPr>
            <w:tcW w:w="0" w:type="dxa"/>
            <w:vAlign w:val="bottom"/>
          </w:tcPr>
          <w:p>
            <w:pPr>
              <w:spacing w:after="0"/>
              <w:rPr>
                <w:sz w:val="1"/>
                <w:szCs w:val="1"/>
                <w:color w:val="auto"/>
              </w:rPr>
            </w:pPr>
          </w:p>
        </w:tc>
      </w:tr>
      <w:tr>
        <w:trPr>
          <w:trHeight w:val="61"/>
        </w:trPr>
        <w:tc>
          <w:tcPr>
            <w:tcW w:w="85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1,061,048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892,280</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8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445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due to subsidiaries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Class A ordinary shares, par value $0.0001; 1,927,488,240 shares authorized; 370,352,700 and 241,818,016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respectively</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8560" w:type="dxa"/>
            <w:vAlign w:val="bottom"/>
          </w:tcPr>
          <w:p>
            <w:pPr>
              <w:ind w:left="180"/>
              <w:spacing w:after="0" w:line="201" w:lineRule="exact"/>
              <w:rPr>
                <w:sz w:val="20"/>
                <w:szCs w:val="20"/>
                <w:color w:val="auto"/>
              </w:rPr>
            </w:pPr>
            <w:r>
              <w:rPr>
                <w:rFonts w:ascii="Arial" w:cs="Arial" w:eastAsia="Arial" w:hAnsi="Arial"/>
                <w:sz w:val="18"/>
                <w:szCs w:val="18"/>
                <w:color w:val="auto"/>
                <w:w w:val="98"/>
              </w:rPr>
              <w:t>Class B ordinary shares, par value $0.0001; 72,511,760 shares authorized; 72,511,760 shares issued and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2,134,227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1,655,602</w:t>
            </w:r>
          </w:p>
        </w:tc>
        <w:tc>
          <w:tcPr>
            <w:tcW w:w="0" w:type="dxa"/>
            <w:vAlign w:val="bottom"/>
          </w:tcPr>
          <w:p>
            <w:pPr>
              <w:spacing w:after="0"/>
              <w:rPr>
                <w:sz w:val="1"/>
                <w:szCs w:val="1"/>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11,876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losses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(1,086,160)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(764,534)</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1,059,987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891,368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1,061,048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892,280</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5340"/>
              <w:spacing w:after="0"/>
              <w:rPr>
                <w:sz w:val="20"/>
                <w:szCs w:val="20"/>
                <w:color w:val="auto"/>
              </w:rPr>
            </w:pPr>
            <w:r>
              <w:rPr>
                <w:rFonts w:ascii="Arial" w:cs="Arial" w:eastAsia="Arial" w:hAnsi="Arial"/>
                <w:sz w:val="18"/>
                <w:szCs w:val="18"/>
                <w:color w:val="auto"/>
              </w:rPr>
              <w:t>F-46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3"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OPERATIONS (In thousands of U.S. dollars)</w:t>
      </w:r>
    </w:p>
    <w:p>
      <w:pPr>
        <w:spacing w:after="0" w:line="200" w:lineRule="exact"/>
        <w:rPr>
          <w:sz w:val="20"/>
          <w:szCs w:val="20"/>
          <w:color w:val="auto"/>
        </w:r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color w:val="auto"/>
                <w:w w:val="87"/>
              </w:rPr>
              <w:t>Year Ended December 31,</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3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2019</w:t>
            </w:r>
          </w:p>
        </w:tc>
        <w:tc>
          <w:tcPr>
            <w:tcW w:w="5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2018</w:t>
            </w:r>
          </w:p>
        </w:tc>
        <w:tc>
          <w:tcPr>
            <w:tcW w:w="120" w:type="dxa"/>
            <w:vAlign w:val="bottom"/>
            <w:tcBorders>
              <w:bottom w:val="single" w:sz="8" w:color="CCEEFF"/>
            </w:tcBorders>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3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Non-operating income (expenses):</w:t>
            </w:r>
          </w:p>
        </w:tc>
        <w:tc>
          <w:tcPr>
            <w:tcW w:w="3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Foreign exchange gains, net</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of results of subsidiaries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(321,627)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33,563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(22,183)</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Total non-operating income (expenses), net</w:t>
            </w:r>
          </w:p>
        </w:tc>
        <w:tc>
          <w:tcPr>
            <w:tcW w:w="3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(321,626)</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33,564</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(21,465)</w:t>
            </w:r>
          </w:p>
        </w:tc>
        <w:tc>
          <w:tcPr>
            <w:tcW w:w="12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(321,626)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33,564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(21,598)</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Income tax expense</w:t>
            </w:r>
          </w:p>
        </w:tc>
        <w:tc>
          <w:tcPr>
            <w:tcW w:w="3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(321,626)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33,564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(21,598)</w:t>
            </w:r>
          </w:p>
        </w:tc>
      </w:tr>
      <w:tr>
        <w:trPr>
          <w:trHeight w:val="20"/>
        </w:trPr>
        <w:tc>
          <w:tcPr>
            <w:tcW w:w="4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3460" w:type="dxa"/>
            <w:vAlign w:val="bottom"/>
            <w:gridSpan w:val="2"/>
          </w:tcPr>
          <w:p>
            <w:pPr>
              <w:jc w:val="right"/>
              <w:ind w:right="1910"/>
              <w:spacing w:after="0"/>
              <w:rPr>
                <w:sz w:val="20"/>
                <w:szCs w:val="20"/>
                <w:color w:val="auto"/>
              </w:rPr>
            </w:pPr>
            <w:r>
              <w:rPr>
                <w:rFonts w:ascii="Arial" w:cs="Arial" w:eastAsia="Arial" w:hAnsi="Arial"/>
                <w:sz w:val="18"/>
                <w:szCs w:val="18"/>
                <w:color w:val="auto"/>
              </w:rPr>
              <w:t>F-47</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COMPREHENSIVE (LOSS) INCOME (In thousands of U.S. dollars)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60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color w:val="auto"/>
                <w:w w:val="87"/>
              </w:rPr>
              <w:t>Year Ended December 31,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(321,626)</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$ 33,564</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(21,598)</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Foreign currency translation adjustments, before and after tax</w:t>
            </w:r>
          </w:p>
        </w:tc>
        <w:tc>
          <w:tcPr>
            <w:tcW w:w="4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11,607</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14,332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(14,551)</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11,607</w:t>
            </w:r>
          </w:p>
        </w:tc>
        <w:tc>
          <w:tcPr>
            <w:tcW w:w="6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14,332</w:t>
            </w:r>
          </w:p>
        </w:tc>
        <w:tc>
          <w:tcPr>
            <w:tcW w:w="5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(14,551)</w:t>
            </w:r>
          </w:p>
        </w:tc>
        <w:tc>
          <w:tcPr>
            <w:tcW w:w="120" w:type="dxa"/>
            <w:vAlign w:val="bottom"/>
          </w:tcPr>
          <w:p>
            <w:pPr>
              <w:spacing w:after="0"/>
              <w:rPr>
                <w:sz w:val="20"/>
                <w:szCs w:val="20"/>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2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(310,019)</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$ 47,896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(36,149)</w:t>
            </w:r>
          </w:p>
        </w:tc>
      </w:tr>
      <w:tr>
        <w:trPr>
          <w:trHeight w:val="20"/>
        </w:trPr>
        <w:tc>
          <w:tcPr>
            <w:tcW w:w="49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980" w:type="dxa"/>
            <w:vAlign w:val="bottom"/>
          </w:tcPr>
          <w:p>
            <w:pPr>
              <w:spacing w:after="0"/>
              <w:rPr>
                <w:sz w:val="24"/>
                <w:szCs w:val="24"/>
                <w:color w:val="auto"/>
              </w:rPr>
            </w:pPr>
          </w:p>
        </w:tc>
        <w:tc>
          <w:tcPr>
            <w:tcW w:w="4000" w:type="dxa"/>
            <w:vAlign w:val="bottom"/>
            <w:gridSpan w:val="3"/>
          </w:tcPr>
          <w:p>
            <w:pPr>
              <w:jc w:val="right"/>
              <w:ind w:right="3300"/>
              <w:spacing w:after="0"/>
              <w:rPr>
                <w:sz w:val="20"/>
                <w:szCs w:val="20"/>
                <w:color w:val="auto"/>
              </w:rPr>
            </w:pPr>
            <w:r>
              <w:rPr>
                <w:rFonts w:ascii="Arial" w:cs="Arial" w:eastAsia="Arial" w:hAnsi="Arial"/>
                <w:sz w:val="18"/>
                <w:szCs w:val="18"/>
                <w:color w:val="auto"/>
              </w:rPr>
              <w:t>F-48</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3"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CASH FLOWS (In thousands of U.S. dollars)</w:t>
      </w:r>
    </w:p>
    <w:p>
      <w:pPr>
        <w:spacing w:after="0" w:line="200" w:lineRule="exact"/>
        <w:rPr>
          <w:sz w:val="20"/>
          <w:szCs w:val="20"/>
          <w:color w:val="auto"/>
        </w:r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89"/>
              </w:rPr>
              <w:t>Year Ended December 31,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2019</w:t>
            </w:r>
          </w:p>
        </w:tc>
        <w:tc>
          <w:tcPr>
            <w:tcW w:w="7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(2,346)</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Advances to subsidiaries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8"/>
              </w:rPr>
              <w:t>(500,000)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(423,553)</w:t>
            </w: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Withdrawal of a bank deposit with an original maturity over three months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5,000</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(500,000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(418,553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a financing activity: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Net proceeds from (payments for) issuance of shares</w:t>
            </w: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499,222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w w:val="87"/>
              </w:rPr>
              <w:t>(5,063)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405,152</w:t>
            </w: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a financing activity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499,222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(5,063)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405,152</w:t>
            </w: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Decrease in cash, cash equivalent and restricted cash</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(5,062)</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(15,747)</w:t>
            </w:r>
          </w:p>
        </w:tc>
        <w:tc>
          <w:tcPr>
            <w:tcW w:w="120" w:type="dxa"/>
            <w:vAlign w:val="bottom"/>
          </w:tcPr>
          <w:p>
            <w:pPr>
              <w:spacing w:after="0"/>
              <w:rPr>
                <w:sz w:val="19"/>
                <w:szCs w:val="19"/>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908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7"/>
              </w:rPr>
              <w:t>5,970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21,717</w:t>
            </w: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5,970</w:t>
            </w:r>
          </w:p>
        </w:tc>
        <w:tc>
          <w:tcPr>
            <w:tcW w:w="1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260" w:type="dxa"/>
            <w:vAlign w:val="bottom"/>
          </w:tcPr>
          <w:p>
            <w:pPr>
              <w:ind w:left="180"/>
              <w:spacing w:after="0" w:line="201" w:lineRule="exact"/>
              <w:rPr>
                <w:sz w:val="20"/>
                <w:szCs w:val="20"/>
                <w:color w:val="auto"/>
              </w:rPr>
            </w:pPr>
            <w:r>
              <w:rPr>
                <w:rFonts w:ascii="Arial" w:cs="Arial" w:eastAsia="Arial" w:hAnsi="Arial"/>
                <w:sz w:val="18"/>
                <w:szCs w:val="18"/>
                <w:color w:val="auto"/>
              </w:rPr>
              <w:t>Offering expenses capitalized for the issuance of shares included in accrued expenses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260" w:type="dxa"/>
            <w:vAlign w:val="bottom"/>
          </w:tcPr>
          <w:p>
            <w:pPr>
              <w:ind w:left="360"/>
              <w:spacing w:after="0"/>
              <w:rPr>
                <w:sz w:val="20"/>
                <w:szCs w:val="20"/>
                <w:color w:val="auto"/>
              </w:rPr>
            </w:pPr>
            <w:r>
              <w:rPr>
                <w:rFonts w:ascii="Arial" w:cs="Arial" w:eastAsia="Arial" w:hAnsi="Arial"/>
                <w:sz w:val="18"/>
                <w:szCs w:val="18"/>
                <w:color w:val="auto"/>
              </w:rPr>
              <w:t>and other current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445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5,943</w:t>
            </w:r>
          </w:p>
        </w:tc>
      </w:tr>
      <w:tr>
        <w:trPr>
          <w:trHeight w:val="365"/>
        </w:trPr>
        <w:tc>
          <w:tcPr>
            <w:tcW w:w="7260" w:type="dxa"/>
            <w:vAlign w:val="bottom"/>
          </w:tcPr>
          <w:p>
            <w:pPr>
              <w:ind w:left="5340"/>
              <w:spacing w:after="0"/>
              <w:rPr>
                <w:sz w:val="20"/>
                <w:szCs w:val="20"/>
                <w:color w:val="auto"/>
              </w:rPr>
            </w:pPr>
            <w:r>
              <w:rPr>
                <w:rFonts w:ascii="Arial" w:cs="Arial" w:eastAsia="Arial" w:hAnsi="Arial"/>
                <w:sz w:val="18"/>
                <w:szCs w:val="18"/>
                <w:color w:val="auto"/>
              </w:rPr>
              <w:t>F-49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500" w:right="244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NOTES TO CONDENSED FINANCIAL STATEMENT SCHEDULE 1 (In thousands of U.S. dollars)</w:t>
      </w:r>
    </w:p>
    <w:p>
      <w:pPr>
        <w:spacing w:after="0" w:line="89" w:lineRule="exact"/>
        <w:rPr>
          <w:sz w:val="20"/>
          <w:szCs w:val="20"/>
          <w:color w:val="auto"/>
        </w:rPr>
      </w:pPr>
    </w:p>
    <w:p>
      <w:pPr>
        <w:ind w:left="540" w:hanging="424"/>
        <w:spacing w:after="0" w:line="272" w:lineRule="auto"/>
        <w:tabs>
          <w:tab w:leader="none" w:pos="5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Schedule 1 has been provided pursuant to the requirements of Rule 12-04(a) and 4-08(e)(3) of Regulation S-X, 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the end of the most recently completed fiscal year. As of December 31, 2020, approximately $1,288,000 of the restricted net assets were not available for distribution and, as such, the condensed financial information of Studio City International has been presented for the years ended December 31, 2020, 2019 and 2018. Studio City International did not receive any cash dividend from its subsidiary during the years ended December 31, 2020, 2019 and 2018.</w:t>
      </w:r>
    </w:p>
    <w:p>
      <w:pPr>
        <w:spacing w:after="0" w:line="325" w:lineRule="exact"/>
        <w:rPr>
          <w:rFonts w:ascii="Arial" w:cs="Arial" w:eastAsia="Arial" w:hAnsi="Arial"/>
          <w:sz w:val="17"/>
          <w:szCs w:val="17"/>
          <w:color w:val="auto"/>
        </w:rPr>
      </w:pPr>
    </w:p>
    <w:p>
      <w:pPr>
        <w:ind w:left="540" w:hanging="424"/>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117" w:lineRule="exact"/>
        <w:rPr>
          <w:rFonts w:ascii="Arial" w:cs="Arial" w:eastAsia="Arial" w:hAnsi="Arial"/>
          <w:sz w:val="18"/>
          <w:szCs w:val="18"/>
          <w:color w:val="auto"/>
        </w:rPr>
      </w:pPr>
    </w:p>
    <w:p>
      <w:pPr>
        <w:ind w:left="560" w:right="20"/>
        <w:spacing w:after="0" w:line="342" w:lineRule="auto"/>
        <w:rPr>
          <w:rFonts w:ascii="Arial" w:cs="Arial" w:eastAsia="Arial" w:hAnsi="Arial"/>
          <w:sz w:val="18"/>
          <w:szCs w:val="18"/>
          <w:color w:val="auto"/>
        </w:rPr>
      </w:pPr>
      <w:r>
        <w:rPr>
          <w:rFonts w:ascii="Arial" w:cs="Arial" w:eastAsia="Arial" w:hAnsi="Arial"/>
          <w:sz w:val="16"/>
          <w:szCs w:val="16"/>
          <w:color w:val="auto"/>
        </w:rPr>
        <w:t>The accompanying condensed financial information has been prepared using the same accounting policies as set out in Studio City International’s consolidated financial statements except that the parent company has used the equity method to account for its investments in subsidiaries.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86" w:right="49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2.16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STUDIO CITY FINANCE LIMITED,</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Company</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SUBSIDIARY GUARANTORS PARTIES HERETO,</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6.000%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July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 Paying Agent, Registrar and Transfer Agent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OTHER PERSONS FROM TIME TO TIME PARTY HERETO</w:t>
      </w:r>
    </w:p>
    <w:p>
      <w:pPr>
        <w:sectPr>
          <w:pgSz w:w="11900" w:h="16838" w:orient="portrait"/>
          <w:cols w:equalWidth="0" w:num="1">
            <w:col w:w="10020"/>
          </w:cols>
          <w:pgMar w:left="1440" w:top="121" w:right="4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838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040" w:type="dxa"/>
            <w:vAlign w:val="bottom"/>
          </w:tcPr>
          <w:p>
            <w:pPr>
              <w:spacing w:after="0"/>
              <w:rPr>
                <w:sz w:val="24"/>
                <w:szCs w:val="24"/>
                <w:color w:val="auto"/>
              </w:rPr>
            </w:pPr>
          </w:p>
        </w:tc>
        <w:tc>
          <w:tcPr>
            <w:tcW w:w="8380" w:type="dxa"/>
            <w:vAlign w:val="bottom"/>
            <w:vMerge w:val="restart"/>
          </w:tcPr>
          <w:p>
            <w:pPr>
              <w:jc w:val="center"/>
              <w:ind w:left="410"/>
              <w:spacing w:after="0"/>
              <w:rPr>
                <w:sz w:val="20"/>
                <w:szCs w:val="20"/>
                <w:color w:val="auto"/>
              </w:rPr>
            </w:pPr>
            <w:r>
              <w:rPr>
                <w:rFonts w:ascii="Arial" w:cs="Arial" w:eastAsia="Arial" w:hAnsi="Arial"/>
                <w:sz w:val="18"/>
                <w:szCs w:val="18"/>
                <w:color w:val="auto"/>
                <w:w w:val="96"/>
              </w:rPr>
              <w:t>ARTICLE 1</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40" w:type="dxa"/>
            <w:vAlign w:val="bottom"/>
          </w:tcPr>
          <w:p>
            <w:pPr>
              <w:spacing w:after="0"/>
              <w:rPr>
                <w:sz w:val="16"/>
                <w:szCs w:val="16"/>
                <w:color w:val="auto"/>
              </w:rPr>
            </w:pPr>
          </w:p>
        </w:tc>
        <w:tc>
          <w:tcPr>
            <w:tcW w:w="838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380" w:type="dxa"/>
            <w:vAlign w:val="bottom"/>
          </w:tcPr>
          <w:p>
            <w:pPr>
              <w:jc w:val="center"/>
              <w:ind w:left="410"/>
              <w:spacing w:after="0"/>
              <w:rPr>
                <w:sz w:val="20"/>
                <w:szCs w:val="20"/>
                <w:color w:val="auto"/>
              </w:rPr>
            </w:pPr>
            <w:r>
              <w:rPr>
                <w:rFonts w:ascii="Arial" w:cs="Arial" w:eastAsia="Arial" w:hAnsi="Arial"/>
                <w:sz w:val="18"/>
                <w:szCs w:val="18"/>
                <w:color w:val="auto"/>
                <w:w w:val="98"/>
              </w:rPr>
              <w:t>DEFINITIONS</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1.01</w:t>
            </w:r>
          </w:p>
        </w:tc>
        <w:tc>
          <w:tcPr>
            <w:tcW w:w="838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1.02</w:t>
            </w:r>
          </w:p>
        </w:tc>
        <w:tc>
          <w:tcPr>
            <w:tcW w:w="8380" w:type="dxa"/>
            <w:vAlign w:val="bottom"/>
          </w:tcPr>
          <w:p>
            <w:pPr>
              <w:ind w:left="140"/>
              <w:spacing w:after="0"/>
              <w:rPr>
                <w:sz w:val="20"/>
                <w:szCs w:val="20"/>
                <w:color w:val="auto"/>
              </w:rPr>
            </w:pPr>
            <w:r>
              <w:rPr>
                <w:rFonts w:ascii="Arial" w:cs="Arial" w:eastAsia="Arial" w:hAnsi="Arial"/>
                <w:sz w:val="18"/>
                <w:szCs w:val="18"/>
                <w:color w:val="auto"/>
              </w:rPr>
              <w:t>Other Definitions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1.03</w:t>
            </w:r>
          </w:p>
        </w:tc>
        <w:tc>
          <w:tcPr>
            <w:tcW w:w="8380" w:type="dxa"/>
            <w:vAlign w:val="bottom"/>
          </w:tcPr>
          <w:p>
            <w:pPr>
              <w:ind w:left="140"/>
              <w:spacing w:after="0"/>
              <w:rPr>
                <w:sz w:val="20"/>
                <w:szCs w:val="20"/>
                <w:color w:val="auto"/>
              </w:rPr>
            </w:pPr>
            <w:r>
              <w:rPr>
                <w:rFonts w:ascii="Arial" w:cs="Arial" w:eastAsia="Arial" w:hAnsi="Arial"/>
                <w:sz w:val="18"/>
                <w:szCs w:val="18"/>
                <w:color w:val="auto"/>
              </w:rPr>
              <w:t>Rules of Construction</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8380" w:type="dxa"/>
            <w:vAlign w:val="bottom"/>
          </w:tcPr>
          <w:p>
            <w:pPr>
              <w:jc w:val="center"/>
              <w:ind w:left="410"/>
              <w:spacing w:after="0"/>
              <w:rPr>
                <w:sz w:val="20"/>
                <w:szCs w:val="20"/>
                <w:color w:val="auto"/>
              </w:rPr>
            </w:pPr>
            <w:r>
              <w:rPr>
                <w:rFonts w:ascii="Arial" w:cs="Arial" w:eastAsia="Arial" w:hAnsi="Arial"/>
                <w:sz w:val="18"/>
                <w:szCs w:val="18"/>
                <w:color w:val="auto"/>
                <w:w w:val="96"/>
              </w:rPr>
              <w:t>ARTICLE 2</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380" w:type="dxa"/>
            <w:vAlign w:val="bottom"/>
          </w:tcPr>
          <w:p>
            <w:pPr>
              <w:jc w:val="center"/>
              <w:ind w:left="390"/>
              <w:spacing w:after="0"/>
              <w:rPr>
                <w:sz w:val="20"/>
                <w:szCs w:val="20"/>
                <w:color w:val="auto"/>
              </w:rPr>
            </w:pPr>
            <w:r>
              <w:rPr>
                <w:rFonts w:ascii="Arial" w:cs="Arial" w:eastAsia="Arial" w:hAnsi="Arial"/>
                <w:sz w:val="18"/>
                <w:szCs w:val="18"/>
                <w:color w:val="auto"/>
                <w:w w:val="95"/>
              </w:rPr>
              <w:t>THE NOTES</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2.01</w:t>
            </w:r>
          </w:p>
        </w:tc>
        <w:tc>
          <w:tcPr>
            <w:tcW w:w="8380" w:type="dxa"/>
            <w:vAlign w:val="bottom"/>
          </w:tcPr>
          <w:p>
            <w:pPr>
              <w:ind w:left="140"/>
              <w:spacing w:after="0"/>
              <w:rPr>
                <w:sz w:val="20"/>
                <w:szCs w:val="20"/>
                <w:color w:val="auto"/>
              </w:rPr>
            </w:pPr>
            <w:r>
              <w:rPr>
                <w:rFonts w:ascii="Arial" w:cs="Arial" w:eastAsia="Arial" w:hAnsi="Arial"/>
                <w:sz w:val="18"/>
                <w:szCs w:val="18"/>
                <w:color w:val="auto"/>
              </w:rPr>
              <w:t>Form and Dating</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2.02</w:t>
            </w:r>
          </w:p>
        </w:tc>
        <w:tc>
          <w:tcPr>
            <w:tcW w:w="8380" w:type="dxa"/>
            <w:vAlign w:val="bottom"/>
          </w:tcPr>
          <w:p>
            <w:pPr>
              <w:ind w:left="140"/>
              <w:spacing w:after="0"/>
              <w:rPr>
                <w:sz w:val="20"/>
                <w:szCs w:val="20"/>
                <w:color w:val="auto"/>
              </w:rPr>
            </w:pPr>
            <w:r>
              <w:rPr>
                <w:rFonts w:ascii="Arial" w:cs="Arial" w:eastAsia="Arial" w:hAnsi="Arial"/>
                <w:sz w:val="18"/>
                <w:szCs w:val="18"/>
                <w:color w:val="auto"/>
              </w:rPr>
              <w:t>Execution and Authentication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2.03</w:t>
            </w:r>
          </w:p>
        </w:tc>
        <w:tc>
          <w:tcPr>
            <w:tcW w:w="8380" w:type="dxa"/>
            <w:vAlign w:val="bottom"/>
          </w:tcPr>
          <w:p>
            <w:pPr>
              <w:ind w:left="140"/>
              <w:spacing w:after="0"/>
              <w:rPr>
                <w:sz w:val="20"/>
                <w:szCs w:val="20"/>
                <w:color w:val="auto"/>
              </w:rPr>
            </w:pPr>
            <w:r>
              <w:rPr>
                <w:rFonts w:ascii="Arial" w:cs="Arial" w:eastAsia="Arial" w:hAnsi="Arial"/>
                <w:sz w:val="18"/>
                <w:szCs w:val="18"/>
                <w:color w:val="auto"/>
              </w:rPr>
              <w:t>Registrar, Paying Agent and Transfer Agent</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2.04</w:t>
            </w:r>
          </w:p>
        </w:tc>
        <w:tc>
          <w:tcPr>
            <w:tcW w:w="8380" w:type="dxa"/>
            <w:vAlign w:val="bottom"/>
          </w:tcPr>
          <w:p>
            <w:pPr>
              <w:ind w:left="140"/>
              <w:spacing w:after="0"/>
              <w:rPr>
                <w:sz w:val="20"/>
                <w:szCs w:val="20"/>
                <w:color w:val="auto"/>
              </w:rPr>
            </w:pPr>
            <w:r>
              <w:rPr>
                <w:rFonts w:ascii="Arial" w:cs="Arial" w:eastAsia="Arial" w:hAnsi="Arial"/>
                <w:sz w:val="18"/>
                <w:szCs w:val="18"/>
                <w:color w:val="auto"/>
              </w:rPr>
              <w:t>Paying Agent to Hold Money in Trust</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2.05</w:t>
            </w:r>
          </w:p>
        </w:tc>
        <w:tc>
          <w:tcPr>
            <w:tcW w:w="8380" w:type="dxa"/>
            <w:vAlign w:val="bottom"/>
          </w:tcPr>
          <w:p>
            <w:pPr>
              <w:ind w:left="140"/>
              <w:spacing w:after="0"/>
              <w:rPr>
                <w:sz w:val="20"/>
                <w:szCs w:val="20"/>
                <w:color w:val="auto"/>
              </w:rPr>
            </w:pPr>
            <w:r>
              <w:rPr>
                <w:rFonts w:ascii="Arial" w:cs="Arial" w:eastAsia="Arial" w:hAnsi="Arial"/>
                <w:sz w:val="18"/>
                <w:szCs w:val="18"/>
                <w:color w:val="auto"/>
              </w:rPr>
              <w:t>Holder Lists</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2.06</w:t>
            </w:r>
          </w:p>
        </w:tc>
        <w:tc>
          <w:tcPr>
            <w:tcW w:w="8380" w:type="dxa"/>
            <w:vAlign w:val="bottom"/>
          </w:tcPr>
          <w:p>
            <w:pPr>
              <w:ind w:left="140"/>
              <w:spacing w:after="0"/>
              <w:rPr>
                <w:sz w:val="20"/>
                <w:szCs w:val="20"/>
                <w:color w:val="auto"/>
              </w:rPr>
            </w:pPr>
            <w:r>
              <w:rPr>
                <w:rFonts w:ascii="Arial" w:cs="Arial" w:eastAsia="Arial" w:hAnsi="Arial"/>
                <w:sz w:val="18"/>
                <w:szCs w:val="18"/>
                <w:color w:val="auto"/>
              </w:rPr>
              <w:t>Transfer and Exchange</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2.07</w:t>
            </w:r>
          </w:p>
        </w:tc>
        <w:tc>
          <w:tcPr>
            <w:tcW w:w="8380" w:type="dxa"/>
            <w:vAlign w:val="bottom"/>
          </w:tcPr>
          <w:p>
            <w:pPr>
              <w:ind w:left="140"/>
              <w:spacing w:after="0"/>
              <w:rPr>
                <w:sz w:val="20"/>
                <w:szCs w:val="20"/>
                <w:color w:val="auto"/>
              </w:rPr>
            </w:pPr>
            <w:r>
              <w:rPr>
                <w:rFonts w:ascii="Arial" w:cs="Arial" w:eastAsia="Arial" w:hAnsi="Arial"/>
                <w:sz w:val="18"/>
                <w:szCs w:val="18"/>
                <w:color w:val="auto"/>
              </w:rPr>
              <w:t>Replacement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2.08</w:t>
            </w:r>
          </w:p>
        </w:tc>
        <w:tc>
          <w:tcPr>
            <w:tcW w:w="8380" w:type="dxa"/>
            <w:vAlign w:val="bottom"/>
          </w:tcPr>
          <w:p>
            <w:pPr>
              <w:ind w:left="140"/>
              <w:spacing w:after="0"/>
              <w:rPr>
                <w:sz w:val="20"/>
                <w:szCs w:val="20"/>
                <w:color w:val="auto"/>
              </w:rPr>
            </w:pPr>
            <w:r>
              <w:rPr>
                <w:rFonts w:ascii="Arial" w:cs="Arial" w:eastAsia="Arial" w:hAnsi="Arial"/>
                <w:sz w:val="18"/>
                <w:szCs w:val="18"/>
                <w:color w:val="auto"/>
              </w:rPr>
              <w:t>Outstanding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2.09</w:t>
            </w:r>
          </w:p>
        </w:tc>
        <w:tc>
          <w:tcPr>
            <w:tcW w:w="8380" w:type="dxa"/>
            <w:vAlign w:val="bottom"/>
          </w:tcPr>
          <w:p>
            <w:pPr>
              <w:ind w:left="140"/>
              <w:spacing w:after="0"/>
              <w:rPr>
                <w:sz w:val="20"/>
                <w:szCs w:val="20"/>
                <w:color w:val="auto"/>
              </w:rPr>
            </w:pPr>
            <w:r>
              <w:rPr>
                <w:rFonts w:ascii="Arial" w:cs="Arial" w:eastAsia="Arial" w:hAnsi="Arial"/>
                <w:sz w:val="18"/>
                <w:szCs w:val="18"/>
                <w:color w:val="auto"/>
              </w:rPr>
              <w:t>Treasury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2.10</w:t>
            </w:r>
          </w:p>
        </w:tc>
        <w:tc>
          <w:tcPr>
            <w:tcW w:w="8380" w:type="dxa"/>
            <w:vAlign w:val="bottom"/>
          </w:tcPr>
          <w:p>
            <w:pPr>
              <w:ind w:left="140"/>
              <w:spacing w:after="0"/>
              <w:rPr>
                <w:sz w:val="20"/>
                <w:szCs w:val="20"/>
                <w:color w:val="auto"/>
              </w:rPr>
            </w:pPr>
            <w:r>
              <w:rPr>
                <w:rFonts w:ascii="Arial" w:cs="Arial" w:eastAsia="Arial" w:hAnsi="Arial"/>
                <w:sz w:val="18"/>
                <w:szCs w:val="18"/>
                <w:color w:val="auto"/>
              </w:rPr>
              <w:t>Temporary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2.11</w:t>
            </w:r>
          </w:p>
        </w:tc>
        <w:tc>
          <w:tcPr>
            <w:tcW w:w="838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2.12</w:t>
            </w:r>
          </w:p>
        </w:tc>
        <w:tc>
          <w:tcPr>
            <w:tcW w:w="8380" w:type="dxa"/>
            <w:vAlign w:val="bottom"/>
          </w:tcPr>
          <w:p>
            <w:pPr>
              <w:ind w:left="140"/>
              <w:spacing w:after="0"/>
              <w:rPr>
                <w:sz w:val="20"/>
                <w:szCs w:val="20"/>
                <w:color w:val="auto"/>
              </w:rPr>
            </w:pPr>
            <w:r>
              <w:rPr>
                <w:rFonts w:ascii="Arial" w:cs="Arial" w:eastAsia="Arial" w:hAnsi="Arial"/>
                <w:sz w:val="18"/>
                <w:szCs w:val="18"/>
                <w:color w:val="auto"/>
              </w:rPr>
              <w:t>Defaulted Interest</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2.13</w:t>
            </w:r>
          </w:p>
        </w:tc>
        <w:tc>
          <w:tcPr>
            <w:tcW w:w="8380" w:type="dxa"/>
            <w:vAlign w:val="bottom"/>
          </w:tcPr>
          <w:p>
            <w:pPr>
              <w:ind w:left="140"/>
              <w:spacing w:after="0"/>
              <w:rPr>
                <w:sz w:val="20"/>
                <w:szCs w:val="20"/>
                <w:color w:val="auto"/>
              </w:rPr>
            </w:pPr>
            <w:r>
              <w:rPr>
                <w:rFonts w:ascii="Arial" w:cs="Arial" w:eastAsia="Arial" w:hAnsi="Arial"/>
                <w:sz w:val="18"/>
                <w:szCs w:val="18"/>
                <w:color w:val="auto"/>
              </w:rPr>
              <w:t>Additional Amounts</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2.14</w:t>
            </w:r>
          </w:p>
        </w:tc>
        <w:tc>
          <w:tcPr>
            <w:tcW w:w="8380" w:type="dxa"/>
            <w:vAlign w:val="bottom"/>
          </w:tcPr>
          <w:p>
            <w:pPr>
              <w:ind w:left="140"/>
              <w:spacing w:after="0"/>
              <w:rPr>
                <w:sz w:val="20"/>
                <w:szCs w:val="20"/>
                <w:color w:val="auto"/>
              </w:rPr>
            </w:pPr>
            <w:r>
              <w:rPr>
                <w:rFonts w:ascii="Arial" w:cs="Arial" w:eastAsia="Arial" w:hAnsi="Arial"/>
                <w:sz w:val="18"/>
                <w:szCs w:val="18"/>
                <w:color w:val="auto"/>
              </w:rPr>
              <w:t>Forced Sale or Redemption for Non-QIBs</w:t>
            </w: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8380" w:type="dxa"/>
            <w:vAlign w:val="bottom"/>
          </w:tcPr>
          <w:p>
            <w:pPr>
              <w:jc w:val="center"/>
              <w:ind w:left="410"/>
              <w:spacing w:after="0"/>
              <w:rPr>
                <w:sz w:val="20"/>
                <w:szCs w:val="20"/>
                <w:color w:val="auto"/>
              </w:rPr>
            </w:pPr>
            <w:r>
              <w:rPr>
                <w:rFonts w:ascii="Arial" w:cs="Arial" w:eastAsia="Arial" w:hAnsi="Arial"/>
                <w:sz w:val="18"/>
                <w:szCs w:val="18"/>
                <w:color w:val="auto"/>
                <w:w w:val="96"/>
              </w:rPr>
              <w:t>ARTICLE 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380" w:type="dxa"/>
            <w:vAlign w:val="bottom"/>
          </w:tcPr>
          <w:p>
            <w:pPr>
              <w:jc w:val="center"/>
              <w:ind w:left="410"/>
              <w:spacing w:after="0"/>
              <w:rPr>
                <w:sz w:val="20"/>
                <w:szCs w:val="20"/>
                <w:color w:val="auto"/>
              </w:rPr>
            </w:pPr>
            <w:r>
              <w:rPr>
                <w:rFonts w:ascii="Arial" w:cs="Arial" w:eastAsia="Arial" w:hAnsi="Arial"/>
                <w:sz w:val="18"/>
                <w:szCs w:val="18"/>
                <w:color w:val="auto"/>
                <w:w w:val="95"/>
              </w:rPr>
              <w:t>REDEMPTION AND PREPAYMENT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3.01</w:t>
            </w:r>
          </w:p>
        </w:tc>
        <w:tc>
          <w:tcPr>
            <w:tcW w:w="8380" w:type="dxa"/>
            <w:vAlign w:val="bottom"/>
          </w:tcPr>
          <w:p>
            <w:pPr>
              <w:ind w:left="140"/>
              <w:spacing w:after="0"/>
              <w:rPr>
                <w:sz w:val="20"/>
                <w:szCs w:val="20"/>
                <w:color w:val="auto"/>
              </w:rPr>
            </w:pPr>
            <w:r>
              <w:rPr>
                <w:rFonts w:ascii="Arial" w:cs="Arial" w:eastAsia="Arial" w:hAnsi="Arial"/>
                <w:sz w:val="18"/>
                <w:szCs w:val="18"/>
                <w:color w:val="auto"/>
              </w:rPr>
              <w:t>Notices to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3.02</w:t>
            </w:r>
          </w:p>
        </w:tc>
        <w:tc>
          <w:tcPr>
            <w:tcW w:w="8380" w:type="dxa"/>
            <w:vAlign w:val="bottom"/>
          </w:tcPr>
          <w:p>
            <w:pPr>
              <w:ind w:left="140"/>
              <w:spacing w:after="0"/>
              <w:rPr>
                <w:sz w:val="20"/>
                <w:szCs w:val="20"/>
                <w:color w:val="auto"/>
              </w:rPr>
            </w:pPr>
            <w:r>
              <w:rPr>
                <w:rFonts w:ascii="Arial" w:cs="Arial" w:eastAsia="Arial" w:hAnsi="Arial"/>
                <w:sz w:val="18"/>
                <w:szCs w:val="18"/>
                <w:color w:val="auto"/>
              </w:rPr>
              <w:t>Selection of Notes to Be Redeemed or 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3.03</w:t>
            </w:r>
          </w:p>
        </w:tc>
        <w:tc>
          <w:tcPr>
            <w:tcW w:w="8380" w:type="dxa"/>
            <w:vAlign w:val="bottom"/>
          </w:tcPr>
          <w:p>
            <w:pPr>
              <w:ind w:left="140"/>
              <w:spacing w:after="0"/>
              <w:rPr>
                <w:sz w:val="20"/>
                <w:szCs w:val="20"/>
                <w:color w:val="auto"/>
              </w:rPr>
            </w:pPr>
            <w:r>
              <w:rPr>
                <w:rFonts w:ascii="Arial" w:cs="Arial" w:eastAsia="Arial" w:hAnsi="Arial"/>
                <w:sz w:val="18"/>
                <w:szCs w:val="18"/>
                <w:color w:val="auto"/>
              </w:rPr>
              <w:t>Notice of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3.04</w:t>
            </w:r>
          </w:p>
        </w:tc>
        <w:tc>
          <w:tcPr>
            <w:tcW w:w="8380" w:type="dxa"/>
            <w:vAlign w:val="bottom"/>
          </w:tcPr>
          <w:p>
            <w:pPr>
              <w:ind w:left="140"/>
              <w:spacing w:after="0"/>
              <w:rPr>
                <w:sz w:val="20"/>
                <w:szCs w:val="20"/>
                <w:color w:val="auto"/>
              </w:rPr>
            </w:pPr>
            <w:r>
              <w:rPr>
                <w:rFonts w:ascii="Arial" w:cs="Arial" w:eastAsia="Arial" w:hAnsi="Arial"/>
                <w:sz w:val="18"/>
                <w:szCs w:val="18"/>
                <w:color w:val="auto"/>
              </w:rPr>
              <w:t>Effect of Notice of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3.05</w:t>
            </w:r>
          </w:p>
        </w:tc>
        <w:tc>
          <w:tcPr>
            <w:tcW w:w="8380" w:type="dxa"/>
            <w:vAlign w:val="bottom"/>
          </w:tcPr>
          <w:p>
            <w:pPr>
              <w:ind w:left="140"/>
              <w:spacing w:after="0"/>
              <w:rPr>
                <w:sz w:val="20"/>
                <w:szCs w:val="20"/>
                <w:color w:val="auto"/>
              </w:rPr>
            </w:pPr>
            <w:r>
              <w:rPr>
                <w:rFonts w:ascii="Arial" w:cs="Arial" w:eastAsia="Arial" w:hAnsi="Arial"/>
                <w:sz w:val="18"/>
                <w:szCs w:val="18"/>
                <w:color w:val="auto"/>
              </w:rPr>
              <w:t>Deposit of Redemption or Purchase Price</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3.06</w:t>
            </w:r>
          </w:p>
        </w:tc>
        <w:tc>
          <w:tcPr>
            <w:tcW w:w="8380" w:type="dxa"/>
            <w:vAlign w:val="bottom"/>
          </w:tcPr>
          <w:p>
            <w:pPr>
              <w:ind w:left="140"/>
              <w:spacing w:after="0"/>
              <w:rPr>
                <w:sz w:val="20"/>
                <w:szCs w:val="20"/>
                <w:color w:val="auto"/>
              </w:rPr>
            </w:pPr>
            <w:r>
              <w:rPr>
                <w:rFonts w:ascii="Arial" w:cs="Arial" w:eastAsia="Arial" w:hAnsi="Arial"/>
                <w:sz w:val="18"/>
                <w:szCs w:val="18"/>
                <w:color w:val="auto"/>
              </w:rPr>
              <w:t>Notes Redeemed or Purchased in Part</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3.07</w:t>
            </w:r>
          </w:p>
        </w:tc>
        <w:tc>
          <w:tcPr>
            <w:tcW w:w="8380" w:type="dxa"/>
            <w:vAlign w:val="bottom"/>
          </w:tcPr>
          <w:p>
            <w:pPr>
              <w:ind w:left="140"/>
              <w:spacing w:after="0"/>
              <w:rPr>
                <w:sz w:val="20"/>
                <w:szCs w:val="20"/>
                <w:color w:val="auto"/>
              </w:rPr>
            </w:pPr>
            <w:r>
              <w:rPr>
                <w:rFonts w:ascii="Arial" w:cs="Arial" w:eastAsia="Arial" w:hAnsi="Arial"/>
                <w:sz w:val="18"/>
                <w:szCs w:val="18"/>
                <w:color w:val="auto"/>
              </w:rPr>
              <w:t>Optional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3.08</w:t>
            </w:r>
          </w:p>
        </w:tc>
        <w:tc>
          <w:tcPr>
            <w:tcW w:w="8380" w:type="dxa"/>
            <w:vAlign w:val="bottom"/>
          </w:tcPr>
          <w:p>
            <w:pPr>
              <w:ind w:left="140"/>
              <w:spacing w:after="0"/>
              <w:rPr>
                <w:sz w:val="20"/>
                <w:szCs w:val="20"/>
                <w:color w:val="auto"/>
              </w:rPr>
            </w:pPr>
            <w:r>
              <w:rPr>
                <w:rFonts w:ascii="Arial" w:cs="Arial" w:eastAsia="Arial" w:hAnsi="Arial"/>
                <w:sz w:val="18"/>
                <w:szCs w:val="18"/>
                <w:color w:val="auto"/>
              </w:rPr>
              <w:t>Mandatory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3.09</w:t>
            </w:r>
          </w:p>
        </w:tc>
        <w:tc>
          <w:tcPr>
            <w:tcW w:w="8380" w:type="dxa"/>
            <w:vAlign w:val="bottom"/>
          </w:tcPr>
          <w:p>
            <w:pPr>
              <w:ind w:left="140"/>
              <w:spacing w:after="0"/>
              <w:rPr>
                <w:sz w:val="20"/>
                <w:szCs w:val="20"/>
                <w:color w:val="auto"/>
              </w:rPr>
            </w:pPr>
            <w:r>
              <w:rPr>
                <w:rFonts w:ascii="Arial" w:cs="Arial" w:eastAsia="Arial" w:hAnsi="Arial"/>
                <w:sz w:val="18"/>
                <w:szCs w:val="18"/>
                <w:color w:val="auto"/>
              </w:rPr>
              <w:t>Offer to Purchase by Application of Excess Proceeds</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3.10</w:t>
            </w:r>
          </w:p>
        </w:tc>
        <w:tc>
          <w:tcPr>
            <w:tcW w:w="8380" w:type="dxa"/>
            <w:vAlign w:val="bottom"/>
          </w:tcPr>
          <w:p>
            <w:pPr>
              <w:ind w:left="140"/>
              <w:spacing w:after="0"/>
              <w:rPr>
                <w:sz w:val="20"/>
                <w:szCs w:val="20"/>
                <w:color w:val="auto"/>
              </w:rPr>
            </w:pPr>
            <w:r>
              <w:rPr>
                <w:rFonts w:ascii="Arial" w:cs="Arial" w:eastAsia="Arial" w:hAnsi="Arial"/>
                <w:sz w:val="18"/>
                <w:szCs w:val="18"/>
                <w:color w:val="auto"/>
              </w:rPr>
              <w:t>Redemption for Taxation Reasons</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3.11</w:t>
            </w:r>
          </w:p>
        </w:tc>
        <w:tc>
          <w:tcPr>
            <w:tcW w:w="8380" w:type="dxa"/>
            <w:vAlign w:val="bottom"/>
          </w:tcPr>
          <w:p>
            <w:pPr>
              <w:ind w:left="140"/>
              <w:spacing w:after="0"/>
              <w:rPr>
                <w:sz w:val="20"/>
                <w:szCs w:val="20"/>
                <w:color w:val="auto"/>
              </w:rPr>
            </w:pPr>
            <w:r>
              <w:rPr>
                <w:rFonts w:ascii="Arial" w:cs="Arial" w:eastAsia="Arial" w:hAnsi="Arial"/>
                <w:sz w:val="18"/>
                <w:szCs w:val="18"/>
                <w:color w:val="auto"/>
              </w:rPr>
              <w:t>Gaming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8380" w:type="dxa"/>
            <w:vAlign w:val="bottom"/>
          </w:tcPr>
          <w:p>
            <w:pPr>
              <w:jc w:val="center"/>
              <w:ind w:left="410"/>
              <w:spacing w:after="0"/>
              <w:rPr>
                <w:sz w:val="20"/>
                <w:szCs w:val="20"/>
                <w:color w:val="auto"/>
              </w:rPr>
            </w:pPr>
            <w:r>
              <w:rPr>
                <w:rFonts w:ascii="Arial" w:cs="Arial" w:eastAsia="Arial" w:hAnsi="Arial"/>
                <w:sz w:val="18"/>
                <w:szCs w:val="18"/>
                <w:color w:val="auto"/>
                <w:w w:val="96"/>
              </w:rPr>
              <w:t>ARTICLE 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380" w:type="dxa"/>
            <w:vAlign w:val="bottom"/>
          </w:tcPr>
          <w:p>
            <w:pPr>
              <w:jc w:val="center"/>
              <w:ind w:left="410"/>
              <w:spacing w:after="0"/>
              <w:rPr>
                <w:sz w:val="20"/>
                <w:szCs w:val="20"/>
                <w:color w:val="auto"/>
              </w:rPr>
            </w:pPr>
            <w:r>
              <w:rPr>
                <w:rFonts w:ascii="Arial" w:cs="Arial" w:eastAsia="Arial" w:hAnsi="Arial"/>
                <w:sz w:val="18"/>
                <w:szCs w:val="18"/>
                <w:color w:val="auto"/>
                <w:w w:val="96"/>
              </w:rPr>
              <w:t>COVENANTS</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4.01</w:t>
            </w:r>
          </w:p>
        </w:tc>
        <w:tc>
          <w:tcPr>
            <w:tcW w:w="8380" w:type="dxa"/>
            <w:vAlign w:val="bottom"/>
          </w:tcPr>
          <w:p>
            <w:pPr>
              <w:ind w:left="140"/>
              <w:spacing w:after="0"/>
              <w:rPr>
                <w:sz w:val="20"/>
                <w:szCs w:val="20"/>
                <w:color w:val="auto"/>
              </w:rPr>
            </w:pPr>
            <w:r>
              <w:rPr>
                <w:rFonts w:ascii="Arial" w:cs="Arial" w:eastAsia="Arial" w:hAnsi="Arial"/>
                <w:sz w:val="18"/>
                <w:szCs w:val="18"/>
                <w:color w:val="auto"/>
              </w:rPr>
              <w:t>Payment of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4.02</w:t>
            </w:r>
          </w:p>
        </w:tc>
        <w:tc>
          <w:tcPr>
            <w:tcW w:w="8380" w:type="dxa"/>
            <w:vAlign w:val="bottom"/>
          </w:tcPr>
          <w:p>
            <w:pPr>
              <w:ind w:left="140"/>
              <w:spacing w:after="0"/>
              <w:rPr>
                <w:sz w:val="20"/>
                <w:szCs w:val="20"/>
                <w:color w:val="auto"/>
              </w:rPr>
            </w:pPr>
            <w:r>
              <w:rPr>
                <w:rFonts w:ascii="Arial" w:cs="Arial" w:eastAsia="Arial" w:hAnsi="Arial"/>
                <w:sz w:val="18"/>
                <w:szCs w:val="18"/>
                <w:color w:val="auto"/>
              </w:rPr>
              <w:t>Maintenance of Office or Agency</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4.03</w:t>
            </w:r>
          </w:p>
        </w:tc>
        <w:tc>
          <w:tcPr>
            <w:tcW w:w="8380" w:type="dxa"/>
            <w:vAlign w:val="bottom"/>
          </w:tcPr>
          <w:p>
            <w:pPr>
              <w:ind w:left="140"/>
              <w:spacing w:after="0"/>
              <w:rPr>
                <w:sz w:val="20"/>
                <w:szCs w:val="20"/>
                <w:color w:val="auto"/>
              </w:rPr>
            </w:pPr>
            <w:r>
              <w:rPr>
                <w:rFonts w:ascii="Arial" w:cs="Arial" w:eastAsia="Arial" w:hAnsi="Arial"/>
                <w:sz w:val="18"/>
                <w:szCs w:val="18"/>
                <w:color w:val="auto"/>
              </w:rPr>
              <w:t>Reports</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4.04</w:t>
            </w:r>
          </w:p>
        </w:tc>
        <w:tc>
          <w:tcPr>
            <w:tcW w:w="8380" w:type="dxa"/>
            <w:vAlign w:val="bottom"/>
          </w:tcPr>
          <w:p>
            <w:pPr>
              <w:ind w:left="140"/>
              <w:spacing w:after="0"/>
              <w:rPr>
                <w:sz w:val="20"/>
                <w:szCs w:val="20"/>
                <w:color w:val="auto"/>
              </w:rPr>
            </w:pPr>
            <w:r>
              <w:rPr>
                <w:rFonts w:ascii="Arial" w:cs="Arial" w:eastAsia="Arial" w:hAnsi="Arial"/>
                <w:sz w:val="18"/>
                <w:szCs w:val="18"/>
                <w:color w:val="auto"/>
              </w:rPr>
              <w:t>Compliance Certificate</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4.05</w:t>
            </w:r>
          </w:p>
        </w:tc>
        <w:tc>
          <w:tcPr>
            <w:tcW w:w="8380" w:type="dxa"/>
            <w:vAlign w:val="bottom"/>
          </w:tcPr>
          <w:p>
            <w:pPr>
              <w:ind w:left="140"/>
              <w:spacing w:after="0"/>
              <w:rPr>
                <w:sz w:val="20"/>
                <w:szCs w:val="20"/>
                <w:color w:val="auto"/>
              </w:rPr>
            </w:pPr>
            <w:r>
              <w:rPr>
                <w:rFonts w:ascii="Arial" w:cs="Arial" w:eastAsia="Arial" w:hAnsi="Arial"/>
                <w:sz w:val="18"/>
                <w:szCs w:val="18"/>
                <w:color w:val="auto"/>
              </w:rPr>
              <w:t>Taxes</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4.06</w:t>
            </w:r>
          </w:p>
        </w:tc>
        <w:tc>
          <w:tcPr>
            <w:tcW w:w="8380" w:type="dxa"/>
            <w:vAlign w:val="bottom"/>
          </w:tcPr>
          <w:p>
            <w:pPr>
              <w:ind w:left="140"/>
              <w:spacing w:after="0"/>
              <w:rPr>
                <w:sz w:val="20"/>
                <w:szCs w:val="20"/>
                <w:color w:val="auto"/>
              </w:rPr>
            </w:pPr>
            <w:r>
              <w:rPr>
                <w:rFonts w:ascii="Arial" w:cs="Arial" w:eastAsia="Arial" w:hAnsi="Arial"/>
                <w:sz w:val="18"/>
                <w:szCs w:val="18"/>
                <w:color w:val="auto"/>
              </w:rPr>
              <w:t>Stay, Extension and Usury Laws</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4.07</w:t>
            </w:r>
          </w:p>
        </w:tc>
        <w:tc>
          <w:tcPr>
            <w:tcW w:w="8380" w:type="dxa"/>
            <w:vAlign w:val="bottom"/>
          </w:tcPr>
          <w:p>
            <w:pPr>
              <w:ind w:left="140"/>
              <w:spacing w:after="0"/>
              <w:rPr>
                <w:sz w:val="20"/>
                <w:szCs w:val="20"/>
                <w:color w:val="auto"/>
              </w:rPr>
            </w:pPr>
            <w:r>
              <w:rPr>
                <w:rFonts w:ascii="Arial" w:cs="Arial" w:eastAsia="Arial" w:hAnsi="Arial"/>
                <w:sz w:val="18"/>
                <w:szCs w:val="18"/>
                <w:color w:val="auto"/>
              </w:rPr>
              <w:t>Limitation on Restricted Payments</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4.08</w:t>
            </w:r>
          </w:p>
        </w:tc>
        <w:tc>
          <w:tcPr>
            <w:tcW w:w="8380" w:type="dxa"/>
            <w:vAlign w:val="bottom"/>
          </w:tcPr>
          <w:p>
            <w:pPr>
              <w:ind w:left="140"/>
              <w:spacing w:after="0"/>
              <w:rPr>
                <w:sz w:val="20"/>
                <w:szCs w:val="20"/>
                <w:color w:val="auto"/>
              </w:rPr>
            </w:pPr>
            <w:r>
              <w:rPr>
                <w:rFonts w:ascii="Arial" w:cs="Arial" w:eastAsia="Arial" w:hAnsi="Arial"/>
                <w:sz w:val="18"/>
                <w:szCs w:val="18"/>
                <w:color w:val="auto"/>
              </w:rPr>
              <w:t>Dividend and Other Payment Restrictions Affecting Subsidiaries</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4.09</w:t>
            </w:r>
          </w:p>
        </w:tc>
        <w:tc>
          <w:tcPr>
            <w:tcW w:w="8380" w:type="dxa"/>
            <w:vAlign w:val="bottom"/>
          </w:tcPr>
          <w:p>
            <w:pPr>
              <w:ind w:left="140"/>
              <w:spacing w:after="0"/>
              <w:rPr>
                <w:sz w:val="20"/>
                <w:szCs w:val="20"/>
                <w:color w:val="auto"/>
              </w:rPr>
            </w:pPr>
            <w:r>
              <w:rPr>
                <w:rFonts w:ascii="Arial" w:cs="Arial" w:eastAsia="Arial" w:hAnsi="Arial"/>
                <w:sz w:val="18"/>
                <w:szCs w:val="18"/>
                <w:color w:val="auto"/>
              </w:rPr>
              <w:t>Limitation on Incurrence of Indebtedness and Issuance of Disqualified Stock and Preferred Stock</w:t>
            </w: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4.10</w:t>
            </w:r>
          </w:p>
        </w:tc>
        <w:tc>
          <w:tcPr>
            <w:tcW w:w="8380" w:type="dxa"/>
            <w:vAlign w:val="bottom"/>
          </w:tcPr>
          <w:p>
            <w:pPr>
              <w:ind w:left="140"/>
              <w:spacing w:after="0"/>
              <w:rPr>
                <w:sz w:val="20"/>
                <w:szCs w:val="20"/>
                <w:color w:val="auto"/>
              </w:rPr>
            </w:pPr>
            <w:r>
              <w:rPr>
                <w:rFonts w:ascii="Arial" w:cs="Arial" w:eastAsia="Arial" w:hAnsi="Arial"/>
                <w:sz w:val="18"/>
                <w:szCs w:val="18"/>
                <w:color w:val="auto"/>
              </w:rPr>
              <w:t>Asset Sales</w:t>
            </w:r>
          </w:p>
        </w:tc>
        <w:tc>
          <w:tcPr>
            <w:tcW w:w="15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4.11</w:t>
            </w:r>
          </w:p>
        </w:tc>
        <w:tc>
          <w:tcPr>
            <w:tcW w:w="8380" w:type="dxa"/>
            <w:vAlign w:val="bottom"/>
          </w:tcPr>
          <w:p>
            <w:pPr>
              <w:ind w:left="140"/>
              <w:spacing w:after="0"/>
              <w:rPr>
                <w:sz w:val="20"/>
                <w:szCs w:val="20"/>
                <w:color w:val="auto"/>
              </w:rPr>
            </w:pPr>
            <w:r>
              <w:rPr>
                <w:rFonts w:ascii="Arial" w:cs="Arial" w:eastAsia="Arial" w:hAnsi="Arial"/>
                <w:sz w:val="18"/>
                <w:szCs w:val="18"/>
                <w:color w:val="auto"/>
              </w:rPr>
              <w:t>Transactions with Affiliates</w:t>
            </w:r>
          </w:p>
        </w:tc>
        <w:tc>
          <w:tcPr>
            <w:tcW w:w="15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4.12</w:t>
            </w:r>
          </w:p>
        </w:tc>
        <w:tc>
          <w:tcPr>
            <w:tcW w:w="8200" w:type="dxa"/>
            <w:vAlign w:val="bottom"/>
          </w:tcPr>
          <w:p>
            <w:pPr>
              <w:ind w:left="140"/>
              <w:spacing w:after="0"/>
              <w:rPr>
                <w:sz w:val="20"/>
                <w:szCs w:val="20"/>
                <w:color w:val="auto"/>
              </w:rPr>
            </w:pPr>
            <w:r>
              <w:rPr>
                <w:rFonts w:ascii="Arial" w:cs="Arial" w:eastAsia="Arial" w:hAnsi="Arial"/>
                <w:sz w:val="18"/>
                <w:szCs w:val="18"/>
                <w:color w:val="auto"/>
              </w:rPr>
              <w:t>Liens</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4.13</w:t>
            </w:r>
          </w:p>
        </w:tc>
        <w:tc>
          <w:tcPr>
            <w:tcW w:w="8200" w:type="dxa"/>
            <w:vAlign w:val="bottom"/>
          </w:tcPr>
          <w:p>
            <w:pPr>
              <w:ind w:left="140"/>
              <w:spacing w:after="0"/>
              <w:rPr>
                <w:sz w:val="20"/>
                <w:szCs w:val="20"/>
                <w:color w:val="auto"/>
              </w:rPr>
            </w:pPr>
            <w:r>
              <w:rPr>
                <w:rFonts w:ascii="Arial" w:cs="Arial" w:eastAsia="Arial" w:hAnsi="Arial"/>
                <w:sz w:val="18"/>
                <w:szCs w:val="18"/>
                <w:color w:val="auto"/>
              </w:rPr>
              <w:t>Business Activities</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4.14</w:t>
            </w:r>
          </w:p>
        </w:tc>
        <w:tc>
          <w:tcPr>
            <w:tcW w:w="8200" w:type="dxa"/>
            <w:vAlign w:val="bottom"/>
          </w:tcPr>
          <w:p>
            <w:pPr>
              <w:ind w:left="140"/>
              <w:spacing w:after="0"/>
              <w:rPr>
                <w:sz w:val="20"/>
                <w:szCs w:val="20"/>
                <w:color w:val="auto"/>
              </w:rPr>
            </w:pPr>
            <w:r>
              <w:rPr>
                <w:rFonts w:ascii="Arial" w:cs="Arial" w:eastAsia="Arial" w:hAnsi="Arial"/>
                <w:sz w:val="18"/>
                <w:szCs w:val="18"/>
                <w:color w:val="auto"/>
              </w:rPr>
              <w:t>Corporate Existence</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4.15</w:t>
            </w:r>
          </w:p>
        </w:tc>
        <w:tc>
          <w:tcPr>
            <w:tcW w:w="8200" w:type="dxa"/>
            <w:vAlign w:val="bottom"/>
          </w:tcPr>
          <w:p>
            <w:pPr>
              <w:ind w:left="140"/>
              <w:spacing w:after="0"/>
              <w:rPr>
                <w:sz w:val="20"/>
                <w:szCs w:val="20"/>
                <w:color w:val="auto"/>
              </w:rPr>
            </w:pPr>
            <w:r>
              <w:rPr>
                <w:rFonts w:ascii="Arial" w:cs="Arial" w:eastAsia="Arial" w:hAnsi="Arial"/>
                <w:sz w:val="18"/>
                <w:szCs w:val="18"/>
                <w:color w:val="auto"/>
              </w:rPr>
              <w:t>Offer to Repurchase upon Change of Control</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4.16</w:t>
            </w:r>
          </w:p>
        </w:tc>
        <w:tc>
          <w:tcPr>
            <w:tcW w:w="8200" w:type="dxa"/>
            <w:vAlign w:val="bottom"/>
          </w:tcPr>
          <w:p>
            <w:pPr>
              <w:ind w:left="140"/>
              <w:spacing w:after="0"/>
              <w:rPr>
                <w:sz w:val="20"/>
                <w:szCs w:val="20"/>
                <w:color w:val="auto"/>
              </w:rPr>
            </w:pPr>
            <w:r>
              <w:rPr>
                <w:rFonts w:ascii="Arial" w:cs="Arial" w:eastAsia="Arial" w:hAnsi="Arial"/>
                <w:sz w:val="18"/>
                <w:szCs w:val="18"/>
                <w:color w:val="auto"/>
              </w:rPr>
              <w:t>Payments for Consents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4.17</w:t>
            </w:r>
          </w:p>
        </w:tc>
        <w:tc>
          <w:tcPr>
            <w:tcW w:w="8200" w:type="dxa"/>
            <w:vAlign w:val="bottom"/>
          </w:tcPr>
          <w:p>
            <w:pPr>
              <w:ind w:left="140"/>
              <w:spacing w:after="0"/>
              <w:rPr>
                <w:sz w:val="20"/>
                <w:szCs w:val="20"/>
                <w:color w:val="auto"/>
              </w:rPr>
            </w:pPr>
            <w:r>
              <w:rPr>
                <w:rFonts w:ascii="Arial" w:cs="Arial" w:eastAsia="Arial" w:hAnsi="Arial"/>
                <w:sz w:val="18"/>
                <w:szCs w:val="18"/>
                <w:color w:val="auto"/>
              </w:rPr>
              <w:t>Future Subsidiary Guarantors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4.18</w:t>
            </w:r>
          </w:p>
        </w:tc>
        <w:tc>
          <w:tcPr>
            <w:tcW w:w="8200" w:type="dxa"/>
            <w:vAlign w:val="bottom"/>
          </w:tcPr>
          <w:p>
            <w:pPr>
              <w:ind w:left="140"/>
              <w:spacing w:after="0"/>
              <w:rPr>
                <w:sz w:val="20"/>
                <w:szCs w:val="20"/>
                <w:color w:val="auto"/>
              </w:rPr>
            </w:pPr>
            <w:r>
              <w:rPr>
                <w:rFonts w:ascii="Arial" w:cs="Arial" w:eastAsia="Arial" w:hAnsi="Arial"/>
                <w:sz w:val="18"/>
                <w:szCs w:val="18"/>
                <w:color w:val="auto"/>
              </w:rPr>
              <w:t>Designation of Restricted and Unrestricted Subsidiaries</w:t>
            </w:r>
          </w:p>
        </w:tc>
        <w:tc>
          <w:tcPr>
            <w:tcW w:w="1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4.19</w:t>
            </w:r>
          </w:p>
        </w:tc>
        <w:tc>
          <w:tcPr>
            <w:tcW w:w="8200" w:type="dxa"/>
            <w:vAlign w:val="bottom"/>
          </w:tcPr>
          <w:p>
            <w:pPr>
              <w:ind w:left="140"/>
              <w:spacing w:after="0"/>
              <w:rPr>
                <w:sz w:val="20"/>
                <w:szCs w:val="20"/>
                <w:color w:val="auto"/>
              </w:rPr>
            </w:pPr>
            <w:r>
              <w:rPr>
                <w:rFonts w:ascii="Arial" w:cs="Arial" w:eastAsia="Arial" w:hAnsi="Arial"/>
                <w:sz w:val="18"/>
                <w:szCs w:val="18"/>
                <w:color w:val="auto"/>
              </w:rPr>
              <w:t>Listing</w:t>
            </w: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4.20</w:t>
            </w:r>
          </w:p>
        </w:tc>
        <w:tc>
          <w:tcPr>
            <w:tcW w:w="8200" w:type="dxa"/>
            <w:vAlign w:val="bottom"/>
          </w:tcPr>
          <w:p>
            <w:pPr>
              <w:ind w:left="140"/>
              <w:spacing w:after="0"/>
              <w:rPr>
                <w:sz w:val="20"/>
                <w:szCs w:val="20"/>
                <w:color w:val="auto"/>
              </w:rPr>
            </w:pPr>
            <w:r>
              <w:rPr>
                <w:rFonts w:ascii="Arial" w:cs="Arial" w:eastAsia="Arial" w:hAnsi="Arial"/>
                <w:sz w:val="18"/>
                <w:szCs w:val="18"/>
                <w:color w:val="auto"/>
              </w:rPr>
              <w:t>Limitations on Use of Proceeds</w:t>
            </w: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4.21</w:t>
            </w:r>
          </w:p>
        </w:tc>
        <w:tc>
          <w:tcPr>
            <w:tcW w:w="8200" w:type="dxa"/>
            <w:vAlign w:val="bottom"/>
          </w:tcPr>
          <w:p>
            <w:pPr>
              <w:ind w:left="140"/>
              <w:spacing w:after="0"/>
              <w:rPr>
                <w:sz w:val="20"/>
                <w:szCs w:val="20"/>
                <w:color w:val="auto"/>
              </w:rPr>
            </w:pPr>
            <w:r>
              <w:rPr>
                <w:rFonts w:ascii="Arial" w:cs="Arial" w:eastAsia="Arial" w:hAnsi="Arial"/>
                <w:sz w:val="18"/>
                <w:szCs w:val="18"/>
                <w:color w:val="auto"/>
              </w:rPr>
              <w:t>Special Put Option</w:t>
            </w: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4.22</w:t>
            </w:r>
          </w:p>
        </w:tc>
        <w:tc>
          <w:tcPr>
            <w:tcW w:w="8200" w:type="dxa"/>
            <w:vAlign w:val="bottom"/>
          </w:tcPr>
          <w:p>
            <w:pPr>
              <w:ind w:left="140"/>
              <w:spacing w:after="0"/>
              <w:rPr>
                <w:sz w:val="20"/>
                <w:szCs w:val="20"/>
                <w:color w:val="auto"/>
              </w:rPr>
            </w:pPr>
            <w:r>
              <w:rPr>
                <w:rFonts w:ascii="Arial" w:cs="Arial" w:eastAsia="Arial" w:hAnsi="Arial"/>
                <w:sz w:val="18"/>
                <w:szCs w:val="18"/>
                <w:color w:val="auto"/>
              </w:rPr>
              <w:t>Intercompany Note Proceeds Loans</w:t>
            </w:r>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4.23</w:t>
            </w:r>
          </w:p>
        </w:tc>
        <w:tc>
          <w:tcPr>
            <w:tcW w:w="8200" w:type="dxa"/>
            <w:vAlign w:val="bottom"/>
          </w:tcPr>
          <w:p>
            <w:pPr>
              <w:ind w:left="140"/>
              <w:spacing w:after="0"/>
              <w:rPr>
                <w:sz w:val="20"/>
                <w:szCs w:val="20"/>
                <w:color w:val="auto"/>
              </w:rPr>
            </w:pPr>
            <w:r>
              <w:rPr>
                <w:rFonts w:ascii="Arial" w:cs="Arial" w:eastAsia="Arial" w:hAnsi="Arial"/>
                <w:sz w:val="18"/>
                <w:szCs w:val="18"/>
                <w:color w:val="auto"/>
              </w:rPr>
              <w:t>Suspension of Covenants</w:t>
            </w: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0"/>
        </w:trPr>
        <w:tc>
          <w:tcPr>
            <w:tcW w:w="1040" w:type="dxa"/>
            <w:vAlign w:val="bottom"/>
          </w:tcPr>
          <w:p>
            <w:pPr>
              <w:spacing w:after="0"/>
              <w:rPr>
                <w:sz w:val="24"/>
                <w:szCs w:val="24"/>
                <w:color w:val="auto"/>
              </w:rPr>
            </w:pPr>
          </w:p>
        </w:tc>
        <w:tc>
          <w:tcPr>
            <w:tcW w:w="8200" w:type="dxa"/>
            <w:vAlign w:val="bottom"/>
          </w:tcPr>
          <w:p>
            <w:pPr>
              <w:jc w:val="center"/>
              <w:ind w:left="590"/>
              <w:spacing w:after="0"/>
              <w:rPr>
                <w:sz w:val="20"/>
                <w:szCs w:val="20"/>
                <w:color w:val="auto"/>
              </w:rPr>
            </w:pPr>
            <w:r>
              <w:rPr>
                <w:rFonts w:ascii="Arial" w:cs="Arial" w:eastAsia="Arial" w:hAnsi="Arial"/>
                <w:sz w:val="18"/>
                <w:szCs w:val="18"/>
                <w:color w:val="auto"/>
                <w:w w:val="96"/>
              </w:rPr>
              <w:t>ARTICLE 5</w:t>
            </w:r>
          </w:p>
        </w:tc>
        <w:tc>
          <w:tcPr>
            <w:tcW w:w="172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200" w:type="dxa"/>
            <w:vAlign w:val="bottom"/>
          </w:tcPr>
          <w:p>
            <w:pPr>
              <w:jc w:val="center"/>
              <w:ind w:left="590"/>
              <w:spacing w:after="0"/>
              <w:rPr>
                <w:sz w:val="20"/>
                <w:szCs w:val="20"/>
                <w:color w:val="auto"/>
              </w:rPr>
            </w:pPr>
            <w:r>
              <w:rPr>
                <w:rFonts w:ascii="Arial" w:cs="Arial" w:eastAsia="Arial" w:hAnsi="Arial"/>
                <w:sz w:val="18"/>
                <w:szCs w:val="18"/>
                <w:color w:val="auto"/>
                <w:w w:val="88"/>
              </w:rPr>
              <w:t>SUCCESSORS</w:t>
            </w:r>
          </w:p>
        </w:tc>
        <w:tc>
          <w:tcPr>
            <w:tcW w:w="172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5.01</w:t>
            </w:r>
          </w:p>
        </w:tc>
        <w:tc>
          <w:tcPr>
            <w:tcW w:w="8200" w:type="dxa"/>
            <w:vAlign w:val="bottom"/>
          </w:tcPr>
          <w:p>
            <w:pPr>
              <w:ind w:left="140"/>
              <w:spacing w:after="0"/>
              <w:rPr>
                <w:sz w:val="20"/>
                <w:szCs w:val="20"/>
                <w:color w:val="auto"/>
              </w:rPr>
            </w:pPr>
            <w:r>
              <w:rPr>
                <w:rFonts w:ascii="Arial" w:cs="Arial" w:eastAsia="Arial" w:hAnsi="Arial"/>
                <w:sz w:val="18"/>
                <w:szCs w:val="18"/>
                <w:color w:val="auto"/>
              </w:rPr>
              <w:t>Merger, Consolidation, or Sale of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5.02</w:t>
            </w:r>
          </w:p>
        </w:tc>
        <w:tc>
          <w:tcPr>
            <w:tcW w:w="8200" w:type="dxa"/>
            <w:vAlign w:val="bottom"/>
          </w:tcPr>
          <w:p>
            <w:pPr>
              <w:ind w:left="140"/>
              <w:spacing w:after="0"/>
              <w:rPr>
                <w:sz w:val="20"/>
                <w:szCs w:val="20"/>
                <w:color w:val="auto"/>
              </w:rPr>
            </w:pPr>
            <w:r>
              <w:rPr>
                <w:rFonts w:ascii="Arial" w:cs="Arial" w:eastAsia="Arial" w:hAnsi="Arial"/>
                <w:sz w:val="18"/>
                <w:szCs w:val="18"/>
                <w:color w:val="auto"/>
              </w:rPr>
              <w:t>Successor Corporation Substituted</w:t>
            </w:r>
          </w:p>
        </w:tc>
        <w:tc>
          <w:tcPr>
            <w:tcW w:w="1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1040" w:type="dxa"/>
            <w:vAlign w:val="bottom"/>
          </w:tcPr>
          <w:p>
            <w:pPr>
              <w:spacing w:after="0"/>
              <w:rPr>
                <w:sz w:val="24"/>
                <w:szCs w:val="24"/>
                <w:color w:val="auto"/>
              </w:rPr>
            </w:pPr>
          </w:p>
        </w:tc>
        <w:tc>
          <w:tcPr>
            <w:tcW w:w="8200" w:type="dxa"/>
            <w:vAlign w:val="bottom"/>
          </w:tcPr>
          <w:p>
            <w:pPr>
              <w:jc w:val="center"/>
              <w:ind w:left="590"/>
              <w:spacing w:after="0"/>
              <w:rPr>
                <w:sz w:val="20"/>
                <w:szCs w:val="20"/>
                <w:color w:val="auto"/>
              </w:rPr>
            </w:pPr>
            <w:r>
              <w:rPr>
                <w:rFonts w:ascii="Arial" w:cs="Arial" w:eastAsia="Arial" w:hAnsi="Arial"/>
                <w:sz w:val="18"/>
                <w:szCs w:val="18"/>
                <w:color w:val="auto"/>
                <w:w w:val="96"/>
              </w:rPr>
              <w:t>ARTICLE 6</w:t>
            </w:r>
          </w:p>
        </w:tc>
        <w:tc>
          <w:tcPr>
            <w:tcW w:w="172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200" w:type="dxa"/>
            <w:vAlign w:val="bottom"/>
          </w:tcPr>
          <w:p>
            <w:pPr>
              <w:jc w:val="center"/>
              <w:ind w:left="590"/>
              <w:spacing w:after="0"/>
              <w:rPr>
                <w:sz w:val="20"/>
                <w:szCs w:val="20"/>
                <w:color w:val="auto"/>
              </w:rPr>
            </w:pPr>
            <w:r>
              <w:rPr>
                <w:rFonts w:ascii="Arial" w:cs="Arial" w:eastAsia="Arial" w:hAnsi="Arial"/>
                <w:sz w:val="18"/>
                <w:szCs w:val="18"/>
                <w:color w:val="auto"/>
                <w:w w:val="96"/>
              </w:rPr>
              <w:t>DEFAULTS AND REMEDIES</w:t>
            </w:r>
          </w:p>
        </w:tc>
        <w:tc>
          <w:tcPr>
            <w:tcW w:w="172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6.01</w:t>
            </w:r>
          </w:p>
        </w:tc>
        <w:tc>
          <w:tcPr>
            <w:tcW w:w="820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1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6.02</w:t>
            </w:r>
          </w:p>
        </w:tc>
        <w:tc>
          <w:tcPr>
            <w:tcW w:w="8200" w:type="dxa"/>
            <w:vAlign w:val="bottom"/>
          </w:tcPr>
          <w:p>
            <w:pPr>
              <w:ind w:left="140"/>
              <w:spacing w:after="0"/>
              <w:rPr>
                <w:sz w:val="20"/>
                <w:szCs w:val="20"/>
                <w:color w:val="auto"/>
              </w:rPr>
            </w:pPr>
            <w:r>
              <w:rPr>
                <w:rFonts w:ascii="Arial" w:cs="Arial" w:eastAsia="Arial" w:hAnsi="Arial"/>
                <w:sz w:val="18"/>
                <w:szCs w:val="18"/>
                <w:color w:val="auto"/>
              </w:rPr>
              <w:t>Acceleration</w:t>
            </w: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6.03</w:t>
            </w:r>
          </w:p>
        </w:tc>
        <w:tc>
          <w:tcPr>
            <w:tcW w:w="8200" w:type="dxa"/>
            <w:vAlign w:val="bottom"/>
          </w:tcPr>
          <w:p>
            <w:pPr>
              <w:ind w:left="140"/>
              <w:spacing w:after="0"/>
              <w:rPr>
                <w:sz w:val="20"/>
                <w:szCs w:val="20"/>
                <w:color w:val="auto"/>
              </w:rPr>
            </w:pPr>
            <w:r>
              <w:rPr>
                <w:rFonts w:ascii="Arial" w:cs="Arial" w:eastAsia="Arial" w:hAnsi="Arial"/>
                <w:sz w:val="18"/>
                <w:szCs w:val="18"/>
                <w:color w:val="auto"/>
              </w:rPr>
              <w:t>Other Remedies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6.04</w:t>
            </w:r>
          </w:p>
        </w:tc>
        <w:tc>
          <w:tcPr>
            <w:tcW w:w="8200" w:type="dxa"/>
            <w:vAlign w:val="bottom"/>
          </w:tcPr>
          <w:p>
            <w:pPr>
              <w:ind w:left="140"/>
              <w:spacing w:after="0"/>
              <w:rPr>
                <w:sz w:val="20"/>
                <w:szCs w:val="20"/>
                <w:color w:val="auto"/>
              </w:rPr>
            </w:pPr>
            <w:r>
              <w:rPr>
                <w:rFonts w:ascii="Arial" w:cs="Arial" w:eastAsia="Arial" w:hAnsi="Arial"/>
                <w:sz w:val="18"/>
                <w:szCs w:val="18"/>
                <w:color w:val="auto"/>
              </w:rPr>
              <w:t>Waiver of Past Defaults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6.05</w:t>
            </w:r>
          </w:p>
        </w:tc>
        <w:tc>
          <w:tcPr>
            <w:tcW w:w="8200" w:type="dxa"/>
            <w:vAlign w:val="bottom"/>
          </w:tcPr>
          <w:p>
            <w:pPr>
              <w:ind w:left="140"/>
              <w:spacing w:after="0"/>
              <w:rPr>
                <w:sz w:val="20"/>
                <w:szCs w:val="20"/>
                <w:color w:val="auto"/>
              </w:rPr>
            </w:pPr>
            <w:r>
              <w:rPr>
                <w:rFonts w:ascii="Arial" w:cs="Arial" w:eastAsia="Arial" w:hAnsi="Arial"/>
                <w:sz w:val="18"/>
                <w:szCs w:val="18"/>
                <w:color w:val="auto"/>
              </w:rPr>
              <w:t>Control by Majority</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6.06</w:t>
            </w:r>
          </w:p>
        </w:tc>
        <w:tc>
          <w:tcPr>
            <w:tcW w:w="820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6.07</w:t>
            </w:r>
          </w:p>
        </w:tc>
        <w:tc>
          <w:tcPr>
            <w:tcW w:w="8200" w:type="dxa"/>
            <w:vAlign w:val="bottom"/>
          </w:tcPr>
          <w:p>
            <w:pPr>
              <w:ind w:left="140"/>
              <w:spacing w:after="0"/>
              <w:rPr>
                <w:sz w:val="20"/>
                <w:szCs w:val="20"/>
                <w:color w:val="auto"/>
              </w:rPr>
            </w:pPr>
            <w:r>
              <w:rPr>
                <w:rFonts w:ascii="Arial" w:cs="Arial" w:eastAsia="Arial" w:hAnsi="Arial"/>
                <w:sz w:val="18"/>
                <w:szCs w:val="18"/>
                <w:color w:val="auto"/>
              </w:rPr>
              <w:t>Rights of Holders to Receive Payment</w:t>
            </w: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6.08</w:t>
            </w:r>
          </w:p>
        </w:tc>
        <w:tc>
          <w:tcPr>
            <w:tcW w:w="8200" w:type="dxa"/>
            <w:vAlign w:val="bottom"/>
          </w:tcPr>
          <w:p>
            <w:pPr>
              <w:ind w:left="140"/>
              <w:spacing w:after="0"/>
              <w:rPr>
                <w:sz w:val="20"/>
                <w:szCs w:val="20"/>
                <w:color w:val="auto"/>
              </w:rPr>
            </w:pPr>
            <w:r>
              <w:rPr>
                <w:rFonts w:ascii="Arial" w:cs="Arial" w:eastAsia="Arial" w:hAnsi="Arial"/>
                <w:sz w:val="18"/>
                <w:szCs w:val="18"/>
                <w:color w:val="auto"/>
              </w:rPr>
              <w:t>Collection Suit by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6.09</w:t>
            </w:r>
          </w:p>
        </w:tc>
        <w:tc>
          <w:tcPr>
            <w:tcW w:w="8200" w:type="dxa"/>
            <w:vAlign w:val="bottom"/>
          </w:tcPr>
          <w:p>
            <w:pPr>
              <w:ind w:left="140"/>
              <w:spacing w:after="0"/>
              <w:rPr>
                <w:sz w:val="20"/>
                <w:szCs w:val="20"/>
                <w:color w:val="auto"/>
              </w:rPr>
            </w:pPr>
            <w:r>
              <w:rPr>
                <w:rFonts w:ascii="Arial" w:cs="Arial" w:eastAsia="Arial" w:hAnsi="Arial"/>
                <w:sz w:val="18"/>
                <w:szCs w:val="18"/>
                <w:color w:val="auto"/>
              </w:rPr>
              <w:t>Trustee May File Proofs of Claim</w:t>
            </w: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6.10</w:t>
            </w:r>
          </w:p>
        </w:tc>
        <w:tc>
          <w:tcPr>
            <w:tcW w:w="8200" w:type="dxa"/>
            <w:vAlign w:val="bottom"/>
          </w:tcPr>
          <w:p>
            <w:pPr>
              <w:ind w:left="140"/>
              <w:spacing w:after="0"/>
              <w:rPr>
                <w:sz w:val="20"/>
                <w:szCs w:val="20"/>
                <w:color w:val="auto"/>
              </w:rPr>
            </w:pPr>
            <w:r>
              <w:rPr>
                <w:rFonts w:ascii="Arial" w:cs="Arial" w:eastAsia="Arial" w:hAnsi="Arial"/>
                <w:sz w:val="18"/>
                <w:szCs w:val="18"/>
                <w:color w:val="auto"/>
              </w:rPr>
              <w:t>Priorities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6.11</w:t>
            </w:r>
          </w:p>
        </w:tc>
        <w:tc>
          <w:tcPr>
            <w:tcW w:w="8200" w:type="dxa"/>
            <w:vAlign w:val="bottom"/>
          </w:tcPr>
          <w:p>
            <w:pPr>
              <w:ind w:left="140"/>
              <w:spacing w:after="0"/>
              <w:rPr>
                <w:sz w:val="20"/>
                <w:szCs w:val="20"/>
                <w:color w:val="auto"/>
              </w:rPr>
            </w:pPr>
            <w:r>
              <w:rPr>
                <w:rFonts w:ascii="Arial" w:cs="Arial" w:eastAsia="Arial" w:hAnsi="Arial"/>
                <w:sz w:val="18"/>
                <w:szCs w:val="18"/>
                <w:color w:val="auto"/>
              </w:rPr>
              <w:t>Undertaking for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0"/>
        </w:trPr>
        <w:tc>
          <w:tcPr>
            <w:tcW w:w="1040" w:type="dxa"/>
            <w:vAlign w:val="bottom"/>
          </w:tcPr>
          <w:p>
            <w:pPr>
              <w:spacing w:after="0"/>
              <w:rPr>
                <w:sz w:val="24"/>
                <w:szCs w:val="24"/>
                <w:color w:val="auto"/>
              </w:rPr>
            </w:pPr>
          </w:p>
        </w:tc>
        <w:tc>
          <w:tcPr>
            <w:tcW w:w="8200" w:type="dxa"/>
            <w:vAlign w:val="bottom"/>
          </w:tcPr>
          <w:p>
            <w:pPr>
              <w:jc w:val="center"/>
              <w:ind w:left="590"/>
              <w:spacing w:after="0"/>
              <w:rPr>
                <w:sz w:val="20"/>
                <w:szCs w:val="20"/>
                <w:color w:val="auto"/>
              </w:rPr>
            </w:pPr>
            <w:r>
              <w:rPr>
                <w:rFonts w:ascii="Arial" w:cs="Arial" w:eastAsia="Arial" w:hAnsi="Arial"/>
                <w:sz w:val="18"/>
                <w:szCs w:val="18"/>
                <w:color w:val="auto"/>
                <w:w w:val="96"/>
              </w:rPr>
              <w:t>ARTICLE 7</w:t>
            </w:r>
          </w:p>
        </w:tc>
        <w:tc>
          <w:tcPr>
            <w:tcW w:w="172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200" w:type="dxa"/>
            <w:vAlign w:val="bottom"/>
          </w:tcPr>
          <w:p>
            <w:pPr>
              <w:jc w:val="center"/>
              <w:ind w:left="590"/>
              <w:spacing w:after="0"/>
              <w:rPr>
                <w:sz w:val="20"/>
                <w:szCs w:val="20"/>
                <w:color w:val="auto"/>
              </w:rPr>
            </w:pPr>
            <w:r>
              <w:rPr>
                <w:rFonts w:ascii="Arial" w:cs="Arial" w:eastAsia="Arial" w:hAnsi="Arial"/>
                <w:sz w:val="18"/>
                <w:szCs w:val="18"/>
                <w:color w:val="auto"/>
                <w:w w:val="95"/>
              </w:rPr>
              <w:t>TRUSTEE</w:t>
            </w:r>
          </w:p>
        </w:tc>
        <w:tc>
          <w:tcPr>
            <w:tcW w:w="172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7.01</w:t>
            </w:r>
          </w:p>
        </w:tc>
        <w:tc>
          <w:tcPr>
            <w:tcW w:w="8200" w:type="dxa"/>
            <w:vAlign w:val="bottom"/>
          </w:tcPr>
          <w:p>
            <w:pPr>
              <w:ind w:left="140"/>
              <w:spacing w:after="0"/>
              <w:rPr>
                <w:sz w:val="20"/>
                <w:szCs w:val="20"/>
                <w:color w:val="auto"/>
              </w:rPr>
            </w:pPr>
            <w:r>
              <w:rPr>
                <w:rFonts w:ascii="Arial" w:cs="Arial" w:eastAsia="Arial" w:hAnsi="Arial"/>
                <w:sz w:val="18"/>
                <w:szCs w:val="18"/>
                <w:color w:val="auto"/>
              </w:rPr>
              <w:t>Duties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7.02</w:t>
            </w:r>
          </w:p>
        </w:tc>
        <w:tc>
          <w:tcPr>
            <w:tcW w:w="8200" w:type="dxa"/>
            <w:vAlign w:val="bottom"/>
          </w:tcPr>
          <w:p>
            <w:pPr>
              <w:ind w:left="140"/>
              <w:spacing w:after="0"/>
              <w:rPr>
                <w:sz w:val="20"/>
                <w:szCs w:val="20"/>
                <w:color w:val="auto"/>
              </w:rPr>
            </w:pPr>
            <w:r>
              <w:rPr>
                <w:rFonts w:ascii="Arial" w:cs="Arial" w:eastAsia="Arial" w:hAnsi="Arial"/>
                <w:sz w:val="18"/>
                <w:szCs w:val="18"/>
                <w:color w:val="auto"/>
              </w:rPr>
              <w:t>Rights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7.03</w:t>
            </w:r>
          </w:p>
        </w:tc>
        <w:tc>
          <w:tcPr>
            <w:tcW w:w="8200" w:type="dxa"/>
            <w:vAlign w:val="bottom"/>
          </w:tcPr>
          <w:p>
            <w:pPr>
              <w:ind w:left="140"/>
              <w:spacing w:after="0"/>
              <w:rPr>
                <w:sz w:val="20"/>
                <w:szCs w:val="20"/>
                <w:color w:val="auto"/>
              </w:rPr>
            </w:pPr>
            <w:r>
              <w:rPr>
                <w:rFonts w:ascii="Arial" w:cs="Arial" w:eastAsia="Arial" w:hAnsi="Arial"/>
                <w:sz w:val="18"/>
                <w:szCs w:val="18"/>
                <w:color w:val="auto"/>
              </w:rPr>
              <w:t>[Intentionally Omitted.]</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7.04</w:t>
            </w:r>
          </w:p>
        </w:tc>
        <w:tc>
          <w:tcPr>
            <w:tcW w:w="8200" w:type="dxa"/>
            <w:vAlign w:val="bottom"/>
          </w:tcPr>
          <w:p>
            <w:pPr>
              <w:ind w:left="140"/>
              <w:spacing w:after="0"/>
              <w:rPr>
                <w:sz w:val="20"/>
                <w:szCs w:val="20"/>
                <w:color w:val="auto"/>
              </w:rPr>
            </w:pPr>
            <w:r>
              <w:rPr>
                <w:rFonts w:ascii="Arial" w:cs="Arial" w:eastAsia="Arial" w:hAnsi="Arial"/>
                <w:sz w:val="18"/>
                <w:szCs w:val="18"/>
                <w:color w:val="auto"/>
              </w:rPr>
              <w:t>Individual Rights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7.05</w:t>
            </w:r>
          </w:p>
        </w:tc>
        <w:tc>
          <w:tcPr>
            <w:tcW w:w="8200" w:type="dxa"/>
            <w:vAlign w:val="bottom"/>
          </w:tcPr>
          <w:p>
            <w:pPr>
              <w:ind w:left="140"/>
              <w:spacing w:after="0"/>
              <w:rPr>
                <w:sz w:val="20"/>
                <w:szCs w:val="20"/>
                <w:color w:val="auto"/>
              </w:rPr>
            </w:pPr>
            <w:r>
              <w:rPr>
                <w:rFonts w:ascii="Arial" w:cs="Arial" w:eastAsia="Arial" w:hAnsi="Arial"/>
                <w:sz w:val="18"/>
                <w:szCs w:val="18"/>
                <w:color w:val="auto"/>
              </w:rPr>
              <w:t>Trustee’s Disclaimer</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7.06</w:t>
            </w:r>
          </w:p>
        </w:tc>
        <w:tc>
          <w:tcPr>
            <w:tcW w:w="8200" w:type="dxa"/>
            <w:vAlign w:val="bottom"/>
          </w:tcPr>
          <w:p>
            <w:pPr>
              <w:ind w:left="140"/>
              <w:spacing w:after="0"/>
              <w:rPr>
                <w:sz w:val="20"/>
                <w:szCs w:val="20"/>
                <w:color w:val="auto"/>
              </w:rPr>
            </w:pPr>
            <w:r>
              <w:rPr>
                <w:rFonts w:ascii="Arial" w:cs="Arial" w:eastAsia="Arial" w:hAnsi="Arial"/>
                <w:sz w:val="18"/>
                <w:szCs w:val="18"/>
                <w:color w:val="auto"/>
              </w:rPr>
              <w:t>Notice of Defaults</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7.07</w:t>
            </w:r>
          </w:p>
        </w:tc>
        <w:tc>
          <w:tcPr>
            <w:tcW w:w="8200" w:type="dxa"/>
            <w:vAlign w:val="bottom"/>
          </w:tcPr>
          <w:p>
            <w:pPr>
              <w:ind w:left="140"/>
              <w:spacing w:after="0"/>
              <w:rPr>
                <w:sz w:val="20"/>
                <w:szCs w:val="20"/>
                <w:color w:val="auto"/>
              </w:rPr>
            </w:pPr>
            <w:r>
              <w:rPr>
                <w:rFonts w:ascii="Arial" w:cs="Arial" w:eastAsia="Arial" w:hAnsi="Arial"/>
                <w:sz w:val="18"/>
                <w:szCs w:val="18"/>
                <w:color w:val="auto"/>
              </w:rPr>
              <w:t>[Intentionally Omitted.]</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7.08</w:t>
            </w:r>
          </w:p>
        </w:tc>
        <w:tc>
          <w:tcPr>
            <w:tcW w:w="8200" w:type="dxa"/>
            <w:vAlign w:val="bottom"/>
          </w:tcPr>
          <w:p>
            <w:pPr>
              <w:ind w:left="140"/>
              <w:spacing w:after="0"/>
              <w:rPr>
                <w:sz w:val="20"/>
                <w:szCs w:val="20"/>
                <w:color w:val="auto"/>
              </w:rPr>
            </w:pPr>
            <w:r>
              <w:rPr>
                <w:rFonts w:ascii="Arial" w:cs="Arial" w:eastAsia="Arial" w:hAnsi="Arial"/>
                <w:sz w:val="18"/>
                <w:szCs w:val="18"/>
                <w:color w:val="auto"/>
              </w:rPr>
              <w:t>Compensation and Indemnity</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7.09</w:t>
            </w:r>
          </w:p>
        </w:tc>
        <w:tc>
          <w:tcPr>
            <w:tcW w:w="8200" w:type="dxa"/>
            <w:vAlign w:val="bottom"/>
          </w:tcPr>
          <w:p>
            <w:pPr>
              <w:ind w:left="140"/>
              <w:spacing w:after="0"/>
              <w:rPr>
                <w:sz w:val="20"/>
                <w:szCs w:val="20"/>
                <w:color w:val="auto"/>
              </w:rPr>
            </w:pPr>
            <w:r>
              <w:rPr>
                <w:rFonts w:ascii="Arial" w:cs="Arial" w:eastAsia="Arial" w:hAnsi="Arial"/>
                <w:sz w:val="18"/>
                <w:szCs w:val="18"/>
                <w:color w:val="auto"/>
              </w:rPr>
              <w:t>Replacement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7.10</w:t>
            </w:r>
          </w:p>
        </w:tc>
        <w:tc>
          <w:tcPr>
            <w:tcW w:w="8200" w:type="dxa"/>
            <w:vAlign w:val="bottom"/>
          </w:tcPr>
          <w:p>
            <w:pPr>
              <w:ind w:left="140"/>
              <w:spacing w:after="0"/>
              <w:rPr>
                <w:sz w:val="20"/>
                <w:szCs w:val="20"/>
                <w:color w:val="auto"/>
              </w:rPr>
            </w:pPr>
            <w:r>
              <w:rPr>
                <w:rFonts w:ascii="Arial" w:cs="Arial" w:eastAsia="Arial" w:hAnsi="Arial"/>
                <w:sz w:val="18"/>
                <w:szCs w:val="18"/>
                <w:color w:val="auto"/>
              </w:rPr>
              <w:t>Successor Trustee by Merger, etc.</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7.11</w:t>
            </w:r>
          </w:p>
        </w:tc>
        <w:tc>
          <w:tcPr>
            <w:tcW w:w="8200" w:type="dxa"/>
            <w:vAlign w:val="bottom"/>
          </w:tcPr>
          <w:p>
            <w:pPr>
              <w:ind w:left="140"/>
              <w:spacing w:after="0"/>
              <w:rPr>
                <w:sz w:val="20"/>
                <w:szCs w:val="20"/>
                <w:color w:val="auto"/>
              </w:rPr>
            </w:pPr>
            <w:r>
              <w:rPr>
                <w:rFonts w:ascii="Arial" w:cs="Arial" w:eastAsia="Arial" w:hAnsi="Arial"/>
                <w:sz w:val="18"/>
                <w:szCs w:val="18"/>
                <w:color w:val="auto"/>
              </w:rPr>
              <w:t>Eligibility; Disqualification</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7.12</w:t>
            </w:r>
          </w:p>
        </w:tc>
        <w:tc>
          <w:tcPr>
            <w:tcW w:w="8200" w:type="dxa"/>
            <w:vAlign w:val="bottom"/>
          </w:tcPr>
          <w:p>
            <w:pPr>
              <w:ind w:left="140"/>
              <w:spacing w:after="0"/>
              <w:rPr>
                <w:sz w:val="20"/>
                <w:szCs w:val="20"/>
                <w:color w:val="auto"/>
              </w:rPr>
            </w:pPr>
            <w:r>
              <w:rPr>
                <w:rFonts w:ascii="Arial" w:cs="Arial" w:eastAsia="Arial" w:hAnsi="Arial"/>
                <w:sz w:val="18"/>
                <w:szCs w:val="18"/>
                <w:color w:val="auto"/>
              </w:rPr>
              <w:t>Appointment of Co-Trustee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7.13</w:t>
            </w:r>
          </w:p>
        </w:tc>
        <w:tc>
          <w:tcPr>
            <w:tcW w:w="8200" w:type="dxa"/>
            <w:vAlign w:val="bottom"/>
          </w:tcPr>
          <w:p>
            <w:pPr>
              <w:ind w:left="140"/>
              <w:spacing w:after="0"/>
              <w:rPr>
                <w:sz w:val="20"/>
                <w:szCs w:val="20"/>
                <w:color w:val="auto"/>
              </w:rPr>
            </w:pPr>
            <w:r>
              <w:rPr>
                <w:rFonts w:ascii="Arial" w:cs="Arial" w:eastAsia="Arial" w:hAnsi="Arial"/>
                <w:sz w:val="18"/>
                <w:szCs w:val="18"/>
                <w:color w:val="auto"/>
              </w:rPr>
              <w:t>Resignation of Agents</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7.14</w:t>
            </w:r>
          </w:p>
        </w:tc>
        <w:tc>
          <w:tcPr>
            <w:tcW w:w="8200" w:type="dxa"/>
            <w:vAlign w:val="bottom"/>
          </w:tcPr>
          <w:p>
            <w:pPr>
              <w:ind w:left="140"/>
              <w:spacing w:after="0"/>
              <w:rPr>
                <w:sz w:val="20"/>
                <w:szCs w:val="20"/>
                <w:color w:val="auto"/>
              </w:rPr>
            </w:pPr>
            <w:r>
              <w:rPr>
                <w:rFonts w:ascii="Arial" w:cs="Arial" w:eastAsia="Arial" w:hAnsi="Arial"/>
                <w:sz w:val="18"/>
                <w:szCs w:val="18"/>
                <w:color w:val="auto"/>
              </w:rPr>
              <w:t>Agents General Provisions</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7.15</w:t>
            </w:r>
          </w:p>
        </w:tc>
        <w:tc>
          <w:tcPr>
            <w:tcW w:w="8200" w:type="dxa"/>
            <w:vAlign w:val="bottom"/>
          </w:tcPr>
          <w:p>
            <w:pPr>
              <w:ind w:left="140"/>
              <w:spacing w:after="0"/>
              <w:rPr>
                <w:sz w:val="20"/>
                <w:szCs w:val="20"/>
                <w:color w:val="auto"/>
              </w:rPr>
            </w:pPr>
            <w:r>
              <w:rPr>
                <w:rFonts w:ascii="Arial" w:cs="Arial" w:eastAsia="Arial" w:hAnsi="Arial"/>
                <w:sz w:val="18"/>
                <w:szCs w:val="18"/>
                <w:color w:val="auto"/>
              </w:rPr>
              <w:t>Rights of Trustee in Other Roles</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0"/>
        </w:trPr>
        <w:tc>
          <w:tcPr>
            <w:tcW w:w="1040" w:type="dxa"/>
            <w:vAlign w:val="bottom"/>
          </w:tcPr>
          <w:p>
            <w:pPr>
              <w:spacing w:after="0"/>
              <w:rPr>
                <w:sz w:val="24"/>
                <w:szCs w:val="24"/>
                <w:color w:val="auto"/>
              </w:rPr>
            </w:pPr>
          </w:p>
        </w:tc>
        <w:tc>
          <w:tcPr>
            <w:tcW w:w="8200" w:type="dxa"/>
            <w:vAlign w:val="bottom"/>
          </w:tcPr>
          <w:p>
            <w:pPr>
              <w:jc w:val="center"/>
              <w:ind w:left="590"/>
              <w:spacing w:after="0"/>
              <w:rPr>
                <w:sz w:val="20"/>
                <w:szCs w:val="20"/>
                <w:color w:val="auto"/>
              </w:rPr>
            </w:pPr>
            <w:r>
              <w:rPr>
                <w:rFonts w:ascii="Arial" w:cs="Arial" w:eastAsia="Arial" w:hAnsi="Arial"/>
                <w:sz w:val="18"/>
                <w:szCs w:val="18"/>
                <w:color w:val="auto"/>
                <w:w w:val="96"/>
              </w:rPr>
              <w:t>ARTICLE 8</w:t>
            </w:r>
          </w:p>
        </w:tc>
        <w:tc>
          <w:tcPr>
            <w:tcW w:w="172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200" w:type="dxa"/>
            <w:vAlign w:val="bottom"/>
          </w:tcPr>
          <w:p>
            <w:pPr>
              <w:jc w:val="center"/>
              <w:ind w:left="590"/>
              <w:spacing w:after="0"/>
              <w:rPr>
                <w:sz w:val="20"/>
                <w:szCs w:val="20"/>
                <w:color w:val="auto"/>
              </w:rPr>
            </w:pPr>
            <w:r>
              <w:rPr>
                <w:rFonts w:ascii="Arial" w:cs="Arial" w:eastAsia="Arial" w:hAnsi="Arial"/>
                <w:sz w:val="18"/>
                <w:szCs w:val="18"/>
                <w:color w:val="auto"/>
                <w:w w:val="97"/>
              </w:rPr>
              <w:t>LEGAL DEFEASANCE AND COVENANT DEFEASANCE</w:t>
            </w:r>
          </w:p>
        </w:tc>
        <w:tc>
          <w:tcPr>
            <w:tcW w:w="172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8.01</w:t>
            </w:r>
          </w:p>
        </w:tc>
        <w:tc>
          <w:tcPr>
            <w:tcW w:w="8200" w:type="dxa"/>
            <w:vAlign w:val="bottom"/>
          </w:tcPr>
          <w:p>
            <w:pPr>
              <w:ind w:left="140"/>
              <w:spacing w:after="0"/>
              <w:rPr>
                <w:sz w:val="20"/>
                <w:szCs w:val="20"/>
                <w:color w:val="auto"/>
              </w:rPr>
            </w:pPr>
            <w:r>
              <w:rPr>
                <w:rFonts w:ascii="Arial" w:cs="Arial" w:eastAsia="Arial" w:hAnsi="Arial"/>
                <w:sz w:val="18"/>
                <w:szCs w:val="18"/>
                <w:color w:val="auto"/>
              </w:rPr>
              <w:t>Option to Effect Legal Defeasance or Covenant Defeasance</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8.02</w:t>
            </w:r>
          </w:p>
        </w:tc>
        <w:tc>
          <w:tcPr>
            <w:tcW w:w="8200" w:type="dxa"/>
            <w:vAlign w:val="bottom"/>
          </w:tcPr>
          <w:p>
            <w:pPr>
              <w:ind w:left="140"/>
              <w:spacing w:after="0"/>
              <w:rPr>
                <w:sz w:val="20"/>
                <w:szCs w:val="20"/>
                <w:color w:val="auto"/>
              </w:rPr>
            </w:pPr>
            <w:r>
              <w:rPr>
                <w:rFonts w:ascii="Arial" w:cs="Arial" w:eastAsia="Arial" w:hAnsi="Arial"/>
                <w:sz w:val="18"/>
                <w:szCs w:val="18"/>
                <w:color w:val="auto"/>
              </w:rPr>
              <w:t>Legal Defeasance and Discharge</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8.03</w:t>
            </w:r>
          </w:p>
        </w:tc>
        <w:tc>
          <w:tcPr>
            <w:tcW w:w="8200" w:type="dxa"/>
            <w:vAlign w:val="bottom"/>
          </w:tcPr>
          <w:p>
            <w:pPr>
              <w:ind w:left="140"/>
              <w:spacing w:after="0"/>
              <w:rPr>
                <w:sz w:val="20"/>
                <w:szCs w:val="20"/>
                <w:color w:val="auto"/>
              </w:rPr>
            </w:pPr>
            <w:r>
              <w:rPr>
                <w:rFonts w:ascii="Arial" w:cs="Arial" w:eastAsia="Arial" w:hAnsi="Arial"/>
                <w:sz w:val="18"/>
                <w:szCs w:val="18"/>
                <w:color w:val="auto"/>
              </w:rPr>
              <w:t>Covenant Defeasance</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8.04</w:t>
            </w:r>
          </w:p>
        </w:tc>
        <w:tc>
          <w:tcPr>
            <w:tcW w:w="8640" w:type="dxa"/>
            <w:vAlign w:val="bottom"/>
          </w:tcPr>
          <w:p>
            <w:pPr>
              <w:ind w:left="100"/>
              <w:spacing w:after="0"/>
              <w:rPr>
                <w:sz w:val="20"/>
                <w:szCs w:val="20"/>
                <w:color w:val="auto"/>
              </w:rPr>
            </w:pPr>
            <w:r>
              <w:rPr>
                <w:rFonts w:ascii="Arial" w:cs="Arial" w:eastAsia="Arial" w:hAnsi="Arial"/>
                <w:sz w:val="18"/>
                <w:szCs w:val="18"/>
                <w:color w:val="auto"/>
              </w:rPr>
              <w:t>Conditions to Legal or Covenant Defeasance</w:t>
            </w: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8.05</w:t>
            </w:r>
          </w:p>
        </w:tc>
        <w:tc>
          <w:tcPr>
            <w:tcW w:w="8640" w:type="dxa"/>
            <w:vAlign w:val="bottom"/>
          </w:tcPr>
          <w:p>
            <w:pPr>
              <w:ind w:left="10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8.06</w:t>
            </w:r>
          </w:p>
        </w:tc>
        <w:tc>
          <w:tcPr>
            <w:tcW w:w="8640" w:type="dxa"/>
            <w:vAlign w:val="bottom"/>
          </w:tcPr>
          <w:p>
            <w:pPr>
              <w:ind w:left="100"/>
              <w:spacing w:after="0"/>
              <w:rPr>
                <w:sz w:val="20"/>
                <w:szCs w:val="20"/>
                <w:color w:val="auto"/>
              </w:rPr>
            </w:pPr>
            <w:r>
              <w:rPr>
                <w:rFonts w:ascii="Arial" w:cs="Arial" w:eastAsia="Arial" w:hAnsi="Arial"/>
                <w:sz w:val="18"/>
                <w:szCs w:val="18"/>
                <w:color w:val="auto"/>
              </w:rPr>
              <w:t>Repayment to Company</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8.07</w:t>
            </w:r>
          </w:p>
        </w:tc>
        <w:tc>
          <w:tcPr>
            <w:tcW w:w="864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10"/>
        </w:trPr>
        <w:tc>
          <w:tcPr>
            <w:tcW w:w="1080" w:type="dxa"/>
            <w:vAlign w:val="bottom"/>
          </w:tcPr>
          <w:p>
            <w:pPr>
              <w:spacing w:after="0"/>
              <w:rPr>
                <w:sz w:val="24"/>
                <w:szCs w:val="24"/>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6"/>
              </w:rPr>
              <w:t>ARTICLE 9</w:t>
            </w:r>
          </w:p>
        </w:tc>
        <w:tc>
          <w:tcPr>
            <w:tcW w:w="12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640" w:type="dxa"/>
            <w:vAlign w:val="bottom"/>
          </w:tcPr>
          <w:p>
            <w:pPr>
              <w:jc w:val="center"/>
              <w:ind w:left="50"/>
              <w:spacing w:after="0"/>
              <w:rPr>
                <w:sz w:val="20"/>
                <w:szCs w:val="20"/>
                <w:color w:val="auto"/>
              </w:rPr>
            </w:pPr>
            <w:r>
              <w:rPr>
                <w:rFonts w:ascii="Arial" w:cs="Arial" w:eastAsia="Arial" w:hAnsi="Arial"/>
                <w:sz w:val="18"/>
                <w:szCs w:val="18"/>
                <w:color w:val="auto"/>
                <w:w w:val="97"/>
              </w:rPr>
              <w:t>AMENDMENT, SUPPLEMENT AND WAIVER</w:t>
            </w:r>
          </w:p>
        </w:tc>
        <w:tc>
          <w:tcPr>
            <w:tcW w:w="1240" w:type="dxa"/>
            <w:vAlign w:val="bottom"/>
          </w:tcPr>
          <w:p>
            <w:pPr>
              <w:spacing w:after="0"/>
              <w:rPr>
                <w:sz w:val="20"/>
                <w:szCs w:val="20"/>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Section 9.01</w:t>
            </w:r>
          </w:p>
        </w:tc>
        <w:tc>
          <w:tcPr>
            <w:tcW w:w="8640" w:type="dxa"/>
            <w:vAlign w:val="bottom"/>
          </w:tcPr>
          <w:p>
            <w:pPr>
              <w:ind w:left="100"/>
              <w:spacing w:after="0"/>
              <w:rPr>
                <w:sz w:val="20"/>
                <w:szCs w:val="20"/>
                <w:color w:val="auto"/>
              </w:rPr>
            </w:pPr>
            <w:r>
              <w:rPr>
                <w:rFonts w:ascii="Arial" w:cs="Arial" w:eastAsia="Arial" w:hAnsi="Arial"/>
                <w:sz w:val="18"/>
                <w:szCs w:val="18"/>
                <w:color w:val="auto"/>
              </w:rPr>
              <w:t>Without Consent of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9.02</w:t>
            </w:r>
          </w:p>
        </w:tc>
        <w:tc>
          <w:tcPr>
            <w:tcW w:w="8640" w:type="dxa"/>
            <w:vAlign w:val="bottom"/>
          </w:tcPr>
          <w:p>
            <w:pPr>
              <w:ind w:left="100"/>
              <w:spacing w:after="0"/>
              <w:rPr>
                <w:sz w:val="20"/>
                <w:szCs w:val="20"/>
                <w:color w:val="auto"/>
              </w:rPr>
            </w:pPr>
            <w:r>
              <w:rPr>
                <w:rFonts w:ascii="Arial" w:cs="Arial" w:eastAsia="Arial" w:hAnsi="Arial"/>
                <w:sz w:val="18"/>
                <w:szCs w:val="18"/>
                <w:color w:val="auto"/>
              </w:rPr>
              <w:t>With Consent of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9.03</w:t>
            </w:r>
          </w:p>
        </w:tc>
        <w:tc>
          <w:tcPr>
            <w:tcW w:w="8640" w:type="dxa"/>
            <w:vAlign w:val="bottom"/>
          </w:tcPr>
          <w:p>
            <w:pPr>
              <w:ind w:left="100"/>
              <w:spacing w:after="0"/>
              <w:rPr>
                <w:sz w:val="20"/>
                <w:szCs w:val="20"/>
                <w:color w:val="auto"/>
              </w:rPr>
            </w:pPr>
            <w:r>
              <w:rPr>
                <w:rFonts w:ascii="Arial" w:cs="Arial" w:eastAsia="Arial" w:hAnsi="Arial"/>
                <w:sz w:val="18"/>
                <w:szCs w:val="18"/>
                <w:color w:val="auto"/>
              </w:rPr>
              <w:t>Supplemental Indenture</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9.04</w:t>
            </w:r>
          </w:p>
        </w:tc>
        <w:tc>
          <w:tcPr>
            <w:tcW w:w="8640" w:type="dxa"/>
            <w:vAlign w:val="bottom"/>
          </w:tcPr>
          <w:p>
            <w:pPr>
              <w:ind w:left="100"/>
              <w:spacing w:after="0"/>
              <w:rPr>
                <w:sz w:val="20"/>
                <w:szCs w:val="20"/>
                <w:color w:val="auto"/>
              </w:rPr>
            </w:pPr>
            <w:r>
              <w:rPr>
                <w:rFonts w:ascii="Arial" w:cs="Arial" w:eastAsia="Arial" w:hAnsi="Arial"/>
                <w:sz w:val="18"/>
                <w:szCs w:val="18"/>
                <w:color w:val="auto"/>
              </w:rPr>
              <w:t>Revocation and Effect of Consents</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9.05</w:t>
            </w:r>
          </w:p>
        </w:tc>
        <w:tc>
          <w:tcPr>
            <w:tcW w:w="8640" w:type="dxa"/>
            <w:vAlign w:val="bottom"/>
          </w:tcPr>
          <w:p>
            <w:pPr>
              <w:ind w:left="100"/>
              <w:spacing w:after="0"/>
              <w:rPr>
                <w:sz w:val="20"/>
                <w:szCs w:val="20"/>
                <w:color w:val="auto"/>
              </w:rPr>
            </w:pPr>
            <w:r>
              <w:rPr>
                <w:rFonts w:ascii="Arial" w:cs="Arial" w:eastAsia="Arial" w:hAnsi="Arial"/>
                <w:sz w:val="18"/>
                <w:szCs w:val="18"/>
                <w:color w:val="auto"/>
              </w:rPr>
              <w:t>Notation on or Exchange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9.06</w:t>
            </w:r>
          </w:p>
        </w:tc>
        <w:tc>
          <w:tcPr>
            <w:tcW w:w="8640" w:type="dxa"/>
            <w:vAlign w:val="bottom"/>
          </w:tcPr>
          <w:p>
            <w:pPr>
              <w:ind w:left="100"/>
              <w:spacing w:after="0"/>
              <w:rPr>
                <w:sz w:val="20"/>
                <w:szCs w:val="20"/>
                <w:color w:val="auto"/>
              </w:rPr>
            </w:pPr>
            <w:r>
              <w:rPr>
                <w:rFonts w:ascii="Arial" w:cs="Arial" w:eastAsia="Arial" w:hAnsi="Arial"/>
                <w:sz w:val="18"/>
                <w:szCs w:val="18"/>
                <w:color w:val="auto"/>
              </w:rPr>
              <w:t>Trustee to Sign Amendments, etc.</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10"/>
        </w:trPr>
        <w:tc>
          <w:tcPr>
            <w:tcW w:w="1080" w:type="dxa"/>
            <w:vAlign w:val="bottom"/>
          </w:tcPr>
          <w:p>
            <w:pPr>
              <w:spacing w:after="0"/>
              <w:rPr>
                <w:sz w:val="24"/>
                <w:szCs w:val="24"/>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4"/>
              </w:rPr>
              <w:t>ARTICLE 10</w:t>
            </w:r>
          </w:p>
        </w:tc>
        <w:tc>
          <w:tcPr>
            <w:tcW w:w="12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6"/>
              </w:rPr>
              <w:t>[Intentionally omitted]</w:t>
            </w:r>
          </w:p>
        </w:tc>
        <w:tc>
          <w:tcPr>
            <w:tcW w:w="1240" w:type="dxa"/>
            <w:vAlign w:val="bottom"/>
          </w:tcPr>
          <w:p>
            <w:pPr>
              <w:spacing w:after="0"/>
              <w:rPr>
                <w:sz w:val="20"/>
                <w:szCs w:val="20"/>
                <w:color w:val="auto"/>
              </w:rPr>
            </w:pPr>
          </w:p>
        </w:tc>
      </w:tr>
      <w:tr>
        <w:trPr>
          <w:trHeight w:val="310"/>
        </w:trPr>
        <w:tc>
          <w:tcPr>
            <w:tcW w:w="1080" w:type="dxa"/>
            <w:vAlign w:val="bottom"/>
          </w:tcPr>
          <w:p>
            <w:pPr>
              <w:spacing w:after="0"/>
              <w:rPr>
                <w:sz w:val="24"/>
                <w:szCs w:val="24"/>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4"/>
              </w:rPr>
              <w:t>ARTICLE 11</w:t>
            </w:r>
          </w:p>
        </w:tc>
        <w:tc>
          <w:tcPr>
            <w:tcW w:w="12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6"/>
              </w:rPr>
              <w:t>NOTE GUARANTEES</w:t>
            </w:r>
          </w:p>
        </w:tc>
        <w:tc>
          <w:tcPr>
            <w:tcW w:w="1240" w:type="dxa"/>
            <w:vAlign w:val="bottom"/>
          </w:tcPr>
          <w:p>
            <w:pPr>
              <w:spacing w:after="0"/>
              <w:rPr>
                <w:sz w:val="20"/>
                <w:szCs w:val="20"/>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w w:val="96"/>
              </w:rPr>
              <w:t>Section 11.01</w:t>
            </w:r>
          </w:p>
        </w:tc>
        <w:tc>
          <w:tcPr>
            <w:tcW w:w="8640" w:type="dxa"/>
            <w:vAlign w:val="bottom"/>
          </w:tcPr>
          <w:p>
            <w:pPr>
              <w:ind w:left="100"/>
              <w:spacing w:after="0"/>
              <w:rPr>
                <w:sz w:val="20"/>
                <w:szCs w:val="20"/>
                <w:color w:val="auto"/>
              </w:rPr>
            </w:pPr>
            <w:r>
              <w:rPr>
                <w:rFonts w:ascii="Arial" w:cs="Arial" w:eastAsia="Arial" w:hAnsi="Arial"/>
                <w:sz w:val="18"/>
                <w:szCs w:val="18"/>
                <w:color w:val="auto"/>
              </w:rPr>
              <w:t>Guarantee</w:t>
            </w: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11.02</w:t>
            </w:r>
          </w:p>
        </w:tc>
        <w:tc>
          <w:tcPr>
            <w:tcW w:w="8640" w:type="dxa"/>
            <w:vAlign w:val="bottom"/>
          </w:tcPr>
          <w:p>
            <w:pPr>
              <w:ind w:left="100"/>
              <w:spacing w:after="0"/>
              <w:rPr>
                <w:sz w:val="20"/>
                <w:szCs w:val="20"/>
                <w:color w:val="auto"/>
              </w:rPr>
            </w:pPr>
            <w:r>
              <w:rPr>
                <w:rFonts w:ascii="Arial" w:cs="Arial" w:eastAsia="Arial" w:hAnsi="Arial"/>
                <w:sz w:val="18"/>
                <w:szCs w:val="18"/>
                <w:color w:val="auto"/>
              </w:rPr>
              <w:t>Limitation on Liability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11.03</w:t>
            </w:r>
          </w:p>
        </w:tc>
        <w:tc>
          <w:tcPr>
            <w:tcW w:w="864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11.04</w:t>
            </w:r>
          </w:p>
        </w:tc>
        <w:tc>
          <w:tcPr>
            <w:tcW w:w="8640" w:type="dxa"/>
            <w:vAlign w:val="bottom"/>
          </w:tcPr>
          <w:p>
            <w:pPr>
              <w:ind w:left="100"/>
              <w:spacing w:after="0"/>
              <w:rPr>
                <w:sz w:val="20"/>
                <w:szCs w:val="20"/>
                <w:color w:val="auto"/>
              </w:rPr>
            </w:pPr>
            <w:r>
              <w:rPr>
                <w:rFonts w:ascii="Arial" w:cs="Arial" w:eastAsia="Arial" w:hAnsi="Arial"/>
                <w:sz w:val="18"/>
                <w:szCs w:val="18"/>
                <w:color w:val="auto"/>
              </w:rPr>
              <w:t>No Waiver</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11.05</w:t>
            </w:r>
          </w:p>
        </w:tc>
        <w:tc>
          <w:tcPr>
            <w:tcW w:w="8640" w:type="dxa"/>
            <w:vAlign w:val="bottom"/>
          </w:tcPr>
          <w:p>
            <w:pPr>
              <w:ind w:left="100"/>
              <w:spacing w:after="0"/>
              <w:rPr>
                <w:sz w:val="20"/>
                <w:szCs w:val="20"/>
                <w:color w:val="auto"/>
              </w:rPr>
            </w:pPr>
            <w:r>
              <w:rPr>
                <w:rFonts w:ascii="Arial" w:cs="Arial" w:eastAsia="Arial" w:hAnsi="Arial"/>
                <w:sz w:val="18"/>
                <w:szCs w:val="18"/>
                <w:color w:val="auto"/>
              </w:rPr>
              <w:t>Modification</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11.06</w:t>
            </w:r>
          </w:p>
        </w:tc>
        <w:tc>
          <w:tcPr>
            <w:tcW w:w="8640" w:type="dxa"/>
            <w:vAlign w:val="bottom"/>
          </w:tcPr>
          <w:p>
            <w:pPr>
              <w:ind w:left="100"/>
              <w:spacing w:after="0"/>
              <w:rPr>
                <w:sz w:val="20"/>
                <w:szCs w:val="20"/>
                <w:color w:val="auto"/>
              </w:rPr>
            </w:pPr>
            <w:r>
              <w:rPr>
                <w:rFonts w:ascii="Arial" w:cs="Arial" w:eastAsia="Arial" w:hAnsi="Arial"/>
                <w:sz w:val="18"/>
                <w:szCs w:val="18"/>
                <w:color w:val="auto"/>
              </w:rPr>
              <w:t>Execution of Supplemental Indenture for Future Subsidiary Guarantors</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11.07</w:t>
            </w:r>
          </w:p>
        </w:tc>
        <w:tc>
          <w:tcPr>
            <w:tcW w:w="8640" w:type="dxa"/>
            <w:vAlign w:val="bottom"/>
          </w:tcPr>
          <w:p>
            <w:pPr>
              <w:ind w:left="100"/>
              <w:spacing w:after="0"/>
              <w:rPr>
                <w:sz w:val="20"/>
                <w:szCs w:val="20"/>
                <w:color w:val="auto"/>
              </w:rPr>
            </w:pPr>
            <w:r>
              <w:rPr>
                <w:rFonts w:ascii="Arial" w:cs="Arial" w:eastAsia="Arial" w:hAnsi="Arial"/>
                <w:sz w:val="18"/>
                <w:szCs w:val="18"/>
                <w:color w:val="auto"/>
              </w:rPr>
              <w:t>Non-Impairment</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11.08</w:t>
            </w:r>
          </w:p>
        </w:tc>
        <w:tc>
          <w:tcPr>
            <w:tcW w:w="8640" w:type="dxa"/>
            <w:vAlign w:val="bottom"/>
          </w:tcPr>
          <w:p>
            <w:pPr>
              <w:ind w:left="100"/>
              <w:spacing w:after="0"/>
              <w:rPr>
                <w:sz w:val="20"/>
                <w:szCs w:val="20"/>
                <w:color w:val="auto"/>
              </w:rPr>
            </w:pPr>
            <w:r>
              <w:rPr>
                <w:rFonts w:ascii="Arial" w:cs="Arial" w:eastAsia="Arial" w:hAnsi="Arial"/>
                <w:sz w:val="18"/>
                <w:szCs w:val="18"/>
                <w:color w:val="auto"/>
              </w:rPr>
              <w:t>Release of Guarantees</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0"/>
        </w:trPr>
        <w:tc>
          <w:tcPr>
            <w:tcW w:w="1080" w:type="dxa"/>
            <w:vAlign w:val="bottom"/>
          </w:tcPr>
          <w:p>
            <w:pPr>
              <w:spacing w:after="0"/>
              <w:rPr>
                <w:sz w:val="24"/>
                <w:szCs w:val="24"/>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4"/>
              </w:rPr>
              <w:t>ARTICLE 12</w:t>
            </w:r>
          </w:p>
        </w:tc>
        <w:tc>
          <w:tcPr>
            <w:tcW w:w="12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6"/>
              </w:rPr>
              <w:t>SATISFACTION AND DISCHARGE</w:t>
            </w:r>
          </w:p>
        </w:tc>
        <w:tc>
          <w:tcPr>
            <w:tcW w:w="1240" w:type="dxa"/>
            <w:vAlign w:val="bottom"/>
          </w:tcPr>
          <w:p>
            <w:pPr>
              <w:spacing w:after="0"/>
              <w:rPr>
                <w:sz w:val="20"/>
                <w:szCs w:val="20"/>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w w:val="96"/>
              </w:rPr>
              <w:t>Section 12.01</w:t>
            </w:r>
          </w:p>
        </w:tc>
        <w:tc>
          <w:tcPr>
            <w:tcW w:w="8640" w:type="dxa"/>
            <w:vAlign w:val="bottom"/>
          </w:tcPr>
          <w:p>
            <w:pPr>
              <w:ind w:left="100"/>
              <w:spacing w:after="0"/>
              <w:rPr>
                <w:sz w:val="20"/>
                <w:szCs w:val="20"/>
                <w:color w:val="auto"/>
              </w:rPr>
            </w:pPr>
            <w:r>
              <w:rPr>
                <w:rFonts w:ascii="Arial" w:cs="Arial" w:eastAsia="Arial" w:hAnsi="Arial"/>
                <w:sz w:val="18"/>
                <w:szCs w:val="18"/>
                <w:color w:val="auto"/>
              </w:rPr>
              <w:t>Satisfaction and Discharge</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12.02</w:t>
            </w:r>
          </w:p>
        </w:tc>
        <w:tc>
          <w:tcPr>
            <w:tcW w:w="8640" w:type="dxa"/>
            <w:vAlign w:val="bottom"/>
          </w:tcPr>
          <w:p>
            <w:pPr>
              <w:ind w:left="100"/>
              <w:spacing w:after="0"/>
              <w:rPr>
                <w:sz w:val="20"/>
                <w:szCs w:val="20"/>
                <w:color w:val="auto"/>
              </w:rPr>
            </w:pPr>
            <w:r>
              <w:rPr>
                <w:rFonts w:ascii="Arial" w:cs="Arial" w:eastAsia="Arial" w:hAnsi="Arial"/>
                <w:sz w:val="18"/>
                <w:szCs w:val="18"/>
                <w:color w:val="auto"/>
              </w:rPr>
              <w:t>Application of Trust Money</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0"/>
        </w:trPr>
        <w:tc>
          <w:tcPr>
            <w:tcW w:w="1080" w:type="dxa"/>
            <w:vAlign w:val="bottom"/>
          </w:tcPr>
          <w:p>
            <w:pPr>
              <w:spacing w:after="0"/>
              <w:rPr>
                <w:sz w:val="24"/>
                <w:szCs w:val="24"/>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4"/>
              </w:rPr>
              <w:t>ARTICLE 13</w:t>
            </w:r>
          </w:p>
        </w:tc>
        <w:tc>
          <w:tcPr>
            <w:tcW w:w="12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640" w:type="dxa"/>
            <w:vAlign w:val="bottom"/>
          </w:tcPr>
          <w:p>
            <w:pPr>
              <w:jc w:val="center"/>
              <w:ind w:left="50"/>
              <w:spacing w:after="0"/>
              <w:rPr>
                <w:sz w:val="20"/>
                <w:szCs w:val="20"/>
                <w:color w:val="auto"/>
              </w:rPr>
            </w:pPr>
            <w:r>
              <w:rPr>
                <w:rFonts w:ascii="Arial" w:cs="Arial" w:eastAsia="Arial" w:hAnsi="Arial"/>
                <w:sz w:val="18"/>
                <w:szCs w:val="18"/>
                <w:color w:val="auto"/>
                <w:w w:val="97"/>
              </w:rPr>
              <w:t>MISCELLANEOUS</w:t>
            </w:r>
          </w:p>
        </w:tc>
        <w:tc>
          <w:tcPr>
            <w:tcW w:w="1240" w:type="dxa"/>
            <w:vAlign w:val="bottom"/>
          </w:tcPr>
          <w:p>
            <w:pPr>
              <w:spacing w:after="0"/>
              <w:rPr>
                <w:sz w:val="20"/>
                <w:szCs w:val="20"/>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w w:val="96"/>
              </w:rPr>
              <w:t>Section 13.01</w:t>
            </w:r>
          </w:p>
        </w:tc>
        <w:tc>
          <w:tcPr>
            <w:tcW w:w="864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13.02</w:t>
            </w:r>
          </w:p>
        </w:tc>
        <w:tc>
          <w:tcPr>
            <w:tcW w:w="8640" w:type="dxa"/>
            <w:vAlign w:val="bottom"/>
          </w:tcPr>
          <w:p>
            <w:pPr>
              <w:ind w:left="100"/>
              <w:spacing w:after="0"/>
              <w:rPr>
                <w:sz w:val="20"/>
                <w:szCs w:val="20"/>
                <w:color w:val="auto"/>
              </w:rPr>
            </w:pPr>
            <w:r>
              <w:rPr>
                <w:rFonts w:ascii="Arial" w:cs="Arial" w:eastAsia="Arial" w:hAnsi="Arial"/>
                <w:sz w:val="18"/>
                <w:szCs w:val="18"/>
                <w:color w:val="auto"/>
              </w:rPr>
              <w:t>Notices</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13.03</w:t>
            </w:r>
          </w:p>
        </w:tc>
        <w:tc>
          <w:tcPr>
            <w:tcW w:w="8640" w:type="dxa"/>
            <w:vAlign w:val="bottom"/>
          </w:tcPr>
          <w:p>
            <w:pPr>
              <w:ind w:left="100"/>
              <w:spacing w:after="0"/>
              <w:rPr>
                <w:sz w:val="20"/>
                <w:szCs w:val="20"/>
                <w:color w:val="auto"/>
              </w:rPr>
            </w:pPr>
            <w:r>
              <w:rPr>
                <w:rFonts w:ascii="Arial" w:cs="Arial" w:eastAsia="Arial" w:hAnsi="Arial"/>
                <w:sz w:val="18"/>
                <w:szCs w:val="18"/>
                <w:color w:val="auto"/>
              </w:rPr>
              <w:t>Communication by Holders of Notes with Other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13.04</w:t>
            </w:r>
          </w:p>
        </w:tc>
        <w:tc>
          <w:tcPr>
            <w:tcW w:w="8640" w:type="dxa"/>
            <w:vAlign w:val="bottom"/>
          </w:tcPr>
          <w:p>
            <w:pPr>
              <w:ind w:left="100"/>
              <w:spacing w:after="0"/>
              <w:rPr>
                <w:sz w:val="20"/>
                <w:szCs w:val="20"/>
                <w:color w:val="auto"/>
              </w:rPr>
            </w:pPr>
            <w:r>
              <w:rPr>
                <w:rFonts w:ascii="Arial" w:cs="Arial" w:eastAsia="Arial" w:hAnsi="Arial"/>
                <w:sz w:val="18"/>
                <w:szCs w:val="18"/>
                <w:color w:val="auto"/>
              </w:rPr>
              <w:t>Certificate and Opinion as to Conditions Precedent</w:t>
            </w: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13.05</w:t>
            </w:r>
          </w:p>
        </w:tc>
        <w:tc>
          <w:tcPr>
            <w:tcW w:w="8640" w:type="dxa"/>
            <w:vAlign w:val="bottom"/>
          </w:tcPr>
          <w:p>
            <w:pPr>
              <w:ind w:left="100"/>
              <w:spacing w:after="0"/>
              <w:rPr>
                <w:sz w:val="20"/>
                <w:szCs w:val="20"/>
                <w:color w:val="auto"/>
              </w:rPr>
            </w:pPr>
            <w:r>
              <w:rPr>
                <w:rFonts w:ascii="Arial" w:cs="Arial" w:eastAsia="Arial" w:hAnsi="Arial"/>
                <w:sz w:val="18"/>
                <w:szCs w:val="18"/>
                <w:color w:val="auto"/>
              </w:rPr>
              <w:t>Statements Required in Certificate or Opinion</w:t>
            </w: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13.06</w:t>
            </w:r>
          </w:p>
        </w:tc>
        <w:tc>
          <w:tcPr>
            <w:tcW w:w="8640" w:type="dxa"/>
            <w:vAlign w:val="bottom"/>
          </w:tcPr>
          <w:p>
            <w:pPr>
              <w:ind w:left="100"/>
              <w:spacing w:after="0"/>
              <w:rPr>
                <w:sz w:val="20"/>
                <w:szCs w:val="20"/>
                <w:color w:val="auto"/>
              </w:rPr>
            </w:pPr>
            <w:r>
              <w:rPr>
                <w:rFonts w:ascii="Arial" w:cs="Arial" w:eastAsia="Arial" w:hAnsi="Arial"/>
                <w:sz w:val="18"/>
                <w:szCs w:val="18"/>
                <w:color w:val="auto"/>
              </w:rPr>
              <w:t>Rules by Trustee and Agents</w:t>
            </w: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13.07</w:t>
            </w:r>
          </w:p>
        </w:tc>
        <w:tc>
          <w:tcPr>
            <w:tcW w:w="8640" w:type="dxa"/>
            <w:vAlign w:val="bottom"/>
          </w:tcPr>
          <w:p>
            <w:pPr>
              <w:ind w:left="10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13.08</w:t>
            </w:r>
          </w:p>
        </w:tc>
        <w:tc>
          <w:tcPr>
            <w:tcW w:w="86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13.09</w:t>
            </w:r>
          </w:p>
        </w:tc>
        <w:tc>
          <w:tcPr>
            <w:tcW w:w="8640" w:type="dxa"/>
            <w:vAlign w:val="bottom"/>
          </w:tcPr>
          <w:p>
            <w:pPr>
              <w:ind w:left="100"/>
              <w:spacing w:after="0"/>
              <w:rPr>
                <w:sz w:val="20"/>
                <w:szCs w:val="20"/>
                <w:color w:val="auto"/>
              </w:rPr>
            </w:pPr>
            <w:r>
              <w:rPr>
                <w:rFonts w:ascii="Arial" w:cs="Arial" w:eastAsia="Arial" w:hAnsi="Arial"/>
                <w:sz w:val="18"/>
                <w:szCs w:val="18"/>
                <w:color w:val="auto"/>
              </w:rPr>
              <w:t>No Adverse Interpretation of Other Agreements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13.10</w:t>
            </w:r>
          </w:p>
        </w:tc>
        <w:tc>
          <w:tcPr>
            <w:tcW w:w="864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13.11</w:t>
            </w:r>
          </w:p>
        </w:tc>
        <w:tc>
          <w:tcPr>
            <w:tcW w:w="86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13.12</w:t>
            </w:r>
          </w:p>
        </w:tc>
        <w:tc>
          <w:tcPr>
            <w:tcW w:w="8640" w:type="dxa"/>
            <w:vAlign w:val="bottom"/>
          </w:tcPr>
          <w:p>
            <w:pPr>
              <w:ind w:left="100"/>
              <w:spacing w:after="0"/>
              <w:rPr>
                <w:sz w:val="20"/>
                <w:szCs w:val="20"/>
                <w:color w:val="auto"/>
              </w:rPr>
            </w:pPr>
            <w:r>
              <w:rPr>
                <w:rFonts w:ascii="Arial" w:cs="Arial" w:eastAsia="Arial" w:hAnsi="Arial"/>
                <w:sz w:val="18"/>
                <w:szCs w:val="18"/>
                <w:color w:val="auto"/>
              </w:rPr>
              <w:t>Counterpart Originals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13.13</w:t>
            </w:r>
          </w:p>
        </w:tc>
        <w:tc>
          <w:tcPr>
            <w:tcW w:w="8640" w:type="dxa"/>
            <w:vAlign w:val="bottom"/>
          </w:tcPr>
          <w:p>
            <w:pPr>
              <w:ind w:left="100"/>
              <w:spacing w:after="0"/>
              <w:rPr>
                <w:sz w:val="20"/>
                <w:szCs w:val="20"/>
                <w:color w:val="auto"/>
              </w:rPr>
            </w:pPr>
            <w:r>
              <w:rPr>
                <w:rFonts w:ascii="Arial" w:cs="Arial" w:eastAsia="Arial" w:hAnsi="Arial"/>
                <w:sz w:val="18"/>
                <w:szCs w:val="18"/>
                <w:color w:val="auto"/>
              </w:rPr>
              <w:t>Table of Contents, Headings, etc.</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13.14</w:t>
            </w:r>
          </w:p>
        </w:tc>
        <w:tc>
          <w:tcPr>
            <w:tcW w:w="8640" w:type="dxa"/>
            <w:vAlign w:val="bottom"/>
          </w:tcPr>
          <w:p>
            <w:pPr>
              <w:ind w:left="100"/>
              <w:spacing w:after="0"/>
              <w:rPr>
                <w:sz w:val="20"/>
                <w:szCs w:val="20"/>
                <w:color w:val="auto"/>
              </w:rPr>
            </w:pPr>
            <w:r>
              <w:rPr>
                <w:rFonts w:ascii="Arial" w:cs="Arial" w:eastAsia="Arial" w:hAnsi="Arial"/>
                <w:sz w:val="18"/>
                <w:szCs w:val="18"/>
                <w:color w:val="auto"/>
              </w:rPr>
              <w:t>Patriot Act</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13.15</w:t>
            </w:r>
          </w:p>
        </w:tc>
        <w:tc>
          <w:tcPr>
            <w:tcW w:w="8640" w:type="dxa"/>
            <w:vAlign w:val="bottom"/>
          </w:tcPr>
          <w:p>
            <w:pPr>
              <w:ind w:left="100"/>
              <w:spacing w:after="0"/>
              <w:rPr>
                <w:sz w:val="20"/>
                <w:szCs w:val="20"/>
                <w:color w:val="auto"/>
              </w:rPr>
            </w:pPr>
            <w:r>
              <w:rPr>
                <w:rFonts w:ascii="Arial" w:cs="Arial" w:eastAsia="Arial" w:hAnsi="Arial"/>
                <w:sz w:val="18"/>
                <w:szCs w:val="18"/>
                <w:color w:val="auto"/>
              </w:rPr>
              <w:t>Submission to Jurisdiction; Waiver of Jury Trial</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209" w:name="page210"/>
    <w:bookmarkEnd w:id="209"/>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ectPr>
          <w:pgSz w:w="11900" w:h="16838" w:orient="portrait"/>
          <w:cols w:equalWidth="0" w:num="1">
            <w:col w:w="10960"/>
          </w:cols>
          <w:pgMar w:left="440" w:top="274" w:right="499" w:bottom="1440" w:gutter="0" w:footer="0" w:header="0"/>
        </w:sect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NOTE</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CERTIFICATE OF TRANSFER</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FORM OF CERTIFICATE OF EXCHANGE</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FORM OF SUPPLEMENTAL INDENTURE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(iv)</w:t>
      </w:r>
    </w:p>
    <w:p>
      <w:pPr>
        <w:sectPr>
          <w:pgSz w:w="11900" w:h="16838" w:orient="portrait"/>
          <w:cols w:equalWidth="0" w:num="2">
            <w:col w:w="4660" w:space="720"/>
            <w:col w:w="5580"/>
          </w:cols>
          <w:pgMar w:left="440" w:top="274" w:right="499" w:bottom="1440" w:gutter="0" w:footer="0" w:header="0"/>
          <w:type w:val="continuous"/>
        </w:sectPr>
      </w:pPr>
    </w:p>
    <w:bookmarkStart w:id="210" w:name="page211"/>
    <w:bookmarkEnd w:id="210"/>
    <w:p>
      <w:pPr>
        <w:jc w:val="both"/>
        <w:ind w:right="8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July 15, 2020 among Studio City Finance Limited, a BVI business company with limited liability incorporated under the laws of the British Virgin Islands with company number 1673307 (the “</w:t>
      </w:r>
      <w:r>
        <w:rPr>
          <w:rFonts w:ascii="Arial" w:cs="Arial" w:eastAsia="Arial" w:hAnsi="Arial"/>
          <w:sz w:val="16"/>
          <w:szCs w:val="16"/>
          <w:i w:val="1"/>
          <w:iCs w:val="1"/>
          <w:color w:val="auto"/>
        </w:rPr>
        <w:t>Company</w:t>
      </w:r>
      <w:r>
        <w:rPr>
          <w:rFonts w:ascii="Arial" w:cs="Arial" w:eastAsia="Arial" w:hAnsi="Arial"/>
          <w:sz w:val="16"/>
          <w:szCs w:val="16"/>
          <w:color w:val="auto"/>
        </w:rPr>
        <w:t>”), the Subsidiary Guarantors named herein (the “</w:t>
      </w:r>
      <w:r>
        <w:rPr>
          <w:rFonts w:ascii="Arial" w:cs="Arial" w:eastAsia="Arial" w:hAnsi="Arial"/>
          <w:sz w:val="16"/>
          <w:szCs w:val="16"/>
          <w:i w:val="1"/>
          <w:iCs w:val="1"/>
          <w:color w:val="auto"/>
        </w:rPr>
        <w:t>Subsidiary</w:t>
      </w:r>
      <w:r>
        <w:rPr>
          <w:rFonts w:ascii="Arial" w:cs="Arial" w:eastAsia="Arial" w:hAnsi="Arial"/>
          <w:sz w:val="16"/>
          <w:szCs w:val="16"/>
          <w:color w:val="auto"/>
        </w:rPr>
        <w:t xml:space="preserve"> </w:t>
      </w:r>
      <w:r>
        <w:rPr>
          <w:rFonts w:ascii="Arial" w:cs="Arial" w:eastAsia="Arial" w:hAnsi="Arial"/>
          <w:sz w:val="16"/>
          <w:szCs w:val="16"/>
          <w:i w:val="1"/>
          <w:iCs w:val="1"/>
          <w:color w:val="auto"/>
        </w:rPr>
        <w:t>Guarantors</w:t>
      </w:r>
      <w:r>
        <w:rPr>
          <w:rFonts w:ascii="Arial" w:cs="Arial" w:eastAsia="Arial" w:hAnsi="Arial"/>
          <w:sz w:val="16"/>
          <w:szCs w:val="16"/>
          <w:color w:val="auto"/>
        </w:rPr>
        <w:t>”) and Deutsche Bank Trust Company Americas, a New York banking corporation as Trustee, Paying Agent, Registrar and Transfer Agent.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Each party agrees as follows for the benefit of each other and for the other parties hereto and for the equal and ratable benefit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 (as defined herein) of the 6.000%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117"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144A Global Note</w:t>
      </w:r>
      <w:r>
        <w:rPr>
          <w:rFonts w:ascii="Arial" w:cs="Arial" w:eastAsia="Arial" w:hAnsi="Arial"/>
          <w:sz w:val="16"/>
          <w:szCs w:val="16"/>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(subject to a maximum denomination of US$500 million) to the outstanding principal amount of the Notes sold in reliance on Rule 144A.</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980" w:right="60" w:firstLine="408"/>
        <w:spacing w:after="0" w:line="263" w:lineRule="auto"/>
        <w:tabs>
          <w:tab w:leader="none" w:pos="177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xml:space="preserve">” means additional Notes (other than the Initial Notes) issued under this Indenture in accordance with Section 2.02 and Section 4.09 hereof, as part of the same series as the Initial Notes;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Additional Notes that are not fungible with the Notes for U.S. federal income tax purposes shall have a separate CUSIP, ISIN or other identifying number than any previously issued Notes, but shall otherwise be treated as a single class with all other Notes issued under this Indenture.</w:t>
      </w:r>
    </w:p>
    <w:p>
      <w:pPr>
        <w:spacing w:after="0" w:line="18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7"/>
          <w:szCs w:val="17"/>
          <w:i w:val="1"/>
          <w:iCs w:val="1"/>
          <w:color w:val="auto"/>
        </w:rPr>
        <w:t>control</w:t>
      </w:r>
      <w:r>
        <w:rPr>
          <w:rFonts w:ascii="Arial" w:cs="Arial" w:eastAsia="Arial" w:hAnsi="Arial"/>
          <w:sz w:val="17"/>
          <w:szCs w:val="17"/>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beneficial ownership of 10% or more of the Voting Stock of a Person will be deemed to be control. For purposes of this definition, the terms “</w:t>
      </w:r>
      <w:r>
        <w:rPr>
          <w:rFonts w:ascii="Arial" w:cs="Arial" w:eastAsia="Arial" w:hAnsi="Arial"/>
          <w:sz w:val="17"/>
          <w:szCs w:val="17"/>
          <w:i w:val="1"/>
          <w:iCs w:val="1"/>
          <w:color w:val="auto"/>
        </w:rPr>
        <w:t>controlling,</w:t>
      </w:r>
      <w:r>
        <w:rPr>
          <w:rFonts w:ascii="Arial" w:cs="Arial" w:eastAsia="Arial" w:hAnsi="Arial"/>
          <w:sz w:val="17"/>
          <w:szCs w:val="17"/>
          <w:color w:val="auto"/>
        </w:rPr>
        <w:t>” “</w:t>
      </w:r>
      <w:r>
        <w:rPr>
          <w:rFonts w:ascii="Arial" w:cs="Arial" w:eastAsia="Arial" w:hAnsi="Arial"/>
          <w:sz w:val="17"/>
          <w:szCs w:val="17"/>
          <w:i w:val="1"/>
          <w:iCs w:val="1"/>
          <w:color w:val="auto"/>
        </w:rPr>
        <w:t>controlled by</w:t>
      </w:r>
      <w:r>
        <w:rPr>
          <w:rFonts w:ascii="Arial" w:cs="Arial" w:eastAsia="Arial" w:hAnsi="Arial"/>
          <w:sz w:val="17"/>
          <w:szCs w:val="17"/>
          <w:color w:val="auto"/>
        </w:rPr>
        <w:t>” and “</w:t>
      </w:r>
      <w:r>
        <w:rPr>
          <w:rFonts w:ascii="Arial" w:cs="Arial" w:eastAsia="Arial" w:hAnsi="Arial"/>
          <w:sz w:val="17"/>
          <w:szCs w:val="17"/>
          <w:i w:val="1"/>
          <w:iCs w:val="1"/>
          <w:color w:val="auto"/>
        </w:rPr>
        <w:t>under common control with</w:t>
      </w:r>
      <w:r>
        <w:rPr>
          <w:rFonts w:ascii="Arial" w:cs="Arial" w:eastAsia="Arial" w:hAnsi="Arial"/>
          <w:sz w:val="17"/>
          <w:szCs w:val="17"/>
          <w:color w:val="auto"/>
        </w:rPr>
        <w:t>” have correlative meanings.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co-registrar, Paying Agent, Transfer Agent or additional paying agents or transfer agents.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131" w:lineRule="exact"/>
        <w:rPr>
          <w:sz w:val="20"/>
          <w:szCs w:val="20"/>
          <w:color w:val="auto"/>
        </w:rPr>
      </w:pPr>
    </w:p>
    <w:p>
      <w:pPr>
        <w:ind w:left="1420" w:hanging="439"/>
        <w:spacing w:after="0"/>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130" w:lineRule="exact"/>
        <w:rPr>
          <w:rFonts w:ascii="Arial" w:cs="Arial" w:eastAsia="Arial" w:hAnsi="Arial"/>
          <w:sz w:val="18"/>
          <w:szCs w:val="18"/>
          <w:color w:val="auto"/>
        </w:rPr>
      </w:pPr>
    </w:p>
    <w:p>
      <w:pPr>
        <w:ind w:left="1960" w:right="200" w:hanging="533"/>
        <w:spacing w:after="0" w:line="257" w:lineRule="auto"/>
        <w:tabs>
          <w:tab w:leader="none" w:pos="19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the Note at July 15, 2022, plus (ii) all required interest payments due on the Note through July 15, 2022 (such redemption price being set forth in the table appearing in Section 3.07 hereof) plus (ii) all required interest payments due on the Note through July 15, 2022 (excluding accrued but unpaid interest to but excluding the redemption date), computed using a discount rate equal to the Treasury Rate as of such redemption date plus 50 basis points; over</w:t>
      </w:r>
    </w:p>
    <w:p>
      <w:pPr>
        <w:sectPr>
          <w:pgSz w:w="11900" w:h="16838" w:orient="portrait"/>
          <w:cols w:equalWidth="0" w:num="1">
            <w:col w:w="11000"/>
          </w:cols>
          <w:pgMar w:left="440" w:top="274" w:right="459" w:bottom="1440" w:gutter="0" w:footer="0" w:header="0"/>
        </w:sectPr>
      </w:pPr>
    </w:p>
    <w:bookmarkStart w:id="211" w:name="page212"/>
    <w:bookmarkEnd w:id="211"/>
    <w:p>
      <w:pPr>
        <w:ind w:left="1960" w:hanging="533"/>
        <w:spacing w:after="0"/>
        <w:tabs>
          <w:tab w:leader="none" w:pos="1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principal amount of the Note, if greater,</w:t>
      </w:r>
    </w:p>
    <w:p>
      <w:pPr>
        <w:spacing w:after="0" w:line="117" w:lineRule="exact"/>
        <w:rPr>
          <w:sz w:val="20"/>
          <w:szCs w:val="20"/>
          <w:color w:val="auto"/>
        </w:rPr>
      </w:pPr>
    </w:p>
    <w:p>
      <w:pPr>
        <w:ind w:left="980" w:right="400"/>
        <w:spacing w:after="0" w:line="263" w:lineRule="auto"/>
        <w:rPr>
          <w:sz w:val="20"/>
          <w:szCs w:val="20"/>
          <w:color w:val="auto"/>
        </w:rPr>
      </w:pPr>
      <w:r>
        <w:rPr>
          <w:rFonts w:ascii="Arial" w:cs="Arial" w:eastAsia="Arial" w:hAnsi="Arial"/>
          <w:sz w:val="18"/>
          <w:szCs w:val="18"/>
          <w:color w:val="auto"/>
        </w:rPr>
        <w:t>as calculated by the Company or on behalf of the Company by such Person as the Company may engage. For the avoidance of doubt, calculation of the Applicable Premium shall not be a duty or obligation of the Trustee, the Paying Agent, the Transfer Agent, or the Registrar.</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Euroclear and Clearstream, Luxembourg that apply to such transfer or exchange.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980" w:right="80" w:firstLine="408"/>
        <w:spacing w:after="0" w:line="259" w:lineRule="auto"/>
        <w:tabs>
          <w:tab w:leader="none" w:pos="177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sale, lease, conveyance or other disposition of all or substantially all of the assets of the Company and its Restricted Subsidiaries taken as a whole will be governed by the provisions of this Indenture described in Section 4.15 hereof and/or the provisions described in Section 5.01 hereof and not by the provisions of Section 4.10hereof;</w:t>
      </w:r>
    </w:p>
    <w:p>
      <w:pPr>
        <w:spacing w:after="0" w:line="78" w:lineRule="exact"/>
        <w:rPr>
          <w:rFonts w:ascii="Arial" w:cs="Arial" w:eastAsia="Arial" w:hAnsi="Arial"/>
          <w:sz w:val="18"/>
          <w:szCs w:val="18"/>
          <w:color w:val="auto"/>
        </w:rPr>
      </w:pPr>
    </w:p>
    <w:p>
      <w:pPr>
        <w:ind w:left="980" w:firstLine="408"/>
        <w:spacing w:after="0" w:line="277" w:lineRule="auto"/>
        <w:tabs>
          <w:tab w:leader="none" w:pos="177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issuance of Equity Interests in any of the Restricted Subsidiaries of the Company or the sale of Equity Interests in any of the Company’s Subsidiaries; and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Event of Loss.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117" w:lineRule="exact"/>
        <w:rPr>
          <w:sz w:val="20"/>
          <w:szCs w:val="20"/>
          <w:color w:val="auto"/>
        </w:rPr>
      </w:pPr>
    </w:p>
    <w:p>
      <w:pPr>
        <w:ind w:left="980" w:right="1040" w:firstLine="408"/>
        <w:spacing w:after="0" w:line="277" w:lineRule="auto"/>
        <w:tabs>
          <w:tab w:leader="none" w:pos="177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US$5.0 million;</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transfer of assets between or among the Company and its Restricted Subsidiaries;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the Company to the Company or a Restricted Subsidiary of the</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left="980" w:right="200" w:firstLine="408"/>
        <w:spacing w:after="0" w:line="257" w:lineRule="auto"/>
        <w:tabs>
          <w:tab w:leader="none" w:pos="177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sale, license, transfer, lease (including the right to use) or other disposal of products, services, rights, accounts receivable, undertakings, establishments or other current assets or cessation of any undertaking or establishment in the ordinary course of business (including pursuant to any shared services agreements (including the MSA), Revenue Sharing Agreement or any construction and development activities) and any sale or other disposition of damaged, worn-out, surplus or obsolete assets (or the dissolution of any Dormant Subsidiary) in the ordinary course of business;</w:t>
      </w:r>
    </w:p>
    <w:p>
      <w:pPr>
        <w:spacing w:after="0" w:line="79" w:lineRule="exact"/>
        <w:rPr>
          <w:rFonts w:ascii="Arial" w:cs="Arial" w:eastAsia="Arial" w:hAnsi="Arial"/>
          <w:sz w:val="18"/>
          <w:szCs w:val="18"/>
          <w:color w:val="auto"/>
        </w:rPr>
      </w:pPr>
    </w:p>
    <w:p>
      <w:pPr>
        <w:ind w:left="1780" w:hanging="392"/>
        <w:spacing w:after="0"/>
        <w:tabs>
          <w:tab w:leader="none" w:pos="17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transfer, termination or unwinding or other disposition of Hedging Obligations in the ordinary course of business;</w:t>
      </w:r>
    </w:p>
    <w:p>
      <w:pPr>
        <w:spacing w:after="0" w:line="128" w:lineRule="exact"/>
        <w:rPr>
          <w:rFonts w:ascii="Arial" w:cs="Arial" w:eastAsia="Arial" w:hAnsi="Arial"/>
          <w:sz w:val="17"/>
          <w:szCs w:val="17"/>
          <w:color w:val="auto"/>
        </w:rPr>
      </w:pPr>
    </w:p>
    <w:p>
      <w:pPr>
        <w:ind w:left="1780" w:hanging="392"/>
        <w:spacing w:after="0"/>
        <w:tabs>
          <w:tab w:leader="none" w:pos="17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transaction covered under Section 5.01 or Section 4.15;</w:t>
      </w:r>
    </w:p>
    <w:p>
      <w:pPr>
        <w:spacing w:after="0" w:line="117" w:lineRule="exact"/>
        <w:rPr>
          <w:rFonts w:ascii="Arial" w:cs="Arial" w:eastAsia="Arial" w:hAnsi="Arial"/>
          <w:sz w:val="18"/>
          <w:szCs w:val="18"/>
          <w:color w:val="auto"/>
        </w:rPr>
      </w:pPr>
    </w:p>
    <w:p>
      <w:pPr>
        <w:ind w:left="980" w:right="240" w:firstLine="408"/>
        <w:spacing w:after="0" w:line="263" w:lineRule="auto"/>
        <w:tabs>
          <w:tab w:leader="none" w:pos="177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lease of, right to use or equivalent interest under Macau law on that portion of real property granted to Studio City Developments Limited pursuant to the applicable land concession granted by the government of the Macau SAR in connection with the development of the Phase II Project in accordance with such applicable land concession;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12" w:name="page213"/>
    <w:bookmarkEnd w:id="212"/>
    <w:p>
      <w:pPr>
        <w:ind w:left="984" w:right="80" w:firstLine="408"/>
        <w:spacing w:after="0" w:line="257" w:lineRule="auto"/>
        <w:tabs>
          <w:tab w:leader="none" w:pos="17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Restricted Payment that does not violate the provisions of Section 4.07 hereof or a Permitted Investment, and any other payment under the Services and Right to Use Agreement, the Reinvestment Agreement or the MSA and any transactions or arrangements involving contractual rights under, pursuant to or in connection with the Services and Right to Use Agreement, the Reinvestment Agreement or the MSA, including any amendments, modifications, supplements, extensions, replacements, terminations or renewals thereof;</w:t>
      </w:r>
    </w:p>
    <w:p>
      <w:pPr>
        <w:spacing w:after="0" w:line="79" w:lineRule="exact"/>
        <w:rPr>
          <w:rFonts w:ascii="Arial" w:cs="Arial" w:eastAsia="Arial" w:hAnsi="Arial"/>
          <w:sz w:val="18"/>
          <w:szCs w:val="18"/>
          <w:color w:val="auto"/>
        </w:rPr>
      </w:pPr>
    </w:p>
    <w:p>
      <w:pPr>
        <w:ind w:left="984" w:firstLine="408"/>
        <w:spacing w:after="0" w:line="271" w:lineRule="auto"/>
        <w:tabs>
          <w:tab w:leader="none" w:pos="186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(i) lease, sublease, license or right to use of any portion of the Property to persons who, either directly or through Affiliates of such persons, intend to develop, operate or manage gaming, hotel, nightclubs, bars, restaurants, malls, amusements, attractions, recreation, spa, pool, exercise or gym facilities, or entertainment facilities or venues or retail shops or venues or similar or related establishments or facilities within the Property and (ii) the grant of declarations of covenants, conditions and restrictions and/or easements or other rights to use with respect to common area spaces and similar instruments benefiting such tenants of such lease, subleases licenses and rights to use generally and/or entered into connection with the Property (collectively, the “</w:t>
      </w:r>
      <w:r>
        <w:rPr>
          <w:rFonts w:ascii="Arial" w:cs="Arial" w:eastAsia="Arial" w:hAnsi="Arial"/>
          <w:sz w:val="17"/>
          <w:szCs w:val="17"/>
          <w:i w:val="1"/>
          <w:iCs w:val="1"/>
          <w:color w:val="auto"/>
        </w:rPr>
        <w:t>Venue Easements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Venue Easements or operations conducted pursuant thereto would reasonably be expected to materially interfere with, or materially impair or detract from, the operation of the Property;</w:t>
      </w:r>
    </w:p>
    <w:p>
      <w:pPr>
        <w:spacing w:after="0" w:line="70" w:lineRule="exact"/>
        <w:rPr>
          <w:rFonts w:ascii="Arial" w:cs="Arial" w:eastAsia="Arial" w:hAnsi="Arial"/>
          <w:sz w:val="17"/>
          <w:szCs w:val="17"/>
          <w:color w:val="auto"/>
        </w:rPr>
      </w:pPr>
    </w:p>
    <w:p>
      <w:pPr>
        <w:ind w:left="984" w:right="140" w:firstLine="408"/>
        <w:spacing w:after="0" w:line="259" w:lineRule="auto"/>
        <w:tabs>
          <w:tab w:leader="none" w:pos="185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dedication of space or other dispositions of property in connection with and in furtherance of constructing structures or improvements reasonably related to the development, construction and operation of the Property; </w:t>
      </w:r>
      <w:r>
        <w:rPr>
          <w:rFonts w:ascii="Arial" w:cs="Arial" w:eastAsia="Arial" w:hAnsi="Arial"/>
          <w:sz w:val="18"/>
          <w:szCs w:val="18"/>
          <w:i w:val="1"/>
          <w:iCs w:val="1"/>
          <w:color w:val="auto"/>
        </w:rPr>
        <w:t>provided</w:t>
      </w:r>
      <w:r>
        <w:rPr>
          <w:rFonts w:ascii="Arial" w:cs="Arial" w:eastAsia="Arial" w:hAnsi="Arial"/>
          <w:sz w:val="18"/>
          <w:szCs w:val="18"/>
          <w:color w:val="auto"/>
        </w:rPr>
        <w:t>, that in each case such dedication or other disposition is in furtherance of, and does not materially impair or interfere with the use or operations (or intended use or operations) of, the Property;</w:t>
      </w:r>
    </w:p>
    <w:p>
      <w:pPr>
        <w:spacing w:after="0" w:line="78" w:lineRule="exact"/>
        <w:rPr>
          <w:rFonts w:ascii="Arial" w:cs="Arial" w:eastAsia="Arial" w:hAnsi="Arial"/>
          <w:sz w:val="18"/>
          <w:szCs w:val="18"/>
          <w:color w:val="auto"/>
        </w:rPr>
      </w:pPr>
    </w:p>
    <w:p>
      <w:pPr>
        <w:ind w:left="984" w:right="40" w:firstLine="408"/>
        <w:spacing w:after="0" w:line="259" w:lineRule="auto"/>
        <w:tabs>
          <w:tab w:leader="none" w:pos="186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granting of easements, rights of way, rights of access and/or similar rights to any governmental authority, utility providers, cable or other communication providers and/or other parties providing services or benefits to the Property, the real property held by the Company or a Restricted Subsidiary of the Company or the public at large that would not reasonably be expected to interfere in any material respect with the construction, development or operation of the Property;</w:t>
      </w:r>
    </w:p>
    <w:p>
      <w:pPr>
        <w:spacing w:after="0" w:line="78" w:lineRule="exact"/>
        <w:rPr>
          <w:rFonts w:ascii="Arial" w:cs="Arial" w:eastAsia="Arial" w:hAnsi="Arial"/>
          <w:sz w:val="18"/>
          <w:szCs w:val="18"/>
          <w:color w:val="auto"/>
        </w:rPr>
      </w:pPr>
    </w:p>
    <w:p>
      <w:pPr>
        <w:ind w:left="984" w:right="80" w:firstLine="408"/>
        <w:spacing w:after="0" w:line="263" w:lineRule="auto"/>
        <w:tabs>
          <w:tab w:leader="none" w:pos="186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granting of a lease, right to use or equivalent interest to Melco Resorts Macau or Melco Resorts or any of its Affiliates for purposes of operating a gaming facility at Studio City, including under the Services and Right to Use Agreement and any related agreements, or any transactions or arrangements contemplated thereby;</w:t>
      </w:r>
    </w:p>
    <w:p>
      <w:pPr>
        <w:spacing w:after="0" w:line="75" w:lineRule="exact"/>
        <w:rPr>
          <w:rFonts w:ascii="Arial" w:cs="Arial" w:eastAsia="Arial" w:hAnsi="Arial"/>
          <w:sz w:val="18"/>
          <w:szCs w:val="18"/>
          <w:color w:val="auto"/>
        </w:rPr>
      </w:pPr>
    </w:p>
    <w:p>
      <w:pPr>
        <w:ind w:left="984" w:right="40" w:firstLine="408"/>
        <w:spacing w:after="0" w:line="263" w:lineRule="auto"/>
        <w:tabs>
          <w:tab w:leader="none" w:pos="186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grant of licenses to intellectual property rights to third Persons (other than Affiliates of the Company or any Restricted Subsidiary of the Company) on an arm’s length basis in the ordinary course of business or to Melco Resorts Macau, Melco Resorts and its Affiliates in the ordinary course of business;</w:t>
      </w:r>
    </w:p>
    <w:p>
      <w:pPr>
        <w:spacing w:after="0" w:line="75" w:lineRule="exact"/>
        <w:rPr>
          <w:rFonts w:ascii="Arial" w:cs="Arial" w:eastAsia="Arial" w:hAnsi="Arial"/>
          <w:sz w:val="18"/>
          <w:szCs w:val="18"/>
          <w:color w:val="auto"/>
        </w:rPr>
      </w:pPr>
    </w:p>
    <w:p>
      <w:pPr>
        <w:ind w:left="984" w:right="780" w:firstLine="408"/>
        <w:spacing w:after="0" w:line="277" w:lineRule="auto"/>
        <w:tabs>
          <w:tab w:leader="none" w:pos="186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transfers, assignments or dispositions constituting an Incurrence of a Permitted Lien (but not the actual sale or other disposition of the property subject to such Lien); and</w:t>
      </w:r>
    </w:p>
    <w:p>
      <w:pPr>
        <w:spacing w:after="0" w:line="62" w:lineRule="exact"/>
        <w:rPr>
          <w:rFonts w:ascii="Arial" w:cs="Arial" w:eastAsia="Arial" w:hAnsi="Arial"/>
          <w:sz w:val="18"/>
          <w:szCs w:val="18"/>
          <w:color w:val="auto"/>
        </w:rPr>
      </w:pPr>
    </w:p>
    <w:p>
      <w:pPr>
        <w:ind w:left="984" w:firstLine="408"/>
        <w:spacing w:after="0" w:line="277" w:lineRule="auto"/>
        <w:tabs>
          <w:tab w:leader="none" w:pos="186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surrender or waiver of contractual rights or settlement, release, recovery on or surrender of contract, tort or other claims in the ordinary course of business.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Law</w:t>
      </w:r>
      <w:r>
        <w:rPr>
          <w:rFonts w:ascii="Arial" w:cs="Arial" w:eastAsia="Arial" w:hAnsi="Arial"/>
          <w:sz w:val="16"/>
          <w:szCs w:val="16"/>
          <w:color w:val="auto"/>
        </w:rPr>
        <w:t>” means (i) the United States Bankruptcy Code of 1978 or any similar U.S. federal or state law for the relief of debtors,</w:t>
      </w:r>
    </w:p>
    <w:p>
      <w:pPr>
        <w:spacing w:after="0" w:line="46" w:lineRule="exact"/>
        <w:rPr>
          <w:sz w:val="20"/>
          <w:szCs w:val="20"/>
          <w:color w:val="auto"/>
        </w:rPr>
      </w:pPr>
    </w:p>
    <w:p>
      <w:pPr>
        <w:ind w:left="4" w:right="100" w:hanging="4"/>
        <w:spacing w:after="0" w:line="253" w:lineRule="auto"/>
        <w:tabs>
          <w:tab w:leader="none" w:pos="26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provisions of the Code of Civil Procedure of Macau that deal with the placement of a debtor into liquidation, the administration and disposal of its assets, the distribution of the proceeds thereof and the alternatives to such liquidation, or any laws of similar effect, and (iii) those laws included, principally within (but not limited to) the BVI Business Companies Act, 2004 (as amended) and the Insolvency Act, 2007 (as amended) concerning the solvency and insolvency of BVI companies.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213" w:name="page214"/>
    <w:bookmarkEnd w:id="213"/>
    <w:p>
      <w:pPr>
        <w:ind w:right="2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980" w:firstLine="408"/>
        <w:spacing w:after="0" w:line="277" w:lineRule="auto"/>
        <w:tabs>
          <w:tab w:leader="none" w:pos="177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980" w:right="500" w:firstLine="408"/>
        <w:spacing w:after="0" w:line="277" w:lineRule="auto"/>
        <w:tabs>
          <w:tab w:leader="none" w:pos="177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Legal Holiday.</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is to be made, the amount of the liability in respect of a finance or capital lease that would at that time be required to be capitalized on a balance sheet prepared in accordance with U.S.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780" w:hanging="392"/>
        <w:spacing w:after="0"/>
        <w:tabs>
          <w:tab w:leader="none" w:pos="17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the case of a corporation, corporate stock or shares;</w:t>
      </w:r>
    </w:p>
    <w:p>
      <w:pPr>
        <w:spacing w:after="0" w:line="117" w:lineRule="exact"/>
        <w:rPr>
          <w:rFonts w:ascii="Arial" w:cs="Arial" w:eastAsia="Arial" w:hAnsi="Arial"/>
          <w:sz w:val="18"/>
          <w:szCs w:val="18"/>
          <w:color w:val="auto"/>
        </w:rPr>
      </w:pPr>
    </w:p>
    <w:p>
      <w:pPr>
        <w:ind w:left="980" w:right="80" w:firstLine="408"/>
        <w:spacing w:after="0" w:line="277" w:lineRule="auto"/>
        <w:tabs>
          <w:tab w:leader="none" w:pos="177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or membership interests (whether general or limited); and</w:t>
      </w:r>
    </w:p>
    <w:p>
      <w:pPr>
        <w:spacing w:after="0" w:line="140" w:lineRule="exact"/>
        <w:rPr>
          <w:rFonts w:ascii="Arial" w:cs="Arial" w:eastAsia="Arial" w:hAnsi="Arial"/>
          <w:sz w:val="16"/>
          <w:szCs w:val="16"/>
          <w:color w:val="auto"/>
        </w:rPr>
      </w:pPr>
    </w:p>
    <w:p>
      <w:pPr>
        <w:ind w:left="980" w:right="340" w:firstLine="408"/>
        <w:spacing w:after="0" w:line="263" w:lineRule="auto"/>
        <w:tabs>
          <w:tab w:leader="none" w:pos="177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980" w:right="180" w:firstLine="408"/>
        <w:spacing w:after="0" w:line="263" w:lineRule="auto"/>
        <w:tabs>
          <w:tab w:leader="none" w:pos="177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full faith and credit of the United States is pledged in support of those securities) having maturities of not more than six months from the date of acquisition;</w:t>
      </w:r>
    </w:p>
    <w:p>
      <w:pPr>
        <w:spacing w:after="0" w:line="75" w:lineRule="exact"/>
        <w:rPr>
          <w:rFonts w:ascii="Arial" w:cs="Arial" w:eastAsia="Arial" w:hAnsi="Arial"/>
          <w:sz w:val="18"/>
          <w:szCs w:val="18"/>
          <w:color w:val="auto"/>
        </w:rPr>
      </w:pPr>
    </w:p>
    <w:p>
      <w:pPr>
        <w:ind w:left="980" w:right="40" w:firstLine="408"/>
        <w:spacing w:after="0" w:line="273" w:lineRule="auto"/>
        <w:tabs>
          <w:tab w:leader="none" w:pos="177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demand deposits, certificates of deposit, time deposits and eurodollar time deposits with maturities of 12 months or less from the date of acquisition, bankers’ acceptances with maturities not exceeding six months and overnight bank deposits, in each case, with any commercial bank organized under the laws of Macau, Hong Kong, a member state of the European Union or of the United States of America or any state thereof having capital and surplus in excess of US$500.0 million (or the foreign currency equivalent thereof as of the date of such investment) and whose long-term debt is rated “A-3” or higher by Moody’s or “A-” or higher by S&amp;P or the equivalent rating category or another internationally recognized rating agency;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14" w:name="page215"/>
    <w:bookmarkEnd w:id="214"/>
    <w:p>
      <w:pPr>
        <w:ind w:left="1780" w:hanging="392"/>
        <w:spacing w:after="0"/>
        <w:tabs>
          <w:tab w:leader="none" w:pos="1780" w:val="left"/>
        </w:tabs>
        <w:numPr>
          <w:ilvl w:val="1"/>
          <w:numId w:val="1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 obligations with a term of not more than seven days for underlying securities of the types described in clauses</w:t>
      </w:r>
    </w:p>
    <w:p>
      <w:pPr>
        <w:spacing w:after="0" w:line="34" w:lineRule="exact"/>
        <w:rPr>
          <w:rFonts w:ascii="Arial" w:cs="Arial" w:eastAsia="Arial" w:hAnsi="Arial"/>
          <w:sz w:val="17"/>
          <w:szCs w:val="17"/>
          <w:color w:val="auto"/>
        </w:rPr>
      </w:pPr>
    </w:p>
    <w:p>
      <w:pPr>
        <w:ind w:left="1240" w:hanging="253"/>
        <w:spacing w:after="0"/>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and (2) above entered into with any financial institution meeting the qualifications specified in clause (2) above;</w:t>
      </w:r>
    </w:p>
    <w:p>
      <w:pPr>
        <w:spacing w:after="0" w:line="102" w:lineRule="exact"/>
        <w:rPr>
          <w:rFonts w:ascii="Arial" w:cs="Arial" w:eastAsia="Arial" w:hAnsi="Arial"/>
          <w:sz w:val="18"/>
          <w:szCs w:val="18"/>
          <w:color w:val="auto"/>
        </w:rPr>
      </w:pPr>
    </w:p>
    <w:p>
      <w:pPr>
        <w:ind w:left="980" w:right="40" w:firstLine="408"/>
        <w:spacing w:after="0" w:line="277" w:lineRule="auto"/>
        <w:tabs>
          <w:tab w:leader="none" w:pos="177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12 months after the date of acquisition; and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money market funds at least 95% of the assets of which constitute Cash Equivalents of the kinds described in clauses</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through (4) of this definition.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Casualty</w:t>
      </w:r>
      <w:r>
        <w:rPr>
          <w:rFonts w:ascii="Arial" w:cs="Arial" w:eastAsia="Arial" w:hAnsi="Arial"/>
          <w:sz w:val="16"/>
          <w:szCs w:val="16"/>
          <w:color w:val="auto"/>
        </w:rPr>
        <w:t>” means any casualty, loss, damage, destruction or other similar loss with respect to real or personal property or improvements.</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jc w:val="both"/>
        <w:ind w:left="980" w:right="40" w:firstLine="408"/>
        <w:spacing w:after="0" w:line="259" w:lineRule="auto"/>
        <w:tabs>
          <w:tab w:leader="none" w:pos="177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or “group” (as such terms are used in Section 13(d) of the Exchange Act) (other than Melco Resorts or a Related Party of Melco Resorts);</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 or</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first day on which:</w:t>
      </w:r>
    </w:p>
    <w:p>
      <w:pPr>
        <w:spacing w:after="0" w:line="130" w:lineRule="exact"/>
        <w:rPr>
          <w:rFonts w:ascii="Arial" w:cs="Arial" w:eastAsia="Arial" w:hAnsi="Arial"/>
          <w:sz w:val="18"/>
          <w:szCs w:val="18"/>
          <w:color w:val="auto"/>
        </w:rPr>
      </w:pPr>
    </w:p>
    <w:p>
      <w:pPr>
        <w:ind w:left="2400" w:hanging="433"/>
        <w:spacing w:after="0" w:line="296" w:lineRule="auto"/>
        <w:tabs>
          <w:tab w:leader="none" w:pos="24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Melco Resorts ceases to own, directly or indirectly, (i) a majority, or (ii) if Melco Resorts is authorized by the relevant Gaming Authority or is otherwise permitted to hold less than 50.1% of Equity Interest in Studio City International, the greater of (x) such lesser percentage and (y) 35%, of the outstanding Equity Interests and/or Voting Stock of each of the Company and Studio City Holdings Five Limited (or any Person which becomes a “Golden Shareholder” and/or a “Preference Holder” under the Direct Agreement pursuant to the terms thereof, if any);</w:t>
      </w:r>
    </w:p>
    <w:p>
      <w:pPr>
        <w:spacing w:after="0" w:line="66" w:lineRule="exact"/>
        <w:rPr>
          <w:rFonts w:ascii="Arial" w:cs="Arial" w:eastAsia="Arial" w:hAnsi="Arial"/>
          <w:sz w:val="16"/>
          <w:szCs w:val="16"/>
          <w:color w:val="auto"/>
        </w:rPr>
      </w:pPr>
    </w:p>
    <w:p>
      <w:pPr>
        <w:ind w:left="2400" w:right="380" w:hanging="433"/>
        <w:spacing w:after="0" w:line="277" w:lineRule="auto"/>
        <w:tabs>
          <w:tab w:leader="none" w:pos="24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Melco Resorts ceases to own, directly or indirectly, less than 50.1% of Equity Interest in Melco Resorts Macau (or another operator of the Studio City Casino); or</w:t>
      </w:r>
    </w:p>
    <w:p>
      <w:pPr>
        <w:spacing w:after="0" w:line="75" w:lineRule="exact"/>
        <w:rPr>
          <w:rFonts w:ascii="Arial" w:cs="Arial" w:eastAsia="Arial" w:hAnsi="Arial"/>
          <w:sz w:val="18"/>
          <w:szCs w:val="18"/>
          <w:color w:val="auto"/>
        </w:rPr>
      </w:pPr>
    </w:p>
    <w:p>
      <w:pPr>
        <w:ind w:left="2400" w:right="140" w:hanging="433"/>
        <w:spacing w:after="0" w:line="263" w:lineRule="auto"/>
        <w:tabs>
          <w:tab w:leader="none" w:pos="24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Melco Resorts ceases to have, directly or indirectly (through a Subsidiary), the power to nominate a number of directors on the Board of Directors of the Company who are entitled to cast a majority of the votes which may be cast at a meeting of the Board of Directors of the Company.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 Luxembourg</w:t>
      </w:r>
      <w:r>
        <w:rPr>
          <w:rFonts w:ascii="Arial" w:cs="Arial" w:eastAsia="Arial" w:hAnsi="Arial"/>
          <w:sz w:val="18"/>
          <w:szCs w:val="18"/>
          <w:color w:val="auto"/>
        </w:rPr>
        <w:t>” means Clearstream Banking S.A.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Studio City Finance Limited, and any and all successors thereto.</w:t>
      </w:r>
    </w:p>
    <w:p>
      <w:pPr>
        <w:spacing w:after="0" w:line="225"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Condemnation</w:t>
      </w:r>
      <w:r>
        <w:rPr>
          <w:rFonts w:ascii="Arial" w:cs="Arial" w:eastAsia="Arial" w:hAnsi="Arial"/>
          <w:sz w:val="17"/>
          <w:szCs w:val="17"/>
          <w:color w:val="auto"/>
        </w:rPr>
        <w:t>” means any taking by a Governmental Authority of assets or property, or any part thereof or interest therein, for public or quasi-public use under the power of eminent domain, by reason of any public improvement or condemnation or in any other manner.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15" w:name="page216"/>
    <w:bookmarkEnd w:id="21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Person for any period, the aggregate of the Net Income of such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Subsidiaries for such period, on a consolidated basis, determined in accordance with U.S. GAAP;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03" w:lineRule="exact"/>
        <w:rPr>
          <w:sz w:val="20"/>
          <w:szCs w:val="20"/>
          <w:color w:val="auto"/>
        </w:rPr>
      </w:pPr>
    </w:p>
    <w:p>
      <w:pPr>
        <w:ind w:left="980" w:right="60" w:firstLine="408"/>
        <w:spacing w:after="0" w:line="263" w:lineRule="auto"/>
        <w:tabs>
          <w:tab w:leader="none" w:pos="177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Net Income (or loss) of any Person that is not a Restricted Subsidiary or that is accounted for by the equity method of accounting will be included only to the extent of the amount of dividends or similar distributions actually paid in cash to, or the amount of loss actually funded in cash by, the specified Person or a Restricted Subsidiary of the Person;</w:t>
      </w:r>
    </w:p>
    <w:p>
      <w:pPr>
        <w:spacing w:after="0" w:line="75" w:lineRule="exact"/>
        <w:rPr>
          <w:rFonts w:ascii="Arial" w:cs="Arial" w:eastAsia="Arial" w:hAnsi="Arial"/>
          <w:sz w:val="18"/>
          <w:szCs w:val="18"/>
          <w:color w:val="auto"/>
        </w:rPr>
      </w:pPr>
    </w:p>
    <w:p>
      <w:pPr>
        <w:ind w:left="980" w:firstLine="408"/>
        <w:spacing w:after="0" w:line="272" w:lineRule="auto"/>
        <w:tabs>
          <w:tab w:leader="none" w:pos="177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the Net Income of any Restricted Subsidiary that is not a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Consolidated Net Income of the specified Person will be increased by the amount of dividends or similar contributions actually paid in cash (or to the extent converted into cash) to the specified Person or any of its Restricted Subsidiaries that is a Subsidiary Guarantor, to the extent not already included therein;</w:t>
      </w:r>
    </w:p>
    <w:p>
      <w:pPr>
        <w:spacing w:after="0" w:line="69" w:lineRule="exact"/>
        <w:rPr>
          <w:rFonts w:ascii="Arial" w:cs="Arial" w:eastAsia="Arial" w:hAnsi="Arial"/>
          <w:sz w:val="17"/>
          <w:szCs w:val="17"/>
          <w:color w:val="auto"/>
        </w:rPr>
      </w:pPr>
    </w:p>
    <w:p>
      <w:pPr>
        <w:ind w:left="1780" w:hanging="392"/>
        <w:spacing w:after="0"/>
        <w:tabs>
          <w:tab w:leader="none" w:pos="17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 and</w:t>
      </w:r>
    </w:p>
    <w:p>
      <w:pPr>
        <w:spacing w:after="0" w:line="117" w:lineRule="exact"/>
        <w:rPr>
          <w:rFonts w:ascii="Arial" w:cs="Arial" w:eastAsia="Arial" w:hAnsi="Arial"/>
          <w:sz w:val="18"/>
          <w:szCs w:val="18"/>
          <w:color w:val="auto"/>
        </w:rPr>
      </w:pPr>
    </w:p>
    <w:p>
      <w:pPr>
        <w:jc w:val="both"/>
        <w:ind w:left="980" w:firstLine="408"/>
        <w:spacing w:after="0" w:line="286" w:lineRule="auto"/>
        <w:tabs>
          <w:tab w:leader="none" w:pos="177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charges or expenses related to deferred financing fees and Indebtedness issuance costs, including related commissions, fees and expenses, premiums paid or other expenses incurred directly in connection with any early extinguishment of Indebtedness and any net gain (loss) from any write-off, extinguishment, repurchase, cancellation or forgiveness of Indebtedness will be excluded.</w:t>
      </w:r>
    </w:p>
    <w:p>
      <w:pPr>
        <w:spacing w:after="0" w:line="16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 of the Trustee</w:t>
      </w:r>
      <w:r>
        <w:rPr>
          <w:rFonts w:ascii="Arial" w:cs="Arial" w:eastAsia="Arial" w:hAnsi="Arial"/>
          <w:sz w:val="18"/>
          <w:szCs w:val="18"/>
          <w:color w:val="auto"/>
        </w:rPr>
        <w:t>” means the address of the Trustee specified in Section 13.02 hereof or such other address as to which the Trustee may give notice to the Company.</w:t>
      </w:r>
    </w:p>
    <w:p>
      <w:pPr>
        <w:spacing w:after="0" w:line="170"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indentures or commercial paper facilities, in each case, with banks or other lenders providing for revolving credit loans, term loans, receivables financing (including through the sale of receivables to such lenders or to special purpose entities formed to borrow from such lenders against such receivables), letters of credit or other forms of Indebtedness, in each case, as amended, restated, modified, renewed, refunded, replaced (whether upon or after termination or otherwise) or refinanced (including by means of sales of debt securities to investors) in whole or in part from time to time.</w:t>
      </w:r>
    </w:p>
    <w:p>
      <w:pPr>
        <w:spacing w:after="0" w:line="188"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 Documents</w:t>
      </w:r>
      <w:r>
        <w:rPr>
          <w:rFonts w:ascii="Arial" w:cs="Arial" w:eastAsia="Arial" w:hAnsi="Arial"/>
          <w:sz w:val="18"/>
          <w:szCs w:val="18"/>
          <w:color w:val="auto"/>
        </w:rPr>
        <w:t>” means the collective reference to any Credit Facilities, any notes issued pursuant thereto and the guarantees thereof, and the collateral or other documents relating thereto, as amended, supplemented, restated, renewed, refunded, replaced, restructured, repaid, refinanced or otherwise modified, in whole or in part, from time to time.</w:t>
      </w:r>
    </w:p>
    <w:p>
      <w:pPr>
        <w:spacing w:after="0" w:line="184"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Deutsche Bank Trust Company Americas, as custodian with respect to the Notes in global form, or any successor entity thereto.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w:t>
      </w:r>
      <w:r>
        <w:rPr>
          <w:rFonts w:ascii="Arial" w:cs="Arial" w:eastAsia="Arial" w:hAnsi="Arial"/>
          <w:sz w:val="18"/>
          <w:szCs w:val="18"/>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84"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16" w:name="page217"/>
    <w:bookmarkEnd w:id="216"/>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Direct Agreement</w:t>
      </w:r>
      <w:r>
        <w:rPr>
          <w:rFonts w:ascii="Arial" w:cs="Arial" w:eastAsia="Arial" w:hAnsi="Arial"/>
          <w:sz w:val="18"/>
          <w:szCs w:val="18"/>
          <w:color w:val="auto"/>
        </w:rPr>
        <w:t>” means the direct agreement dated November 26, 2013, in relation to (a) the Services and Right to Use Agreement and (b) the Reinvestment Agreement.</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Stock</w:t>
      </w:r>
      <w:r>
        <w:rPr>
          <w:rFonts w:ascii="Arial" w:cs="Arial" w:eastAsia="Arial" w:hAnsi="Arial"/>
          <w:sz w:val="17"/>
          <w:szCs w:val="17"/>
          <w:color w:val="auto"/>
        </w:rPr>
        <w:t xml:space="preserve"> ”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Company to repurchase such Capital Stock upon the occurrence of a change of control or an asset sale will not constitute Disqualified Stock if the terms of such Capital Stock provide that the Company may not repurchase or redeem any such Capital Stock pursuant to such provisions unless such repurchase or redemption complies with Section 4.07 hereof. The amount of Disqualified Stock deemed to be outstanding at any time for purposes of this Indenture will be the maximum amount that the Company may become obligated to pay upon the maturity of, or pursuant to any mandatory redemption provisions of, such Disqualified Stock, exclusive of accrued dividends.</w:t>
      </w:r>
    </w:p>
    <w:p>
      <w:pPr>
        <w:spacing w:after="0" w:line="185"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Dormant Subsidiary</w:t>
      </w:r>
      <w:r>
        <w:rPr>
          <w:rFonts w:ascii="Arial" w:cs="Arial" w:eastAsia="Arial" w:hAnsi="Arial"/>
          <w:sz w:val="16"/>
          <w:szCs w:val="16"/>
          <w:color w:val="auto"/>
        </w:rPr>
        <w:t>” means a Restricted Subsidiary of the Company which does not trade (for itself or as agent for any other person) and does not own, legally or beneficially, assets (including, without limitation, Indebtedness owed to it) which in aggregate have a book value greater than US$100,000 and has no third-party recourse Indebtedness or intercompany Indebtedness with the Company or any other Restricted Subsidiary.</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means, with respect to any Person for any period, the Consolidated Net Income of such Person for such period plus,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duplication:</w:t>
      </w:r>
    </w:p>
    <w:p>
      <w:pPr>
        <w:spacing w:after="0" w:line="103" w:lineRule="exact"/>
        <w:rPr>
          <w:sz w:val="20"/>
          <w:szCs w:val="20"/>
          <w:color w:val="auto"/>
        </w:rPr>
      </w:pPr>
    </w:p>
    <w:p>
      <w:pPr>
        <w:ind w:left="980" w:right="420" w:firstLine="408"/>
        <w:spacing w:after="0" w:line="342" w:lineRule="auto"/>
        <w:tabs>
          <w:tab w:leader="none" w:pos="177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6"/>
          <w:szCs w:val="16"/>
          <w:i w:val="1"/>
          <w:iCs w:val="1"/>
          <w:color w:val="auto"/>
        </w:rPr>
        <w:t>plus</w:t>
      </w:r>
    </w:p>
    <w:p>
      <w:pPr>
        <w:spacing w:after="0" w:line="15" w:lineRule="exact"/>
        <w:rPr>
          <w:rFonts w:ascii="Arial" w:cs="Arial" w:eastAsia="Arial" w:hAnsi="Arial"/>
          <w:sz w:val="16"/>
          <w:szCs w:val="16"/>
          <w:color w:val="auto"/>
        </w:rPr>
      </w:pPr>
    </w:p>
    <w:p>
      <w:pPr>
        <w:ind w:left="980" w:right="160" w:firstLine="408"/>
        <w:spacing w:after="0" w:line="277" w:lineRule="auto"/>
        <w:tabs>
          <w:tab w:leader="none" w:pos="177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80" w:right="300" w:firstLine="408"/>
        <w:spacing w:after="0" w:line="277" w:lineRule="auto"/>
        <w:tabs>
          <w:tab w:leader="none" w:pos="177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80" w:right="40" w:firstLine="408"/>
        <w:spacing w:after="0" w:line="257" w:lineRule="auto"/>
        <w:tabs>
          <w:tab w:leader="none" w:pos="177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8"/>
          <w:szCs w:val="18"/>
          <w:i w:val="1"/>
          <w:iCs w:val="1"/>
          <w:color w:val="auto"/>
        </w:rPr>
        <w:t>plus</w:t>
      </w:r>
    </w:p>
    <w:p>
      <w:pPr>
        <w:spacing w:after="0" w:line="79" w:lineRule="exact"/>
        <w:rPr>
          <w:rFonts w:ascii="Arial" w:cs="Arial" w:eastAsia="Arial" w:hAnsi="Arial"/>
          <w:sz w:val="18"/>
          <w:szCs w:val="18"/>
          <w:color w:val="auto"/>
        </w:rPr>
      </w:pPr>
    </w:p>
    <w:p>
      <w:pPr>
        <w:ind w:left="1780" w:hanging="392"/>
        <w:spacing w:after="0"/>
        <w:tabs>
          <w:tab w:leader="none" w:pos="17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any non-cash compensation charge arising from any grant of stock, stock options or other equity based awards; </w:t>
      </w:r>
      <w:r>
        <w:rPr>
          <w:rFonts w:ascii="Arial" w:cs="Arial" w:eastAsia="Arial" w:hAnsi="Arial"/>
          <w:sz w:val="17"/>
          <w:szCs w:val="17"/>
          <w:i w:val="1"/>
          <w:iCs w:val="1"/>
          <w:color w:val="auto"/>
        </w:rPr>
        <w:t>plus</w:t>
      </w:r>
    </w:p>
    <w:p>
      <w:pPr>
        <w:spacing w:after="0" w:line="128" w:lineRule="exact"/>
        <w:rPr>
          <w:rFonts w:ascii="Arial" w:cs="Arial" w:eastAsia="Arial" w:hAnsi="Arial"/>
          <w:sz w:val="17"/>
          <w:szCs w:val="17"/>
          <w:color w:val="auto"/>
        </w:rPr>
      </w:pPr>
    </w:p>
    <w:p>
      <w:pPr>
        <w:ind w:left="1780" w:hanging="392"/>
        <w:spacing w:after="0"/>
        <w:tabs>
          <w:tab w:leader="none" w:pos="17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Pre-Opening Expenses, to the extent such expense were deducted in computing Consolidated Net Income;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any goodwill or other intangible asset impairment charge; </w:t>
      </w:r>
      <w:r>
        <w:rPr>
          <w:rFonts w:ascii="Arial" w:cs="Arial" w:eastAsia="Arial" w:hAnsi="Arial"/>
          <w:sz w:val="18"/>
          <w:szCs w:val="18"/>
          <w:i w:val="1"/>
          <w:iCs w:val="1"/>
          <w:color w:val="auto"/>
        </w:rPr>
        <w:t>plus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17" w:name="page218"/>
    <w:bookmarkEnd w:id="217"/>
    <w:p>
      <w:pPr>
        <w:ind w:left="980" w:right="420" w:firstLine="408"/>
        <w:spacing w:after="0" w:line="277" w:lineRule="auto"/>
        <w:tabs>
          <w:tab w:leader="none" w:pos="1771"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non-cash items increasing such Consolidated Net Income for such period, other than the accrual of revenue in the ordinary course of business,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on a consolidated basis and determined in accordance with U.S. GAAP.</w:t>
      </w:r>
    </w:p>
    <w:p>
      <w:pPr>
        <w:spacing w:after="0" w:line="225" w:lineRule="exact"/>
        <w:rPr>
          <w:sz w:val="20"/>
          <w:szCs w:val="20"/>
          <w:color w:val="auto"/>
        </w:rPr>
      </w:pPr>
    </w:p>
    <w:p>
      <w:pPr>
        <w:jc w:val="both"/>
        <w:ind w:right="140" w:firstLine="991"/>
        <w:spacing w:after="0" w:line="286" w:lineRule="auto"/>
        <w:rPr>
          <w:sz w:val="20"/>
          <w:szCs w:val="20"/>
          <w:color w:val="auto"/>
        </w:rPr>
      </w:pPr>
      <w:r>
        <w:rPr>
          <w:rFonts w:ascii="Arial" w:cs="Arial" w:eastAsia="Arial" w:hAnsi="Arial"/>
          <w:sz w:val="17"/>
          <w:szCs w:val="17"/>
          <w:color w:val="auto"/>
        </w:rPr>
        <w:t>Notwithstanding the preceding, the provision for taxes based on the income or profits of, and the depreciation and amortization and other non-cash expenses of, a Restricted Subsidiary of the Company will be added to Consolidated Net Income to compute EBITDA of the Company only to the extent that a corresponding amount was included in the calculation of Consolidated Net Income.</w:t>
      </w:r>
    </w:p>
    <w:p>
      <w:pPr>
        <w:spacing w:after="0" w:line="16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public sale or private issuance of Capital Stock (other than Disqualified Stock) of (1) the Company or (2) a direct or indirect parent of the Company to the extent the net proceeds from such issuance are contributed in cash to the common equity capital of the Company (in each case other than pursuant to a registration statement on Form S-8 or otherwise relating to equity securities issuable under any employee benefit plan of the Company).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the Company, any Subsidiary Guarantor or any Restricted Subsidiary of the Company that is a Significant Subsidiary, any (1) Casualty, (2) Condemnation or seizure (other than pursuant to foreclosure) or (3) settlement in lieu of clause (2) above, in each case having a fair market value in excess of US$20.0 million.</w:t>
      </w:r>
    </w:p>
    <w:p>
      <w:pPr>
        <w:spacing w:after="0" w:line="184"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United States Securities Exchange Act of 1934, as amended, and the rules and regulations of the SEC promulgated thereunder.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Contributions</w:t>
      </w:r>
      <w:r>
        <w:rPr>
          <w:rFonts w:ascii="Arial" w:cs="Arial" w:eastAsia="Arial" w:hAnsi="Arial"/>
          <w:sz w:val="18"/>
          <w:szCs w:val="18"/>
          <w:color w:val="auto"/>
        </w:rPr>
        <w:t>” means the net cash proceeds received by the Company subsequent to the Issue Date from:</w:t>
      </w:r>
    </w:p>
    <w:p>
      <w:pPr>
        <w:spacing w:after="0" w:line="117" w:lineRule="exact"/>
        <w:rPr>
          <w:sz w:val="20"/>
          <w:szCs w:val="20"/>
          <w:color w:val="auto"/>
        </w:rPr>
      </w:pPr>
    </w:p>
    <w:p>
      <w:pPr>
        <w:ind w:left="1780" w:hanging="392"/>
        <w:spacing w:after="0"/>
        <w:tabs>
          <w:tab w:leader="none" w:pos="17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117" w:lineRule="exact"/>
        <w:rPr>
          <w:rFonts w:ascii="Arial" w:cs="Arial" w:eastAsia="Arial" w:hAnsi="Arial"/>
          <w:sz w:val="18"/>
          <w:szCs w:val="18"/>
          <w:color w:val="auto"/>
        </w:rPr>
      </w:pPr>
    </w:p>
    <w:p>
      <w:pPr>
        <w:jc w:val="both"/>
        <w:ind w:left="980" w:right="200" w:firstLine="408"/>
        <w:spacing w:after="0" w:line="263" w:lineRule="auto"/>
        <w:tabs>
          <w:tab w:leader="none" w:pos="177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issuance or sale (other than to a Subsidiary of the Company or to any Company or Subsidiary management equity plan or stock option plan or any other management or employee benefit plan or agreement) by the Company of shares of its Capital Stock (other than Disqualified Stock) or a share capital increase;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each case, designated as Excluded Contributions on the date on which such Excluded Contributions were received pursuant to an Officer’s Certificate, and excluded from the calculation set forth in Section 4.07(a)(4)(C)(ii) hereof.</w:t>
      </w:r>
    </w:p>
    <w:p>
      <w:pPr>
        <w:spacing w:after="0" w:line="170" w:lineRule="exact"/>
        <w:rPr>
          <w:sz w:val="20"/>
          <w:szCs w:val="20"/>
          <w:color w:val="auto"/>
        </w:rPr>
      </w:pPr>
    </w:p>
    <w:p>
      <w:pPr>
        <w:jc w:val="both"/>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Subsidiary</w:t>
      </w:r>
      <w:r>
        <w:rPr>
          <w:rFonts w:ascii="Arial" w:cs="Arial" w:eastAsia="Arial" w:hAnsi="Arial"/>
          <w:sz w:val="16"/>
          <w:szCs w:val="16"/>
          <w:color w:val="auto"/>
        </w:rPr>
        <w:t>” means a Restricted Subsidiary of the Company which (a) is incorporated solely for the purpose of complying with the requirements of the government of Macau in connection with the conduct of the Permitted Business by the Company and its Restricted Subsidiaries, and (b) does not own, legally or beneficially, assets (including, without limitation, Indebtedness owed to it) which in aggregate have a book value greater than US$100,000 and has no third-party recourse Indebtedness or intercompany Indebtedness with the Company or any other Restricted Subsidiary.</w:t>
      </w:r>
    </w:p>
    <w:p>
      <w:pPr>
        <w:spacing w:after="0" w:line="157"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Studio City Company Notes</w:t>
      </w:r>
      <w:r>
        <w:rPr>
          <w:rFonts w:ascii="Arial" w:cs="Arial" w:eastAsia="Arial" w:hAnsi="Arial"/>
          <w:sz w:val="18"/>
          <w:szCs w:val="18"/>
          <w:color w:val="auto"/>
        </w:rPr>
        <w:t>” means the US$850,000,000 7.250% Senior Secured Notes due 2021 of Studio City Company Limited outstanding on the Issue Date.</w:t>
      </w:r>
    </w:p>
    <w:p>
      <w:pPr>
        <w:spacing w:after="0" w:line="170"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the Board of Directors of the Company (unless otherwise provided in this Indenture).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18" w:name="page219"/>
    <w:bookmarkEnd w:id="218"/>
    <w:p>
      <w:pPr>
        <w:ind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17" w:lineRule="exact"/>
        <w:rPr>
          <w:sz w:val="20"/>
          <w:szCs w:val="20"/>
          <w:color w:val="auto"/>
        </w:rPr>
      </w:pPr>
    </w:p>
    <w:p>
      <w:pPr>
        <w:ind w:left="980" w:right="200" w:firstLine="408"/>
        <w:spacing w:after="0" w:line="296" w:lineRule="auto"/>
        <w:tabs>
          <w:tab w:leader="none" w:pos="177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53" w:lineRule="exact"/>
        <w:rPr>
          <w:rFonts w:ascii="Arial" w:cs="Arial" w:eastAsia="Arial" w:hAnsi="Arial"/>
          <w:sz w:val="16"/>
          <w:szCs w:val="16"/>
          <w:color w:val="auto"/>
        </w:rPr>
      </w:pPr>
    </w:p>
    <w:p>
      <w:pPr>
        <w:ind w:left="980" w:right="760" w:firstLine="408"/>
        <w:spacing w:after="0" w:line="308" w:lineRule="auto"/>
        <w:tabs>
          <w:tab w:leader="none" w:pos="177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EBITDA attributable to discontinued operations, as determined in accordance with U.S. GAAP, and operations or businesses (and ownership interests therein) disposed of prior to the Calculation Date, will be excluded;</w:t>
      </w:r>
    </w:p>
    <w:p>
      <w:pPr>
        <w:spacing w:after="0" w:line="38" w:lineRule="exact"/>
        <w:rPr>
          <w:rFonts w:ascii="Arial" w:cs="Arial" w:eastAsia="Arial" w:hAnsi="Arial"/>
          <w:sz w:val="17"/>
          <w:szCs w:val="17"/>
          <w:color w:val="auto"/>
        </w:rPr>
      </w:pPr>
    </w:p>
    <w:p>
      <w:pPr>
        <w:jc w:val="both"/>
        <w:ind w:left="980" w:right="380" w:firstLine="408"/>
        <w:spacing w:after="0" w:line="259" w:lineRule="auto"/>
        <w:tabs>
          <w:tab w:leader="none" w:pos="177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U.S.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78" w:lineRule="exact"/>
        <w:rPr>
          <w:rFonts w:ascii="Arial" w:cs="Arial" w:eastAsia="Arial" w:hAnsi="Arial"/>
          <w:sz w:val="18"/>
          <w:szCs w:val="18"/>
          <w:color w:val="auto"/>
        </w:rPr>
      </w:pPr>
    </w:p>
    <w:p>
      <w:pPr>
        <w:ind w:left="980" w:right="260" w:firstLine="408"/>
        <w:spacing w:after="0" w:line="277" w:lineRule="auto"/>
        <w:tabs>
          <w:tab w:leader="none" w:pos="177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62" w:lineRule="exact"/>
        <w:rPr>
          <w:rFonts w:ascii="Arial" w:cs="Arial" w:eastAsia="Arial" w:hAnsi="Arial"/>
          <w:sz w:val="18"/>
          <w:szCs w:val="18"/>
          <w:color w:val="auto"/>
        </w:rPr>
      </w:pPr>
    </w:p>
    <w:p>
      <w:pPr>
        <w:ind w:left="980" w:right="100" w:firstLine="408"/>
        <w:spacing w:after="0" w:line="277" w:lineRule="auto"/>
        <w:tabs>
          <w:tab w:leader="none" w:pos="177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62" w:lineRule="exact"/>
        <w:rPr>
          <w:rFonts w:ascii="Arial" w:cs="Arial" w:eastAsia="Arial" w:hAnsi="Arial"/>
          <w:sz w:val="18"/>
          <w:szCs w:val="18"/>
          <w:color w:val="auto"/>
        </w:rPr>
      </w:pPr>
    </w:p>
    <w:p>
      <w:pPr>
        <w:jc w:val="both"/>
        <w:ind w:left="980" w:right="40" w:firstLine="408"/>
        <w:spacing w:after="0" w:line="311" w:lineRule="auto"/>
        <w:tabs>
          <w:tab w:leader="none" w:pos="177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117" w:lineRule="exact"/>
        <w:rPr>
          <w:sz w:val="20"/>
          <w:szCs w:val="20"/>
          <w:color w:val="auto"/>
        </w:rPr>
      </w:pPr>
    </w:p>
    <w:p>
      <w:pPr>
        <w:ind w:left="980" w:right="500" w:firstLine="408"/>
        <w:spacing w:after="0" w:line="291" w:lineRule="auto"/>
        <w:tabs>
          <w:tab w:leader="none" w:pos="1771"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discount (but not (i) debt issuance costs, commissions, fees and expenses or</w:t>
      </w:r>
    </w:p>
    <w:p>
      <w:pPr>
        <w:ind w:left="980" w:right="140" w:firstLine="7"/>
        <w:spacing w:after="0" w:line="273" w:lineRule="auto"/>
        <w:tabs>
          <w:tab w:leader="none" w:pos="124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amortization of discount on the Intercompany Note Proceeds Loans),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7"/>
          <w:szCs w:val="17"/>
          <w:i w:val="1"/>
          <w:iCs w:val="1"/>
          <w:color w:val="auto"/>
        </w:rPr>
        <w:t>plus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19" w:name="page220"/>
    <w:bookmarkEnd w:id="219"/>
    <w:p>
      <w:pPr>
        <w:ind w:left="1784" w:hanging="392"/>
        <w:spacing w:after="0"/>
        <w:tabs>
          <w:tab w:leader="none" w:pos="1784"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consolidated interest expense of such Person and its Restricted Subsidiaries that was capitalized during such period; </w:t>
      </w:r>
      <w:r>
        <w:rPr>
          <w:rFonts w:ascii="Arial" w:cs="Arial" w:eastAsia="Arial" w:hAnsi="Arial"/>
          <w:sz w:val="16"/>
          <w:szCs w:val="16"/>
          <w:i w:val="1"/>
          <w:iCs w:val="1"/>
          <w:color w:val="auto"/>
        </w:rPr>
        <w:t>plus</w:t>
      </w:r>
    </w:p>
    <w:p>
      <w:pPr>
        <w:spacing w:after="0" w:line="140" w:lineRule="exact"/>
        <w:rPr>
          <w:rFonts w:ascii="Arial" w:cs="Arial" w:eastAsia="Arial" w:hAnsi="Arial"/>
          <w:sz w:val="16"/>
          <w:szCs w:val="16"/>
          <w:color w:val="auto"/>
        </w:rPr>
      </w:pPr>
    </w:p>
    <w:p>
      <w:pPr>
        <w:ind w:left="984" w:right="20" w:firstLine="408"/>
        <w:spacing w:after="0" w:line="286" w:lineRule="auto"/>
        <w:tabs>
          <w:tab w:leader="none" w:pos="177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any interest on Indebtedness of another Person that is guaranteed by such Person or one of its Restricted Subsidiaries or secured by a Lien on assets of such Person or one of its Restricted Subsidiaries (other than Indebtedness secured by a Lien of the type specified in clause (22) of the definition of “Permitted Liens”), whether or not such Guarantee or Lien is called upon; </w:t>
      </w:r>
      <w:r>
        <w:rPr>
          <w:rFonts w:ascii="Arial" w:cs="Arial" w:eastAsia="Arial" w:hAnsi="Arial"/>
          <w:sz w:val="17"/>
          <w:szCs w:val="17"/>
          <w:i w:val="1"/>
          <w:iCs w:val="1"/>
          <w:color w:val="auto"/>
        </w:rPr>
        <w:t>plus</w:t>
      </w:r>
    </w:p>
    <w:p>
      <w:pPr>
        <w:spacing w:after="0" w:line="57" w:lineRule="exact"/>
        <w:rPr>
          <w:rFonts w:ascii="Arial" w:cs="Arial" w:eastAsia="Arial" w:hAnsi="Arial"/>
          <w:sz w:val="17"/>
          <w:szCs w:val="17"/>
          <w:color w:val="auto"/>
        </w:rPr>
      </w:pPr>
    </w:p>
    <w:p>
      <w:pPr>
        <w:ind w:left="984" w:right="80" w:firstLine="408"/>
        <w:spacing w:after="0" w:line="275" w:lineRule="auto"/>
        <w:tabs>
          <w:tab w:leader="none" w:pos="177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such Person (other than Disqualified Stock) or to such Person or a Restricted Subsidiary of such Person, </w:t>
      </w:r>
      <w:r>
        <w:rPr>
          <w:rFonts w:ascii="Arial" w:cs="Arial" w:eastAsia="Arial" w:hAnsi="Arial"/>
          <w:sz w:val="17"/>
          <w:szCs w:val="17"/>
          <w:i w:val="1"/>
          <w:iCs w:val="1"/>
          <w:color w:val="auto"/>
        </w:rPr>
        <w:t>times</w:t>
      </w:r>
      <w:r>
        <w:rPr>
          <w:rFonts w:ascii="Arial" w:cs="Arial" w:eastAsia="Arial" w:hAnsi="Arial"/>
          <w:sz w:val="17"/>
          <w:szCs w:val="17"/>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U.S. GAAP.</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Authorities</w:t>
      </w:r>
      <w:r>
        <w:rPr>
          <w:rFonts w:ascii="Arial" w:cs="Arial" w:eastAsia="Arial" w:hAnsi="Arial"/>
          <w:sz w:val="16"/>
          <w:szCs w:val="16"/>
          <w:color w:val="auto"/>
        </w:rPr>
        <w:t>” means the applicable gaming board, commission, or other governmental gaming regulatory body or agency which</w:t>
      </w:r>
    </w:p>
    <w:p>
      <w:pPr>
        <w:spacing w:after="0" w:line="46" w:lineRule="exact"/>
        <w:rPr>
          <w:sz w:val="20"/>
          <w:szCs w:val="20"/>
          <w:color w:val="auto"/>
        </w:rPr>
      </w:pPr>
    </w:p>
    <w:p>
      <w:pPr>
        <w:ind w:left="4" w:right="260" w:hanging="4"/>
        <w:spacing w:after="0" w:line="253" w:lineRule="auto"/>
        <w:tabs>
          <w:tab w:leader="none" w:pos="24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has, or may at any time after issuance of the Notes have, jurisdiction over the gaming activities (i) at the Studio City Casino, (ii) of Melco Resorts Macau (or any other operator of the Studio City Casino including Melco Resorts or any of its Affiliates), or (iii) of the Company or any of its Subsidiaries, or any successor to such authority or (b) is, or may at any time after the issuance of the Notes be, responsible for interpreting, administering and enforcing the Gaming Laws.</w:t>
      </w:r>
    </w:p>
    <w:p>
      <w:pPr>
        <w:spacing w:after="0" w:line="193" w:lineRule="exact"/>
        <w:rPr>
          <w:sz w:val="20"/>
          <w:szCs w:val="20"/>
          <w:color w:val="auto"/>
        </w:rPr>
      </w:pPr>
    </w:p>
    <w:p>
      <w:pPr>
        <w:ind w:left="4" w:right="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Laws</w:t>
      </w:r>
      <w:r>
        <w:rPr>
          <w:rFonts w:ascii="Arial" w:cs="Arial" w:eastAsia="Arial" w:hAnsi="Arial"/>
          <w:sz w:val="18"/>
          <w:szCs w:val="18"/>
          <w:color w:val="auto"/>
        </w:rPr>
        <w:t>” means all applicable constitutions, treatises, resolutions, laws, regulations, instructions and statutes pursuant to which any Gaming Authority possesses regulatory, licensing or permit authority over gaming, gambling or casino activities, and all rules, rulings, orders, ordinances, regulations of any Gaming Authority applicable to the gambling, casino, gaming businesses or activities (i) at Studio City Casino, (ii) of Melco Resorts Macau (or any other operator of the Studio City Casino including Melco Resorts or any of its Affiliates), or (iii) of the Company or any of its Subsidiaries in any jurisdiction, as in effect from time to time, including the policies, interpretations and administration thereof by the Gaming Authorities.</w:t>
      </w:r>
    </w:p>
    <w:p>
      <w:pPr>
        <w:spacing w:after="0" w:line="192" w:lineRule="exact"/>
        <w:rPr>
          <w:sz w:val="20"/>
          <w:szCs w:val="20"/>
          <w:color w:val="auto"/>
        </w:rPr>
      </w:pPr>
    </w:p>
    <w:p>
      <w:pPr>
        <w:ind w:left="4"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Licenses</w:t>
      </w:r>
      <w:r>
        <w:rPr>
          <w:rFonts w:ascii="Arial" w:cs="Arial" w:eastAsia="Arial" w:hAnsi="Arial"/>
          <w:sz w:val="16"/>
          <w:szCs w:val="16"/>
          <w:color w:val="auto"/>
        </w:rPr>
        <w:t>” means any concession, subconcession, license, permit, franchise or other authorization at any time required under any Gaming Laws to own, lease, operate or otherwise conduct the gaming business (i) at Studio City Casino or (ii) of Melco Resorts Macau.</w:t>
      </w:r>
    </w:p>
    <w:p>
      <w:pPr>
        <w:spacing w:after="0" w:line="124"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 Legend</w:t>
      </w:r>
      <w:r>
        <w:rPr>
          <w:rFonts w:ascii="Arial" w:cs="Arial" w:eastAsia="Arial" w:hAnsi="Arial"/>
          <w:sz w:val="18"/>
          <w:szCs w:val="18"/>
          <w:color w:val="auto"/>
        </w:rPr>
        <w:t>” means the legend set forth in Section 2.06(f)(2) hereof, which is required to be placed on all Global Notes issued under this Indenture.</w:t>
      </w:r>
    </w:p>
    <w:p>
      <w:pPr>
        <w:spacing w:after="0" w:line="170"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individually and collectively, each of the Restricted Global Notes and the Unrestricted Global Notes deposited with or on behalf of and registered in the name of the Depository or its nominee, substantially in the form of Exhibit A hereto and that bears the Global Note Legend and that has the “Schedule of Exchanges of Interests in the Global Note” attached thereto, issued in accordance with Section 2.01, 2.06(b)(3), 2.06(b)(4), and with Section 2.06(d)(2) or 2.06(f) hereof.</w:t>
      </w:r>
    </w:p>
    <w:p>
      <w:pPr>
        <w:spacing w:after="0" w:line="187" w:lineRule="exact"/>
        <w:rPr>
          <w:sz w:val="20"/>
          <w:szCs w:val="20"/>
          <w:color w:val="auto"/>
        </w:rPr>
      </w:pPr>
    </w:p>
    <w:p>
      <w:pPr>
        <w:ind w:left="4"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Macau SAR or any other territory,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20" w:name="page221"/>
    <w:bookmarkEnd w:id="220"/>
    <w:p>
      <w:pPr>
        <w:ind w:right="4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17" w:lineRule="exact"/>
        <w:rPr>
          <w:sz w:val="20"/>
          <w:szCs w:val="20"/>
          <w:color w:val="auto"/>
        </w:rPr>
      </w:pPr>
    </w:p>
    <w:p>
      <w:pPr>
        <w:ind w:left="980" w:firstLine="408"/>
        <w:spacing w:after="0" w:line="277" w:lineRule="auto"/>
        <w:tabs>
          <w:tab w:leader="none" w:pos="177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980" w:right="860" w:firstLine="408"/>
        <w:spacing w:after="0" w:line="277" w:lineRule="auto"/>
        <w:tabs>
          <w:tab w:leader="none" w:pos="177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or commodity prices.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Note is registered.</w:t>
      </w:r>
    </w:p>
    <w:p>
      <w:pPr>
        <w:spacing w:after="0" w:line="225" w:lineRule="exact"/>
        <w:rPr>
          <w:sz w:val="20"/>
          <w:szCs w:val="20"/>
          <w:color w:val="auto"/>
        </w:rPr>
      </w:pPr>
    </w:p>
    <w:p>
      <w:pPr>
        <w:jc w:val="both"/>
        <w:ind w:right="40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Incur</w:t>
      </w:r>
      <w:r>
        <w:rPr>
          <w:rFonts w:ascii="Arial" w:cs="Arial" w:eastAsia="Arial" w:hAnsi="Arial"/>
          <w:sz w:val="16"/>
          <w:szCs w:val="16"/>
          <w:color w:val="auto"/>
        </w:rPr>
        <w:t>” means, with respect to any Indebtedness, Capital Stock or other Obligation of any Person, to create, issue, assume, guarantee, incur (by conversion, exchange, or otherwise) or otherwise become liable in respect of such Indebtedness, Capital Stock or other Obligation or the recording, as required pursuant to U.S. GAAP or otherwise, of any such Indebtedness or other Obligation on the balance sheet of such Person.</w:t>
      </w:r>
    </w:p>
    <w:p>
      <w:pPr>
        <w:spacing w:after="0" w:line="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Indebtedness or Capital Stock otherwise Incurred by a Person before it becomes a Restricted Subsidiary of the Company shall be deemed to be Incurred at the time at which such Person becomes a Restricted Subsidiary of the Company. The accretion of original issue discount, the accrual of interest, the accrual of dividends, the payment of interest in the form of additional Indebtedness and the payment of dividends on Preferred Stock in the form of additional shares of Preferred Stock shall not be considered an Incurrence of Indebtedness.</w:t>
      </w:r>
    </w:p>
    <w:p>
      <w:pPr>
        <w:spacing w:after="0" w:line="176"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62" w:lineRule="exact"/>
        <w:rPr>
          <w:sz w:val="20"/>
          <w:szCs w:val="20"/>
          <w:color w:val="auto"/>
        </w:rPr>
      </w:pPr>
    </w:p>
    <w:p>
      <w:pPr>
        <w:ind w:left="1780" w:hanging="392"/>
        <w:spacing w:after="0"/>
        <w:tabs>
          <w:tab w:leader="none" w:pos="17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102" w:lineRule="exact"/>
        <w:rPr>
          <w:rFonts w:ascii="Arial" w:cs="Arial" w:eastAsia="Arial" w:hAnsi="Arial"/>
          <w:sz w:val="17"/>
          <w:szCs w:val="17"/>
          <w:color w:val="auto"/>
        </w:rPr>
      </w:pPr>
    </w:p>
    <w:p>
      <w:pPr>
        <w:ind w:left="1780" w:hanging="392"/>
        <w:spacing w:after="0"/>
        <w:tabs>
          <w:tab w:leader="none" w:pos="17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17" w:lineRule="exact"/>
        <w:rPr>
          <w:rFonts w:ascii="Arial" w:cs="Arial" w:eastAsia="Arial" w:hAnsi="Arial"/>
          <w:sz w:val="18"/>
          <w:szCs w:val="18"/>
          <w:color w:val="auto"/>
        </w:rPr>
      </w:pPr>
    </w:p>
    <w:p>
      <w:pPr>
        <w:ind w:left="980" w:right="380" w:firstLine="408"/>
        <w:spacing w:after="0" w:line="277" w:lineRule="auto"/>
        <w:tabs>
          <w:tab w:leader="none" w:pos="177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one year after such property is acquired or such services are completed; or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if and to the extent any of the preceding items (other than letters of credit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21" w:name="page222"/>
    <w:bookmarkEnd w:id="221"/>
    <w:p>
      <w:pPr>
        <w:ind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“Indebtedness” will not include (i) any capital commitments, deposits or advances from customers or any contingent obligations to refund payments (including deposits) to customers (or any guarantee thereof), (ii) obligations of the Company or a Restricted Subsidiary of the Company to pay the deferred and unpaid purchase price of property or services due to suppliers of equipment or other assets (including parts thereof) not more than one year after such property is acquired or such services are completed and the amount of unpaid purchase price retained by the Company or any of its Restricted Subsidiaries in the ordinary course of business in connection with an acquisition of equipment or other assets (including parts thereof) pending full operation or contingent on certain conditions during a warranty period of such equipment or assets in accordance with the terms of the acquisition; </w:t>
      </w:r>
      <w:r>
        <w:rPr>
          <w:rFonts w:ascii="Arial" w:cs="Arial" w:eastAsia="Arial" w:hAnsi="Arial"/>
          <w:sz w:val="16"/>
          <w:szCs w:val="16"/>
          <w:i w:val="1"/>
          <w:iCs w:val="1"/>
          <w:color w:val="auto"/>
        </w:rPr>
        <w:t>provided that</w:t>
      </w:r>
      <w:r>
        <w:rPr>
          <w:rFonts w:ascii="Arial" w:cs="Arial" w:eastAsia="Arial" w:hAnsi="Arial"/>
          <w:sz w:val="16"/>
          <w:szCs w:val="16"/>
          <w:color w:val="auto"/>
        </w:rPr>
        <w:t>, in each case of clause (i) and (ii), such Indebtedness is not reflected as borrowings on the consolidated balance sheet of the Company (contingent obligations and commitments referred to in a footnote to financial statements and not otherwise reflected as borrowings on the balance sheet will not be deemed to be reflected on such balance sheet), or (iii) any lease of property which would be considered an operating lease under U.S. GAAP and any guarantee given by the Company or a Restricted Subsidiary in the ordinary course of business solely in connection with, or in respect of, the obligations of the Company or a Restricted Subsidiary under any operating lease.</w:t>
      </w:r>
    </w:p>
    <w:p>
      <w:pPr>
        <w:spacing w:after="0" w:line="172"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The amount of Indebtedness of any Person at any time shall be the outstanding balance at such time of all unconditional obligations as described above and, with respect to contingent obligations, the maximum liability upon the occurrence of the contingency giving rise to the obligation;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89" w:lineRule="exact"/>
        <w:rPr>
          <w:sz w:val="20"/>
          <w:szCs w:val="20"/>
          <w:color w:val="auto"/>
        </w:rPr>
      </w:pPr>
    </w:p>
    <w:p>
      <w:pPr>
        <w:ind w:left="2400" w:right="20" w:hanging="433"/>
        <w:spacing w:after="0" w:line="263" w:lineRule="auto"/>
        <w:tabs>
          <w:tab w:leader="none" w:pos="24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amount outstanding at any time of any Indebtedness issued with original issue discount is the face amount of such Indebtedness less the remaining unamortized portion of the original issue discount of such Indebtedness at such time as determined in conformity with U.S. GAAP;</w:t>
      </w:r>
    </w:p>
    <w:p>
      <w:pPr>
        <w:spacing w:after="0" w:line="89" w:lineRule="exact"/>
        <w:rPr>
          <w:rFonts w:ascii="Arial" w:cs="Arial" w:eastAsia="Arial" w:hAnsi="Arial"/>
          <w:sz w:val="18"/>
          <w:szCs w:val="18"/>
          <w:color w:val="auto"/>
        </w:rPr>
      </w:pPr>
    </w:p>
    <w:p>
      <w:pPr>
        <w:ind w:left="2400" w:right="60" w:hanging="433"/>
        <w:spacing w:after="0" w:line="263" w:lineRule="auto"/>
        <w:tabs>
          <w:tab w:leader="none" w:pos="24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money borrowed and set aside at the time of the Incurrence of any Indebtedness in order to prefund the payment of the interest on such Indebtedness shall not be deemed to be “Indebtedness” so long as such money is held to secure the payment of such interest; and</w:t>
      </w:r>
    </w:p>
    <w:p>
      <w:pPr>
        <w:spacing w:after="0" w:line="89" w:lineRule="exact"/>
        <w:rPr>
          <w:rFonts w:ascii="Arial" w:cs="Arial" w:eastAsia="Arial" w:hAnsi="Arial"/>
          <w:sz w:val="18"/>
          <w:szCs w:val="18"/>
          <w:color w:val="auto"/>
        </w:rPr>
      </w:pPr>
    </w:p>
    <w:p>
      <w:pPr>
        <w:ind w:left="2400" w:hanging="433"/>
        <w:spacing w:after="0" w:line="342" w:lineRule="auto"/>
        <w:tabs>
          <w:tab w:leader="none" w:pos="24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that the amount of or the principal amount of Indebtedness with respect to any Hedging Obligation shall be equal to the net amount payable if such Hedging Obligation terminated at or prior to that time due to a default by such Person.</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Financial Advisor</w:t>
      </w:r>
      <w:r>
        <w:rPr>
          <w:rFonts w:ascii="Arial" w:cs="Arial" w:eastAsia="Arial" w:hAnsi="Arial"/>
          <w:sz w:val="18"/>
          <w:szCs w:val="18"/>
          <w:color w:val="auto"/>
        </w:rPr>
        <w:t>” means accounting, appraisal or investment banking firm of international standing.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Notes</w:t>
      </w:r>
      <w:r>
        <w:rPr>
          <w:rFonts w:ascii="Arial" w:cs="Arial" w:eastAsia="Arial" w:hAnsi="Arial"/>
          <w:sz w:val="17"/>
          <w:szCs w:val="17"/>
          <w:color w:val="auto"/>
        </w:rPr>
        <w:t>” means the first US$500,000,000 aggregate principal amount of Notes issued under this Indenture on the date hereof.</w:t>
      </w:r>
    </w:p>
    <w:p>
      <w:pPr>
        <w:spacing w:after="0" w:line="237"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Deutsche Bank AG, Singapore Branch or Australia, New Zealand Banking Group Limited, Bank of Communications Co., Ltd. Macau Branch, BOC Asia Limited, Industrial and Commercial Bank of China (Asia) Limited, Industrial and Commercial Bank of China (Macau) Limited and Mizuho Securities USA LLC.</w:t>
      </w:r>
    </w:p>
    <w:p>
      <w:pPr>
        <w:spacing w:after="0" w:line="184"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Note Proceeds Loans</w:t>
      </w:r>
      <w:r>
        <w:rPr>
          <w:rFonts w:ascii="Arial" w:cs="Arial" w:eastAsia="Arial" w:hAnsi="Arial"/>
          <w:sz w:val="18"/>
          <w:szCs w:val="18"/>
          <w:color w:val="auto"/>
        </w:rPr>
        <w:t>” means the one or more intercompany loans between the Company and its Subsidiaries pursuant to which the Company on-lends to its Subsidiaries the net proceeds from the issuance of the Notes in accordance with the terms of the definitive documents with respect to the Notes, as amended from time to time, including in connection with any extension, additional issuance or refinancing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22" w:name="page223"/>
    <w:bookmarkEnd w:id="222"/>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Investment Grade Status</w:t>
      </w:r>
      <w:r>
        <w:rPr>
          <w:rFonts w:ascii="Arial" w:cs="Arial" w:eastAsia="Arial" w:hAnsi="Arial"/>
          <w:sz w:val="18"/>
          <w:szCs w:val="18"/>
          <w:color w:val="auto"/>
        </w:rPr>
        <w:t>” shall apply at any time the Notes receive (i) a rating equal to or higher than BBB- (or the equivalent) from S&amp;P and (ii) a rating equal to or higher than Baa3 (or the equivalent) from Moody’s.</w:t>
      </w:r>
    </w:p>
    <w:p>
      <w:pPr>
        <w:spacing w:after="0" w:line="17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and consultants made in the ordinary course of business), purchases or other acquisitions for consideration of Indebtedness, Equity Interests or other securities, together with all items that are or would be classified as investments on a balance sheet prepared in accordance with U.S.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will be deemed to have made an Investment on the date of any such sale or disposition equal to the Fair Market Value of the Company’s Investments in such Subsidiary that were not sold or disposed of in an amount determined as provided in the final paragraph of Section 4.07 hereof. The acquisition by the Company or any Subsidiary of the Company of a Person that holds an Investment in a third Person will be deemed to be an Investment by the Company or such Subsidiary in such third Person in an amount equal to the Fair Market Value of the Investments held by the acquired Person in such third Person in an amount determined as provided in the final paragraph of Section 4.07 hereof. Except as otherwise provided in this Indenture, the amount of an Investment will be determined at the time the Investment is made and without giving effect to subsequent changes in value.</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(other than any Additional Notes) are originally issued.</w:t>
      </w:r>
    </w:p>
    <w:p>
      <w:pPr>
        <w:spacing w:after="0" w:line="225" w:lineRule="exact"/>
        <w:rPr>
          <w:sz w:val="20"/>
          <w:szCs w:val="20"/>
          <w:color w:val="auto"/>
        </w:rPr>
      </w:pPr>
    </w:p>
    <w:p>
      <w:pPr>
        <w:ind w:right="16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Land Concession</w:t>
      </w:r>
      <w:r>
        <w:rPr>
          <w:rFonts w:ascii="Arial" w:cs="Arial" w:eastAsia="Arial" w:hAnsi="Arial"/>
          <w:sz w:val="17"/>
          <w:szCs w:val="17"/>
          <w:color w:val="auto"/>
        </w:rPr>
        <w:t>” means the land concession by way of lease, for a period of 25 years, subject to renewal as of October 17, 2001 for a plot of land situated in Cotai, Macau, described with the Macau Immovable Property Registry under No. 23059 and registered in Studio City Developments Limited’s name under inscription no. 26642 of Book F, titled by Dispatch of the Secretary for Public Works and Transportation no. 100/2001 of October 9, 2001, published in the Macau Official Gazette no. 42 of October 17, 2001, as amended by Dispatch of the Secretary for Public Works and Transportation no. 31/2012 of July 19, 2012, published in the Macau Official Gazette no. 30 of July 25, 2012, and by Dispatch of Secretary for Public Works and Transportation no. 92/2015 of September 10, 2015, published in the Macau Official Gazette no. 38 of September 23, 2015 and including any other amendments from time to time to such land concession.</w:t>
      </w:r>
    </w:p>
    <w:p>
      <w:pPr>
        <w:spacing w:after="0" w:line="177"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 means a Saturday, a Sunday or a day on which banking institutions in the City of New York, New York, Hong Kong, Macau, the British Virgin Islands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“Measurement Date” </w:t>
      </w:r>
      <w:r>
        <w:rPr>
          <w:rFonts w:ascii="Arial" w:cs="Arial" w:eastAsia="Arial" w:hAnsi="Arial"/>
          <w:sz w:val="18"/>
          <w:szCs w:val="18"/>
          <w:color w:val="auto"/>
        </w:rPr>
        <w:t>means February 11, 2019.</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w:t>
      </w:r>
      <w:r>
        <w:rPr>
          <w:rFonts w:ascii="Arial" w:cs="Arial" w:eastAsia="Arial" w:hAnsi="Arial"/>
          <w:sz w:val="18"/>
          <w:szCs w:val="18"/>
          <w:color w:val="auto"/>
        </w:rPr>
        <w:t>” means Melco Resorts &amp; Entertainment Limited, an exempted company incorporated with limited liability under the laws of the Cayman Islands.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 Macau</w:t>
      </w:r>
      <w:r>
        <w:rPr>
          <w:rFonts w:ascii="Arial" w:cs="Arial" w:eastAsia="Arial" w:hAnsi="Arial"/>
          <w:sz w:val="18"/>
          <w:szCs w:val="18"/>
          <w:color w:val="auto"/>
        </w:rPr>
        <w:t>” means Melco Resorts (Macau) Limited, a Macau company.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23" w:name="page224"/>
    <w:bookmarkEnd w:id="223"/>
    <w:p>
      <w:pPr>
        <w:ind w:right="1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Melco Resorts Parties</w:t>
      </w:r>
      <w:r>
        <w:rPr>
          <w:rFonts w:ascii="Arial" w:cs="Arial" w:eastAsia="Arial" w:hAnsi="Arial"/>
          <w:sz w:val="18"/>
          <w:szCs w:val="18"/>
          <w:color w:val="auto"/>
        </w:rPr>
        <w:t>” means COD Resorts Limited, Altira Resorts Limited, Melco Resorts (Macau) Limited, MPEL Services Limited, Golden Future (Management Services) Limited, MPEL Properties (Macau) Limited, Melco Resorts Security Services Limited, Melco Resorts Travel Limited, MCE Transportation Limited, MCE Transportation Two Limited and any other Person which accedes to the MSA as a “</w:t>
      </w:r>
      <w:r>
        <w:rPr>
          <w:rFonts w:ascii="Arial" w:cs="Arial" w:eastAsia="Arial" w:hAnsi="Arial"/>
          <w:sz w:val="18"/>
          <w:szCs w:val="18"/>
          <w:i w:val="1"/>
          <w:iCs w:val="1"/>
          <w:color w:val="auto"/>
        </w:rPr>
        <w:t>Melco Crown Party</w:t>
      </w:r>
      <w:r>
        <w:rPr>
          <w:rFonts w:ascii="Arial" w:cs="Arial" w:eastAsia="Arial" w:hAnsi="Arial"/>
          <w:sz w:val="18"/>
          <w:szCs w:val="18"/>
          <w:color w:val="auto"/>
        </w:rPr>
        <w:t>” pursuant to terms thereof; and a “</w:t>
      </w:r>
      <w:r>
        <w:rPr>
          <w:rFonts w:ascii="Arial" w:cs="Arial" w:eastAsia="Arial" w:hAnsi="Arial"/>
          <w:sz w:val="18"/>
          <w:szCs w:val="18"/>
          <w:i w:val="1"/>
          <w:iCs w:val="1"/>
          <w:color w:val="auto"/>
        </w:rPr>
        <w:t>Melco Resorts Party</w:t>
      </w:r>
      <w:r>
        <w:rPr>
          <w:rFonts w:ascii="Arial" w:cs="Arial" w:eastAsia="Arial" w:hAnsi="Arial"/>
          <w:sz w:val="18"/>
          <w:szCs w:val="18"/>
          <w:color w:val="auto"/>
        </w:rPr>
        <w:t>” means any of them.</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MSA</w:t>
      </w:r>
      <w:r>
        <w:rPr>
          <w:rFonts w:ascii="Arial" w:cs="Arial" w:eastAsia="Arial" w:hAnsi="Arial"/>
          <w:sz w:val="16"/>
          <w:szCs w:val="16"/>
          <w:color w:val="auto"/>
        </w:rPr>
        <w:t>” means the master services agreement dated December 21, 2015, including any work agreements entered into pursuant to the master services agreement, entered into between the Studio City Parties on the one part and the Melco Resorts Parties on the other part, as amended, modified, supplemented, extended, replaced or renewed from time to time, and any other master services agreement or equivalent agreement or contract, including any work agreements entered into pursuant to any such master services agreement, in each case entered into in connection with the conduct of Permitted Business and on terms that are no less favorable to the Company or the relevant Restricted Subsidiary than those that would have been obtained in an arm’s length commercial transaction, as amended, modified, supplemented, extended, replaced or renewed from time to time.</w:t>
      </w:r>
    </w:p>
    <w:p>
      <w:pPr>
        <w:spacing w:after="0" w:line="164"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of such Person, determined in accordance with U.S. GAAP and before any reduction in respect of Preferred Stock dividends, excluding, however:</w:t>
      </w:r>
    </w:p>
    <w:p>
      <w:pPr>
        <w:spacing w:after="0" w:line="62" w:lineRule="exact"/>
        <w:rPr>
          <w:sz w:val="20"/>
          <w:szCs w:val="20"/>
          <w:color w:val="auto"/>
        </w:rPr>
      </w:pPr>
    </w:p>
    <w:p>
      <w:pPr>
        <w:ind w:left="980" w:firstLine="408"/>
        <w:spacing w:after="0" w:line="263" w:lineRule="auto"/>
        <w:tabs>
          <w:tab w:leader="none" w:pos="177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any Asset Sale; or (b) the disposition of any securities by such Person or any of its Restricted Subsidiaries or the extinguishment, repurchase or cancellation of any Indebtedness of such Person or any of its Restricted Subsidiaries; and</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any reserve for adjustment in respect of the sale price of such asset or assets established in accordance with U.S. GAAP.</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980" w:right="40" w:firstLine="408"/>
        <w:spacing w:after="0" w:line="291" w:lineRule="auto"/>
        <w:tabs>
          <w:tab w:leader="none" w:pos="1771"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w:t>
      </w:r>
    </w:p>
    <w:p>
      <w:pPr>
        <w:ind w:left="1240" w:hanging="253"/>
        <w:spacing w:after="0"/>
        <w:tabs>
          <w:tab w:leader="none" w:pos="12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constitutes the lender, other than, in the case of (a) and (b), Indebtedness incurred pursuant to Section 4.09(b)(15) hereof; and</w:t>
      </w:r>
    </w:p>
    <w:p>
      <w:pPr>
        <w:spacing w:after="0" w:line="114" w:lineRule="exact"/>
        <w:rPr>
          <w:rFonts w:ascii="Arial" w:cs="Arial" w:eastAsia="Arial" w:hAnsi="Arial"/>
          <w:sz w:val="17"/>
          <w:szCs w:val="17"/>
          <w:color w:val="auto"/>
        </w:rPr>
      </w:pPr>
    </w:p>
    <w:p>
      <w:pPr>
        <w:ind w:left="980" w:right="100" w:firstLine="408"/>
        <w:spacing w:after="0" w:line="277" w:lineRule="auto"/>
        <w:tabs>
          <w:tab w:leader="none" w:pos="177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 (other than to the Equity Interests of any Unrestricted Subsidiary).</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 Guarantee</w:t>
      </w:r>
      <w:r>
        <w:rPr>
          <w:rFonts w:ascii="Arial" w:cs="Arial" w:eastAsia="Arial" w:hAnsi="Arial"/>
          <w:sz w:val="16"/>
          <w:szCs w:val="16"/>
          <w:color w:val="auto"/>
        </w:rPr>
        <w:t>” means the Guarantee by each Subsidiary Guarantor of the Company’s Obligations under this Indenture and the Notes.</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24" w:name="page225"/>
    <w:bookmarkEnd w:id="224"/>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Notes</w:t>
      </w:r>
      <w:r>
        <w:rPr>
          <w:rFonts w:ascii="Arial" w:cs="Arial" w:eastAsia="Arial" w:hAnsi="Arial"/>
          <w:sz w:val="18"/>
          <w:szCs w:val="18"/>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dated July 8, 2020 in respect of the Notes.</w:t>
      </w:r>
    </w:p>
    <w:p>
      <w:pPr>
        <w:spacing w:after="0" w:line="225"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of the Board, Chief Executive Officer, Property Chief Financial Officer, President, any Executive Vice President, Senior Vice President or Vice President, Treasurer or Secretary of the Company or any Directors of the Board or any Person acting in that capacity.</w:t>
      </w:r>
    </w:p>
    <w:p>
      <w:pPr>
        <w:spacing w:after="0" w:line="18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Company by an Officer of the Company which meets the requirements of Section 13.05 hereof.</w:t>
      </w:r>
    </w:p>
    <w:p>
      <w:pPr>
        <w:spacing w:after="0" w:line="170"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acceptable to the Trustee that meets the requirements of Section 13.05 hereof. The counsel may be an employee of or counsel to the Company.</w:t>
      </w:r>
    </w:p>
    <w:p>
      <w:pPr>
        <w:spacing w:after="0" w:line="170" w:lineRule="exact"/>
        <w:rPr>
          <w:sz w:val="20"/>
          <w:szCs w:val="20"/>
          <w:color w:val="auto"/>
        </w:rPr>
      </w:pPr>
    </w:p>
    <w:p>
      <w:pPr>
        <w:ind w:right="3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means, with respect to the Depositary, Euroclear or Clearstream, Luxembourg, a Person who has an account with the Depositary, Euroclear or Clearstream, Luxembourg, respectively (and, with respect to DTC, shall include Euroclear and Clearstream, Luxembourg).</w:t>
      </w:r>
    </w:p>
    <w:p>
      <w:pPr>
        <w:spacing w:after="0" w:line="12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Business</w:t>
      </w:r>
      <w:r>
        <w:rPr>
          <w:rFonts w:ascii="Arial" w:cs="Arial" w:eastAsia="Arial" w:hAnsi="Arial"/>
          <w:sz w:val="17"/>
          <w:szCs w:val="17"/>
          <w:color w:val="auto"/>
        </w:rPr>
        <w:t>” means (1) any businesses, services or activities engaged in by the Company or any of its Restricted Subsidiaries on the Issue Date, including, without limitation, the construction, development and operation of the Property, (2) any gaming, hotel, accommodation, hospitality, transport, tourism, resort, food and beverage, retail, entertainment, cinema / cinematic venue, audio-visual production (including provision of sound stage, recording studio and similar facilities), performance, cultural or related business, development, project, undertaking or venture of any kind in the Macau SAR, and (3) any other businesses, services, activities or undertaking that are necessary for, supportive of, or connected, related, complementary, incidental, ancillary or similar to, any of the foregoing or are extensions or developments of any thereof (including in support of the businesses, services, activities and undertakings of the Melco Resorts group as a whole or any member thereof including through participation in shared and centralized services and activities).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780" w:hanging="392"/>
        <w:spacing w:after="0"/>
        <w:tabs>
          <w:tab w:leader="none" w:pos="17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Investment in cash or Cash Equivalents;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Investment by the Company or any Restricted Subsidiary of the Company in a Person, if as a result of such Investment:</w:t>
      </w:r>
    </w:p>
    <w:p>
      <w:pPr>
        <w:spacing w:after="0" w:line="153" w:lineRule="exact"/>
        <w:rPr>
          <w:rFonts w:ascii="Arial" w:cs="Arial" w:eastAsia="Arial" w:hAnsi="Arial"/>
          <w:sz w:val="16"/>
          <w:szCs w:val="16"/>
          <w:color w:val="auto"/>
        </w:rPr>
      </w:pPr>
    </w:p>
    <w:p>
      <w:pPr>
        <w:ind w:left="2400" w:hanging="433"/>
        <w:spacing w:after="0"/>
        <w:tabs>
          <w:tab w:leader="none" w:pos="24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130" w:lineRule="exact"/>
        <w:rPr>
          <w:rFonts w:ascii="Arial" w:cs="Arial" w:eastAsia="Arial" w:hAnsi="Arial"/>
          <w:sz w:val="18"/>
          <w:szCs w:val="18"/>
          <w:color w:val="auto"/>
        </w:rPr>
      </w:pPr>
    </w:p>
    <w:p>
      <w:pPr>
        <w:ind w:left="2400" w:right="120" w:hanging="433"/>
        <w:spacing w:after="0" w:line="277" w:lineRule="auto"/>
        <w:tabs>
          <w:tab w:leader="none" w:pos="24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62" w:lineRule="exact"/>
        <w:rPr>
          <w:rFonts w:ascii="Arial" w:cs="Arial" w:eastAsia="Arial" w:hAnsi="Arial"/>
          <w:sz w:val="18"/>
          <w:szCs w:val="18"/>
          <w:color w:val="auto"/>
        </w:rPr>
      </w:pPr>
    </w:p>
    <w:p>
      <w:pPr>
        <w:ind w:left="980" w:right="200" w:firstLine="408"/>
        <w:spacing w:after="0" w:line="277" w:lineRule="auto"/>
        <w:tabs>
          <w:tab w:leader="none" w:pos="177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Section 4.10 hereof;</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acquisition of assets or Capital Stock in exchange for the issuance of Equity Interests (other than Disqualified Stock) of the</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25" w:name="page226"/>
    <w:bookmarkEnd w:id="225"/>
    <w:p>
      <w:pPr>
        <w:jc w:val="both"/>
        <w:ind w:right="200" w:firstLine="408"/>
        <w:spacing w:after="0" w:line="259" w:lineRule="auto"/>
        <w:tabs>
          <w:tab w:leader="none" w:pos="791"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Investments received in compromise or resolution of (A) 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8" w:lineRule="exact"/>
        <w:rPr>
          <w:rFonts w:ascii="Arial" w:cs="Arial" w:eastAsia="Arial" w:hAnsi="Arial"/>
          <w:sz w:val="18"/>
          <w:szCs w:val="18"/>
          <w:color w:val="auto"/>
        </w:rPr>
      </w:pPr>
    </w:p>
    <w:p>
      <w:pPr>
        <w:ind w:left="800" w:hanging="392"/>
        <w:spacing w:after="0"/>
        <w:tabs>
          <w:tab w:leader="none" w:pos="8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17" w:lineRule="exact"/>
        <w:rPr>
          <w:rFonts w:ascii="Arial" w:cs="Arial" w:eastAsia="Arial" w:hAnsi="Arial"/>
          <w:sz w:val="18"/>
          <w:szCs w:val="18"/>
          <w:color w:val="auto"/>
        </w:rPr>
      </w:pPr>
    </w:p>
    <w:p>
      <w:pPr>
        <w:ind w:right="20" w:firstLine="408"/>
        <w:spacing w:after="0" w:line="308" w:lineRule="auto"/>
        <w:tabs>
          <w:tab w:leader="none" w:pos="79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loans or advances to employees, officers, or directors made in the ordinary course of business of the Company or any Restricted Subsidiary of the Company in an aggregate principal amount not to exceed US$2.0 million at any one time outstanding;</w:t>
      </w:r>
    </w:p>
    <w:p>
      <w:pPr>
        <w:spacing w:after="0" w:line="38" w:lineRule="exact"/>
        <w:rPr>
          <w:rFonts w:ascii="Arial" w:cs="Arial" w:eastAsia="Arial" w:hAnsi="Arial"/>
          <w:sz w:val="17"/>
          <w:szCs w:val="17"/>
          <w:color w:val="auto"/>
        </w:rPr>
      </w:pPr>
    </w:p>
    <w:p>
      <w:pPr>
        <w:ind w:left="800" w:hanging="392"/>
        <w:spacing w:after="0"/>
        <w:tabs>
          <w:tab w:leader="none" w:pos="8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repurchases of the Notes;</w:t>
      </w:r>
    </w:p>
    <w:p>
      <w:pPr>
        <w:spacing w:after="0" w:line="117" w:lineRule="exact"/>
        <w:rPr>
          <w:rFonts w:ascii="Arial" w:cs="Arial" w:eastAsia="Arial" w:hAnsi="Arial"/>
          <w:sz w:val="18"/>
          <w:szCs w:val="18"/>
          <w:color w:val="auto"/>
        </w:rPr>
      </w:pPr>
    </w:p>
    <w:p>
      <w:pPr>
        <w:ind w:firstLine="408"/>
        <w:spacing w:after="0" w:line="296" w:lineRule="auto"/>
        <w:tabs>
          <w:tab w:leader="none" w:pos="8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any Investments consisting of gaming credit extended to customers and junket operators in the ordinary course of business and consistent with applicable law and any Investments made or deemed to be made in connection with or through any transactions or arrangements involving contractual rights under, pursuant to or in connection with (i) the Services and Right to Use Agreement, the Reinvestment Agreement or the MSA and (ii) any transaction or arrangements made pursuant to clause (10) of the definition of “Asset Sale”, including any amendments, modifications, supplements, extensions, replacements, terminations or renewals;</w:t>
      </w:r>
    </w:p>
    <w:p>
      <w:pPr>
        <w:spacing w:after="0" w:line="53" w:lineRule="exact"/>
        <w:rPr>
          <w:rFonts w:ascii="Arial" w:cs="Arial" w:eastAsia="Arial" w:hAnsi="Arial"/>
          <w:sz w:val="16"/>
          <w:szCs w:val="16"/>
          <w:color w:val="auto"/>
        </w:rPr>
      </w:pPr>
    </w:p>
    <w:p>
      <w:pPr>
        <w:ind w:left="880" w:hanging="472"/>
        <w:spacing w:after="0"/>
        <w:tabs>
          <w:tab w:leader="none" w:pos="8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advances to contractors and suppliers and accounts, trade and notes receivables created or acquired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right="640" w:firstLine="408"/>
        <w:spacing w:after="0" w:line="277" w:lineRule="auto"/>
        <w:tabs>
          <w:tab w:leader="none" w:pos="8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receivables owing to the Company or any of its Restricted Subsidiaries if created or acquired in the ordinary course of business and payable or dischargeable in accordance with customary trade terms;</w:t>
      </w:r>
    </w:p>
    <w:p>
      <w:pPr>
        <w:spacing w:after="0" w:line="62" w:lineRule="exact"/>
        <w:rPr>
          <w:rFonts w:ascii="Arial" w:cs="Arial" w:eastAsia="Arial" w:hAnsi="Arial"/>
          <w:sz w:val="18"/>
          <w:szCs w:val="18"/>
          <w:color w:val="auto"/>
        </w:rPr>
      </w:pPr>
    </w:p>
    <w:p>
      <w:pPr>
        <w:ind w:right="20" w:firstLine="408"/>
        <w:spacing w:after="0" w:line="259" w:lineRule="auto"/>
        <w:tabs>
          <w:tab w:leader="none" w:pos="8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any Investment existing on the Issue Date or made pursuant to binding commitments in effect on the Issue Date or an Investment consisting of any extension, modification or renewal of any Investment existing on the Issue Date;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Investment may be increased (x) as required by the terms of such Investment as in existence on the Issue Date or (y) as otherwise permitted under this Indenture;</w:t>
      </w:r>
    </w:p>
    <w:p>
      <w:pPr>
        <w:spacing w:after="0" w:line="78" w:lineRule="exact"/>
        <w:rPr>
          <w:rFonts w:ascii="Arial" w:cs="Arial" w:eastAsia="Arial" w:hAnsi="Arial"/>
          <w:sz w:val="18"/>
          <w:szCs w:val="18"/>
          <w:color w:val="auto"/>
        </w:rPr>
      </w:pPr>
    </w:p>
    <w:p>
      <w:pPr>
        <w:jc w:val="both"/>
        <w:ind w:right="120" w:firstLine="408"/>
        <w:spacing w:after="0" w:line="263" w:lineRule="auto"/>
        <w:tabs>
          <w:tab w:leader="none" w:pos="8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Investments in prepaid expenses, negotiable instruments held for collection, deposits made in connection with self-insurance, and performance and other similar deposits and prepayments made in connection with an acquisition of assets or property in the ordinary course of business by the Company or any Restricted Subsidiary of the Company;</w:t>
      </w:r>
    </w:p>
    <w:p>
      <w:pPr>
        <w:spacing w:after="0" w:line="75" w:lineRule="exact"/>
        <w:rPr>
          <w:rFonts w:ascii="Arial" w:cs="Arial" w:eastAsia="Arial" w:hAnsi="Arial"/>
          <w:sz w:val="18"/>
          <w:szCs w:val="18"/>
          <w:color w:val="auto"/>
        </w:rPr>
      </w:pPr>
    </w:p>
    <w:p>
      <w:pPr>
        <w:ind w:right="140" w:firstLine="408"/>
        <w:spacing w:after="0" w:line="263" w:lineRule="auto"/>
        <w:tabs>
          <w:tab w:leader="none" w:pos="8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deposits made by the Company or any Restricted Subsidiary of the Company in the ordinary course of business to comply with statutory or regulatory obligations (including land grants) to maintain deposits for the purposes specified by the applicable statute or regulation (including land grants) from time to time;</w:t>
      </w:r>
    </w:p>
    <w:p>
      <w:pPr>
        <w:spacing w:after="0" w:line="75" w:lineRule="exact"/>
        <w:rPr>
          <w:rFonts w:ascii="Arial" w:cs="Arial" w:eastAsia="Arial" w:hAnsi="Arial"/>
          <w:sz w:val="18"/>
          <w:szCs w:val="18"/>
          <w:color w:val="auto"/>
        </w:rPr>
      </w:pPr>
    </w:p>
    <w:p>
      <w:pPr>
        <w:ind w:right="100" w:firstLine="408"/>
        <w:spacing w:after="0" w:line="342" w:lineRule="auto"/>
        <w:tabs>
          <w:tab w:leader="none" w:pos="8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any Investment consisting of a Guarantee permitted by Section 4.09 hereof and performance guarantees that do not constitute Indebtedness entered into by the Company or any Restricted Subsidiary of the Company in the ordinary course of business;</w:t>
      </w:r>
    </w:p>
    <w:p>
      <w:pPr>
        <w:spacing w:after="0" w:line="15" w:lineRule="exact"/>
        <w:rPr>
          <w:rFonts w:ascii="Arial" w:cs="Arial" w:eastAsia="Arial" w:hAnsi="Arial"/>
          <w:sz w:val="16"/>
          <w:szCs w:val="16"/>
          <w:color w:val="auto"/>
        </w:rPr>
      </w:pPr>
    </w:p>
    <w:p>
      <w:pPr>
        <w:ind w:right="80" w:firstLine="408"/>
        <w:spacing w:after="0" w:line="263" w:lineRule="auto"/>
        <w:tabs>
          <w:tab w:leader="none" w:pos="8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to the extent constituting an Investment, licenses of intellectual property rights granted by the Company or any Restricted Subsidiary of the Company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grant does not interfere in any material respect with the ordinary conduct of the business of such Person;</w:t>
      </w:r>
    </w:p>
    <w:p>
      <w:pPr>
        <w:spacing w:after="0" w:line="75" w:lineRule="exact"/>
        <w:rPr>
          <w:rFonts w:ascii="Arial" w:cs="Arial" w:eastAsia="Arial" w:hAnsi="Arial"/>
          <w:sz w:val="18"/>
          <w:szCs w:val="18"/>
          <w:color w:val="auto"/>
        </w:rPr>
      </w:pPr>
    </w:p>
    <w:p>
      <w:pPr>
        <w:ind w:right="160" w:firstLine="408"/>
        <w:spacing w:after="0" w:line="277" w:lineRule="auto"/>
        <w:tabs>
          <w:tab w:leader="none" w:pos="8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materials, services or equipment or purchases of contract rights or licenses or leases of intellectual property, in each case, in the ordinary course of business;</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20"/>
          </w:cols>
          <w:pgMar w:left="1420" w:top="274" w:right="459" w:bottom="1440" w:gutter="0" w:footer="0" w:header="0"/>
        </w:sectPr>
      </w:pPr>
    </w:p>
    <w:bookmarkStart w:id="226" w:name="page227"/>
    <w:bookmarkEnd w:id="226"/>
    <w:p>
      <w:pPr>
        <w:ind w:right="40" w:firstLine="408"/>
        <w:spacing w:after="0" w:line="277" w:lineRule="auto"/>
        <w:tabs>
          <w:tab w:leader="none" w:pos="8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held by a Person that becomes a Restricted Subsidiary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Investments were not acquired in contemplation of the acquisition of such Person;</w:t>
      </w:r>
    </w:p>
    <w:p>
      <w:pPr>
        <w:spacing w:after="0" w:line="62" w:lineRule="exact"/>
        <w:rPr>
          <w:rFonts w:ascii="Arial" w:cs="Arial" w:eastAsia="Arial" w:hAnsi="Arial"/>
          <w:sz w:val="18"/>
          <w:szCs w:val="18"/>
          <w:color w:val="auto"/>
        </w:rPr>
      </w:pPr>
    </w:p>
    <w:p>
      <w:pPr>
        <w:ind w:left="880" w:hanging="472"/>
        <w:spacing w:after="0"/>
        <w:tabs>
          <w:tab w:leader="none" w:pos="8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 Investment in an Unrestricted Subsidiary consisting solely of an Investment in another Unrestricted Subsidiary;</w:t>
      </w:r>
    </w:p>
    <w:p>
      <w:pPr>
        <w:spacing w:after="0" w:line="117" w:lineRule="exact"/>
        <w:rPr>
          <w:rFonts w:ascii="Arial" w:cs="Arial" w:eastAsia="Arial" w:hAnsi="Arial"/>
          <w:sz w:val="18"/>
          <w:szCs w:val="18"/>
          <w:color w:val="auto"/>
        </w:rPr>
      </w:pPr>
    </w:p>
    <w:p>
      <w:pPr>
        <w:ind w:left="880" w:hanging="472"/>
        <w:spacing w:after="0"/>
        <w:tabs>
          <w:tab w:leader="none" w:pos="88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pledges or deposits (x) with respect to leases or utilities provided to third parties in the ordinary course of business or</w:t>
      </w:r>
    </w:p>
    <w:p>
      <w:pPr>
        <w:spacing w:after="0" w:line="34" w:lineRule="exact"/>
        <w:rPr>
          <w:rFonts w:ascii="Arial" w:cs="Arial" w:eastAsia="Arial" w:hAnsi="Arial"/>
          <w:sz w:val="17"/>
          <w:szCs w:val="17"/>
          <w:color w:val="auto"/>
        </w:rPr>
      </w:pPr>
    </w:p>
    <w:p>
      <w:pPr>
        <w:ind w:left="260" w:hanging="253"/>
        <w:spacing w:after="0"/>
        <w:tabs>
          <w:tab w:leader="none" w:pos="2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otherwise described in the definition of “Permitted Liens”;</w:t>
      </w:r>
    </w:p>
    <w:p>
      <w:pPr>
        <w:spacing w:after="0" w:line="102" w:lineRule="exact"/>
        <w:rPr>
          <w:rFonts w:ascii="Arial" w:cs="Arial" w:eastAsia="Arial" w:hAnsi="Arial"/>
          <w:sz w:val="18"/>
          <w:szCs w:val="18"/>
          <w:color w:val="auto"/>
        </w:rPr>
      </w:pPr>
    </w:p>
    <w:p>
      <w:pPr>
        <w:ind w:right="280" w:firstLine="408"/>
        <w:spacing w:after="0" w:line="277" w:lineRule="auto"/>
        <w:tabs>
          <w:tab w:leader="none" w:pos="8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Investments (other than Permitted Investments) made with Excluded Contributions;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amount of Excluded Contributions made will not be included in the calculation of Section 4.07(a)(4)(C)(ii) hereof;</w:t>
      </w:r>
    </w:p>
    <w:p>
      <w:pPr>
        <w:spacing w:after="0" w:line="62" w:lineRule="exact"/>
        <w:rPr>
          <w:rFonts w:ascii="Arial" w:cs="Arial" w:eastAsia="Arial" w:hAnsi="Arial"/>
          <w:sz w:val="18"/>
          <w:szCs w:val="18"/>
          <w:color w:val="auto"/>
        </w:rPr>
      </w:pPr>
    </w:p>
    <w:p>
      <w:pPr>
        <w:ind w:right="140" w:firstLine="408"/>
        <w:spacing w:after="0" w:line="277" w:lineRule="auto"/>
        <w:tabs>
          <w:tab w:leader="none" w:pos="8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arrangements with other Persons; and</w:t>
      </w:r>
    </w:p>
    <w:p>
      <w:pPr>
        <w:spacing w:after="0" w:line="62" w:lineRule="exact"/>
        <w:rPr>
          <w:rFonts w:ascii="Arial" w:cs="Arial" w:eastAsia="Arial" w:hAnsi="Arial"/>
          <w:sz w:val="18"/>
          <w:szCs w:val="18"/>
          <w:color w:val="auto"/>
        </w:rPr>
      </w:pPr>
    </w:p>
    <w:p>
      <w:pPr>
        <w:ind w:firstLine="408"/>
        <w:spacing w:after="0" w:line="286" w:lineRule="auto"/>
        <w:tabs>
          <w:tab w:leader="none" w:pos="88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other Investments in any Person having an aggregate Fair Market Value (measured on the date each such Investment was made and without giving effect to subsequent changes in value), when taken together with all other Investments made pursuant to this clause (24) under the Indenture that are at the time outstanding not to exceed US$5.0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800" w:hanging="392"/>
        <w:spacing w:after="0"/>
        <w:tabs>
          <w:tab w:leader="none" w:pos="8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to secure Indebtedness permitted by Section 4.09(b)(1)(i)(x) and Section 4.09(b)(3)(a) hereof;</w:t>
      </w:r>
    </w:p>
    <w:p>
      <w:pPr>
        <w:spacing w:after="0" w:line="117" w:lineRule="exact"/>
        <w:rPr>
          <w:rFonts w:ascii="Arial" w:cs="Arial" w:eastAsia="Arial" w:hAnsi="Arial"/>
          <w:sz w:val="18"/>
          <w:szCs w:val="18"/>
          <w:color w:val="auto"/>
        </w:rPr>
      </w:pPr>
    </w:p>
    <w:p>
      <w:pPr>
        <w:ind w:left="800" w:hanging="392"/>
        <w:spacing w:after="0"/>
        <w:tabs>
          <w:tab w:leader="none" w:pos="8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(including any Additional Notes) or the Note Guarantees;</w:t>
      </w:r>
    </w:p>
    <w:p>
      <w:pPr>
        <w:spacing w:after="0" w:line="117" w:lineRule="exact"/>
        <w:rPr>
          <w:rFonts w:ascii="Arial" w:cs="Arial" w:eastAsia="Arial" w:hAnsi="Arial"/>
          <w:sz w:val="18"/>
          <w:szCs w:val="18"/>
          <w:color w:val="auto"/>
        </w:rPr>
      </w:pPr>
    </w:p>
    <w:p>
      <w:pPr>
        <w:ind w:left="800" w:hanging="392"/>
        <w:spacing w:after="0"/>
        <w:tabs>
          <w:tab w:leader="none" w:pos="8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in favor of the Company or the Subsidiary Guarantors;</w:t>
      </w:r>
    </w:p>
    <w:p>
      <w:pPr>
        <w:spacing w:after="0" w:line="117" w:lineRule="exact"/>
        <w:rPr>
          <w:rFonts w:ascii="Arial" w:cs="Arial" w:eastAsia="Arial" w:hAnsi="Arial"/>
          <w:sz w:val="18"/>
          <w:szCs w:val="18"/>
          <w:color w:val="auto"/>
        </w:rPr>
      </w:pPr>
    </w:p>
    <w:p>
      <w:pPr>
        <w:ind w:right="100" w:firstLine="408"/>
        <w:spacing w:after="0" w:line="259" w:lineRule="auto"/>
        <w:tabs>
          <w:tab w:leader="none" w:pos="79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the Company or any Subsidiary of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were not created in connection with, or in contemplation of, such merger or consolidation and do not extend to any assets other than those of the Person merged into or consolidated with the Company or the Subsidiary;</w:t>
      </w:r>
    </w:p>
    <w:p>
      <w:pPr>
        <w:spacing w:after="0" w:line="78" w:lineRule="exact"/>
        <w:rPr>
          <w:rFonts w:ascii="Arial" w:cs="Arial" w:eastAsia="Arial" w:hAnsi="Arial"/>
          <w:sz w:val="18"/>
          <w:szCs w:val="18"/>
          <w:color w:val="auto"/>
        </w:rPr>
      </w:pPr>
    </w:p>
    <w:p>
      <w:pPr>
        <w:ind w:right="280" w:firstLine="408"/>
        <w:spacing w:after="0" w:line="263" w:lineRule="auto"/>
        <w:tabs>
          <w:tab w:leader="none" w:pos="79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Liens on property (including Capital Stock) existing at the time of acquisition of the property by the Company or any Subsidiary of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were in existence prior to, such acquisition, and not incurred in contemplation of, such acquisition;</w:t>
      </w:r>
    </w:p>
    <w:p>
      <w:pPr>
        <w:spacing w:after="0" w:line="75" w:lineRule="exact"/>
        <w:rPr>
          <w:rFonts w:ascii="Arial" w:cs="Arial" w:eastAsia="Arial" w:hAnsi="Arial"/>
          <w:sz w:val="18"/>
          <w:szCs w:val="18"/>
          <w:color w:val="auto"/>
        </w:rPr>
      </w:pPr>
    </w:p>
    <w:p>
      <w:pPr>
        <w:ind w:right="40" w:firstLine="408"/>
        <w:spacing w:after="0" w:line="257" w:lineRule="auto"/>
        <w:tabs>
          <w:tab w:leader="none" w:pos="79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workmen’s compensation or employment obligations or other obligations of a like nature, including any Lien securing letters of credit issued in the ordinary course of business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79" w:lineRule="exact"/>
        <w:rPr>
          <w:rFonts w:ascii="Arial" w:cs="Arial" w:eastAsia="Arial" w:hAnsi="Arial"/>
          <w:sz w:val="18"/>
          <w:szCs w:val="18"/>
          <w:color w:val="auto"/>
        </w:rPr>
      </w:pPr>
    </w:p>
    <w:p>
      <w:pPr>
        <w:ind w:firstLine="408"/>
        <w:spacing w:after="0" w:line="263" w:lineRule="auto"/>
        <w:tabs>
          <w:tab w:leader="none" w:pos="79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Section 4.09(b)(4) covering only the assets acquired with or financed by such Indebtedness and directly related assets such as proceeds (including insurance proceeds), improvements, replacements and substitutions thereto;</w:t>
      </w:r>
    </w:p>
    <w:p>
      <w:pPr>
        <w:spacing w:after="0" w:line="75" w:lineRule="exact"/>
        <w:rPr>
          <w:rFonts w:ascii="Arial" w:cs="Arial" w:eastAsia="Arial" w:hAnsi="Arial"/>
          <w:sz w:val="18"/>
          <w:szCs w:val="18"/>
          <w:color w:val="auto"/>
        </w:rPr>
      </w:pPr>
    </w:p>
    <w:p>
      <w:pPr>
        <w:ind w:left="800" w:hanging="392"/>
        <w:spacing w:after="0"/>
        <w:tabs>
          <w:tab w:leader="none" w:pos="8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020"/>
          </w:cols>
          <w:pgMar w:left="1420" w:top="274" w:right="459" w:bottom="1440" w:gutter="0" w:footer="0" w:header="0"/>
        </w:sectPr>
      </w:pPr>
    </w:p>
    <w:bookmarkStart w:id="227" w:name="page228"/>
    <w:bookmarkEnd w:id="227"/>
    <w:p>
      <w:pPr>
        <w:ind w:right="120" w:firstLine="408"/>
        <w:spacing w:after="0" w:line="263" w:lineRule="auto"/>
        <w:tabs>
          <w:tab w:leader="none" w:pos="791"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is required in conformity with U.S. GAAP has been made therefor;</w:t>
      </w:r>
    </w:p>
    <w:p>
      <w:pPr>
        <w:spacing w:after="0" w:line="75" w:lineRule="exact"/>
        <w:rPr>
          <w:rFonts w:ascii="Arial" w:cs="Arial" w:eastAsia="Arial" w:hAnsi="Arial"/>
          <w:sz w:val="18"/>
          <w:szCs w:val="18"/>
          <w:color w:val="auto"/>
        </w:rPr>
      </w:pPr>
    </w:p>
    <w:p>
      <w:pPr>
        <w:ind w:right="20" w:firstLine="408"/>
        <w:spacing w:after="0" w:line="277" w:lineRule="auto"/>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landlord’s, suppliers’ and mechanics’ Liens, in each case, incurred in the ordinary course of business;</w:t>
      </w:r>
    </w:p>
    <w:p>
      <w:pPr>
        <w:spacing w:after="0" w:line="62" w:lineRule="exact"/>
        <w:rPr>
          <w:rFonts w:ascii="Arial" w:cs="Arial" w:eastAsia="Arial" w:hAnsi="Arial"/>
          <w:sz w:val="18"/>
          <w:szCs w:val="18"/>
          <w:color w:val="auto"/>
        </w:rPr>
      </w:pPr>
    </w:p>
    <w:p>
      <w:pPr>
        <w:ind w:right="20" w:firstLine="408"/>
        <w:spacing w:after="0" w:line="259" w:lineRule="auto"/>
        <w:tabs>
          <w:tab w:leader="none" w:pos="87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78" w:lineRule="exact"/>
        <w:rPr>
          <w:rFonts w:ascii="Arial" w:cs="Arial" w:eastAsia="Arial" w:hAnsi="Arial"/>
          <w:sz w:val="18"/>
          <w:szCs w:val="18"/>
          <w:color w:val="auto"/>
        </w:rPr>
      </w:pPr>
    </w:p>
    <w:p>
      <w:pPr>
        <w:ind w:left="880" w:hanging="472"/>
        <w:spacing w:after="0"/>
        <w:tabs>
          <w:tab w:leader="none" w:pos="8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Liens to secure any Permitted Refinancing Indebtedness permitted to be Incurred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116" w:lineRule="exact"/>
        <w:rPr>
          <w:rFonts w:ascii="Arial" w:cs="Arial" w:eastAsia="Arial" w:hAnsi="Arial"/>
          <w:sz w:val="16"/>
          <w:szCs w:val="16"/>
          <w:color w:val="auto"/>
        </w:rPr>
      </w:pPr>
    </w:p>
    <w:p>
      <w:pPr>
        <w:ind w:left="1420" w:hanging="433"/>
        <w:spacing w:after="0" w:line="263" w:lineRule="auto"/>
        <w:tabs>
          <w:tab w:leader="none" w:pos="14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89" w:lineRule="exact"/>
        <w:rPr>
          <w:rFonts w:ascii="Arial" w:cs="Arial" w:eastAsia="Arial" w:hAnsi="Arial"/>
          <w:sz w:val="18"/>
          <w:szCs w:val="18"/>
          <w:color w:val="auto"/>
        </w:rPr>
      </w:pPr>
    </w:p>
    <w:p>
      <w:pPr>
        <w:ind w:left="1420" w:right="240" w:hanging="433"/>
        <w:spacing w:after="0" w:line="259" w:lineRule="auto"/>
        <w:tabs>
          <w:tab w:leader="none" w:pos="14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78" w:lineRule="exact"/>
        <w:rPr>
          <w:rFonts w:ascii="Arial" w:cs="Arial" w:eastAsia="Arial" w:hAnsi="Arial"/>
          <w:sz w:val="18"/>
          <w:szCs w:val="18"/>
          <w:color w:val="auto"/>
        </w:rPr>
      </w:pPr>
    </w:p>
    <w:p>
      <w:pPr>
        <w:ind w:right="40" w:firstLine="408"/>
        <w:spacing w:after="0" w:line="277" w:lineRule="auto"/>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securing Hedging Obligations so long as the related Indebtedness is, and is permitted to be under this Indenture, secured by a Lien on the same assets or property securing such Hedging Obligations;</w:t>
      </w:r>
    </w:p>
    <w:p>
      <w:pPr>
        <w:spacing w:after="0" w:line="62" w:lineRule="exact"/>
        <w:rPr>
          <w:rFonts w:ascii="Arial" w:cs="Arial" w:eastAsia="Arial" w:hAnsi="Arial"/>
          <w:sz w:val="18"/>
          <w:szCs w:val="18"/>
          <w:color w:val="auto"/>
        </w:rPr>
      </w:pPr>
    </w:p>
    <w:p>
      <w:pPr>
        <w:ind w:right="160" w:firstLine="408"/>
        <w:spacing w:after="0" w:line="257" w:lineRule="auto"/>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that are contractual rights of set- off (i) relating to the establishment of depository relations with banks not given in connection with the money borrowed, (ii) relating to pooled deposit or sweep accounts of the Company or any of its Restricted Subsidiaries to permit satisfaction of overdraft or similar obligations incurred in the ordinary course of business of the Company and its Restricted Subsidiaries or (iii) relating to purchase orders and other agreements entered into with customers of the Company or any of its Restricted Subsidiaries in the ordinary course of business;</w:t>
      </w:r>
    </w:p>
    <w:p>
      <w:pPr>
        <w:spacing w:after="0" w:line="79" w:lineRule="exact"/>
        <w:rPr>
          <w:rFonts w:ascii="Arial" w:cs="Arial" w:eastAsia="Arial" w:hAnsi="Arial"/>
          <w:sz w:val="18"/>
          <w:szCs w:val="18"/>
          <w:color w:val="auto"/>
        </w:rPr>
      </w:pPr>
    </w:p>
    <w:p>
      <w:pPr>
        <w:jc w:val="both"/>
        <w:ind w:right="160" w:firstLine="408"/>
        <w:spacing w:after="0" w:line="263" w:lineRule="auto"/>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Liens arising out of judgments against such Person not giving rise to an Event of Default, with respect to which such Person shall then be proceeding with an appeal or other proceedings for review,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shall be required in conformity with U.S. GAAP shall have been made therefor;</w:t>
      </w:r>
    </w:p>
    <w:p>
      <w:pPr>
        <w:spacing w:after="0" w:line="75" w:lineRule="exact"/>
        <w:rPr>
          <w:rFonts w:ascii="Arial" w:cs="Arial" w:eastAsia="Arial" w:hAnsi="Arial"/>
          <w:sz w:val="18"/>
          <w:szCs w:val="18"/>
          <w:color w:val="auto"/>
        </w:rPr>
      </w:pPr>
    </w:p>
    <w:p>
      <w:pPr>
        <w:ind w:left="880" w:hanging="472"/>
        <w:spacing w:after="0"/>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granted to the Trustee for its compensation and indemnities pursuant to this Indenture;</w:t>
      </w:r>
    </w:p>
    <w:p>
      <w:pPr>
        <w:spacing w:after="0" w:line="117" w:lineRule="exact"/>
        <w:rPr>
          <w:rFonts w:ascii="Arial" w:cs="Arial" w:eastAsia="Arial" w:hAnsi="Arial"/>
          <w:sz w:val="18"/>
          <w:szCs w:val="18"/>
          <w:color w:val="auto"/>
        </w:rPr>
      </w:pPr>
    </w:p>
    <w:p>
      <w:pPr>
        <w:ind w:right="400" w:firstLine="408"/>
        <w:spacing w:after="0" w:line="342" w:lineRule="auto"/>
        <w:tabs>
          <w:tab w:leader="none" w:pos="8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Liens arising out of or in connection with licenses, sublicenses, leases (other than capital leases) and subleases (including rights to use) of assets (including, without limitation, intellectual property) entered into in the ordinary course of business;</w:t>
      </w:r>
    </w:p>
    <w:p>
      <w:pPr>
        <w:spacing w:after="0" w:line="15" w:lineRule="exact"/>
        <w:rPr>
          <w:rFonts w:ascii="Arial" w:cs="Arial" w:eastAsia="Arial" w:hAnsi="Arial"/>
          <w:sz w:val="16"/>
          <w:szCs w:val="16"/>
          <w:color w:val="auto"/>
        </w:rPr>
      </w:pPr>
    </w:p>
    <w:p>
      <w:pPr>
        <w:ind w:right="180" w:firstLine="408"/>
        <w:spacing w:after="0" w:line="263" w:lineRule="auto"/>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the Company or any of its Restricted Subsidiaries securing obligations in respect of bankers’ acceptances issued or created to facilitate the purchase, shipment or storage of such inventory or other goods in the ordinary course of business;</w:t>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20"/>
          </w:cols>
          <w:pgMar w:left="1420" w:top="274" w:right="459" w:bottom="1440" w:gutter="0" w:footer="0" w:header="0"/>
        </w:sectPr>
      </w:pPr>
    </w:p>
    <w:bookmarkStart w:id="228" w:name="page229"/>
    <w:bookmarkEnd w:id="228"/>
    <w:p>
      <w:pPr>
        <w:ind w:left="980" w:right="60" w:firstLine="408"/>
        <w:spacing w:after="0" w:line="277" w:lineRule="auto"/>
        <w:tabs>
          <w:tab w:leader="none" w:pos="18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arising out of conditional sale, title retention, hire purchase, consignment or similar arrangement for the sale of goods in the ordinary course of business;</w:t>
      </w:r>
    </w:p>
    <w:p>
      <w:pPr>
        <w:spacing w:after="0" w:line="62" w:lineRule="exact"/>
        <w:rPr>
          <w:rFonts w:ascii="Arial" w:cs="Arial" w:eastAsia="Arial" w:hAnsi="Arial"/>
          <w:sz w:val="18"/>
          <w:szCs w:val="18"/>
          <w:color w:val="auto"/>
        </w:rPr>
      </w:pPr>
    </w:p>
    <w:p>
      <w:pPr>
        <w:ind w:left="980" w:right="300" w:firstLine="408"/>
        <w:spacing w:after="0" w:line="259" w:lineRule="auto"/>
        <w:tabs>
          <w:tab w:leader="none" w:pos="18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Liens arising under customary provisions limiting the disposition or distribution of assets or property or any related restrictions thereon in operating agreements, joint venture agreements, partnership agreements, contracts for sale and other agreements arising in the ordinary course of business;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do not extend to any assets of the Company or any of its Restricted Subsidiaries other than the assets subject to such agreements or contracts;</w:t>
      </w:r>
    </w:p>
    <w:p>
      <w:pPr>
        <w:spacing w:after="0" w:line="78" w:lineRule="exact"/>
        <w:rPr>
          <w:rFonts w:ascii="Arial" w:cs="Arial" w:eastAsia="Arial" w:hAnsi="Arial"/>
          <w:sz w:val="18"/>
          <w:szCs w:val="18"/>
          <w:color w:val="auto"/>
        </w:rPr>
      </w:pPr>
    </w:p>
    <w:p>
      <w:pPr>
        <w:ind w:left="1860" w:hanging="472"/>
        <w:spacing w:after="0"/>
        <w:tabs>
          <w:tab w:leader="none" w:pos="18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on 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1860" w:hanging="472"/>
        <w:spacing w:after="0"/>
        <w:tabs>
          <w:tab w:leader="none" w:pos="18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on the Equity Interests of Unrestricted Subsidiaries;</w:t>
      </w:r>
    </w:p>
    <w:p>
      <w:pPr>
        <w:spacing w:after="0" w:line="117" w:lineRule="exact"/>
        <w:rPr>
          <w:rFonts w:ascii="Arial" w:cs="Arial" w:eastAsia="Arial" w:hAnsi="Arial"/>
          <w:sz w:val="18"/>
          <w:szCs w:val="18"/>
          <w:color w:val="auto"/>
        </w:rPr>
      </w:pPr>
    </w:p>
    <w:p>
      <w:pPr>
        <w:ind w:left="980" w:right="520" w:firstLine="408"/>
        <w:spacing w:after="0" w:line="342" w:lineRule="auto"/>
        <w:tabs>
          <w:tab w:leader="none" w:pos="18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Liens created or Incurred under, pursuant to or in connection with the Services and Right to Use Agreement or the Reinvestment Agreement, including Liens on any revenues or receipts thereunder or any accounts created or maintained thereunder;</w:t>
      </w:r>
    </w:p>
    <w:p>
      <w:pPr>
        <w:spacing w:after="0" w:line="15" w:lineRule="exact"/>
        <w:rPr>
          <w:rFonts w:ascii="Arial" w:cs="Arial" w:eastAsia="Arial" w:hAnsi="Arial"/>
          <w:sz w:val="16"/>
          <w:szCs w:val="16"/>
          <w:color w:val="auto"/>
        </w:rPr>
      </w:pPr>
    </w:p>
    <w:p>
      <w:pPr>
        <w:ind w:left="980" w:right="100" w:firstLine="408"/>
        <w:spacing w:after="0" w:line="277" w:lineRule="auto"/>
        <w:tabs>
          <w:tab w:leader="none" w:pos="18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limited recourse Liens in respect of the ownership interests in, or assets owned by, any joint ventures which are not Restricted Subsidiaries of the Company securing obligations of such joint ventures;</w:t>
      </w:r>
    </w:p>
    <w:p>
      <w:pPr>
        <w:spacing w:after="0" w:line="62" w:lineRule="exact"/>
        <w:rPr>
          <w:rFonts w:ascii="Arial" w:cs="Arial" w:eastAsia="Arial" w:hAnsi="Arial"/>
          <w:sz w:val="18"/>
          <w:szCs w:val="18"/>
          <w:color w:val="auto"/>
        </w:rPr>
      </w:pPr>
    </w:p>
    <w:p>
      <w:pPr>
        <w:ind w:left="1920" w:hanging="532"/>
        <w:spacing w:after="0"/>
        <w:tabs>
          <w:tab w:leader="none" w:pos="19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securing Indebtedness Incurred pursuant to Section 4.09(b)(17) hereof;</w:t>
      </w:r>
    </w:p>
    <w:p>
      <w:pPr>
        <w:spacing w:after="0" w:line="117" w:lineRule="exact"/>
        <w:rPr>
          <w:rFonts w:ascii="Arial" w:cs="Arial" w:eastAsia="Arial" w:hAnsi="Arial"/>
          <w:sz w:val="18"/>
          <w:szCs w:val="18"/>
          <w:color w:val="auto"/>
        </w:rPr>
      </w:pPr>
    </w:p>
    <w:p>
      <w:pPr>
        <w:ind w:left="980" w:right="820" w:firstLine="408"/>
        <w:spacing w:after="0" w:line="277" w:lineRule="auto"/>
        <w:tabs>
          <w:tab w:leader="none" w:pos="18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Company or any Subsidiary of the Company with respect to Obligations that do not exceed US$5.0 million at any one time outstanding; and</w:t>
      </w:r>
    </w:p>
    <w:p>
      <w:pPr>
        <w:spacing w:after="0" w:line="62" w:lineRule="exact"/>
        <w:rPr>
          <w:rFonts w:ascii="Arial" w:cs="Arial" w:eastAsia="Arial" w:hAnsi="Arial"/>
          <w:sz w:val="18"/>
          <w:szCs w:val="18"/>
          <w:color w:val="auto"/>
        </w:rPr>
      </w:pPr>
    </w:p>
    <w:p>
      <w:pPr>
        <w:ind w:left="980" w:right="320" w:firstLine="408"/>
        <w:spacing w:after="0" w:line="259" w:lineRule="auto"/>
        <w:tabs>
          <w:tab w:leader="none" w:pos="18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securing obligations under a debt service reserve account or interest reserve account (including all dividends, instruments, cash and Cash Equivalents and other property, as applicable, on deposit in such account) established for the benefit of creditors securing Indebtedness to the extent such debt service reserve account or interest reserve account is established in the ordinary course of business consistent with past practice.</w:t>
      </w:r>
    </w:p>
    <w:p>
      <w:pPr>
        <w:spacing w:after="0" w:line="187"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the Company or any of its Restricted Subsidiaries issued in exchange for, or the net proceeds of which are used to renew, refund, refinance, replace, defease or discharge other Indebtedness of the Company or any of its Restricted Subsidiaries (other than intercompany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6" w:lineRule="exact"/>
        <w:rPr>
          <w:sz w:val="20"/>
          <w:szCs w:val="20"/>
          <w:color w:val="auto"/>
        </w:rPr>
      </w:pPr>
    </w:p>
    <w:p>
      <w:pPr>
        <w:ind w:left="980" w:firstLine="408"/>
        <w:spacing w:after="0" w:line="311" w:lineRule="auto"/>
        <w:tabs>
          <w:tab w:leader="none" w:pos="177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40" w:lineRule="exact"/>
        <w:rPr>
          <w:rFonts w:ascii="Arial" w:cs="Arial" w:eastAsia="Arial" w:hAnsi="Arial"/>
          <w:sz w:val="16"/>
          <w:szCs w:val="16"/>
          <w:color w:val="auto"/>
        </w:rPr>
      </w:pPr>
    </w:p>
    <w:p>
      <w:pPr>
        <w:ind w:left="980" w:right="320" w:firstLine="408"/>
        <w:spacing w:after="0" w:line="263" w:lineRule="auto"/>
        <w:tabs>
          <w:tab w:leader="none" w:pos="177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75" w:lineRule="exact"/>
        <w:rPr>
          <w:rFonts w:ascii="Arial" w:cs="Arial" w:eastAsia="Arial" w:hAnsi="Arial"/>
          <w:sz w:val="18"/>
          <w:szCs w:val="18"/>
          <w:color w:val="auto"/>
        </w:rPr>
      </w:pPr>
    </w:p>
    <w:p>
      <w:pPr>
        <w:ind w:left="980" w:right="20" w:firstLine="408"/>
        <w:spacing w:after="0" w:line="301" w:lineRule="auto"/>
        <w:tabs>
          <w:tab w:leader="none" w:pos="177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the Indebtedness being renewed, refunded, refinanced, replaced, defeased or discharged is subordinated in right of payment to the Notes or the Note Guarantees, such Permitted Refinancing Indebtedness has a final maturity date later than the final maturity date of, and is subordinated in right of payment to, the Notes and the Note Guarantees on terms at least as favorable to the Holders as those contained in the documentation governing the Indebtedness being renewed, refunded, refinanced, replaced, defeased or discharged;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29" w:name="page230"/>
    <w:bookmarkEnd w:id="229"/>
    <w:p>
      <w:pPr>
        <w:ind w:left="980" w:right="220" w:firstLine="408"/>
        <w:spacing w:after="0" w:line="277" w:lineRule="auto"/>
        <w:tabs>
          <w:tab w:leader="none" w:pos="1771"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Indebtedness is Incurred either by the Company or by the Restricted Subsidiary who is the obligor on the Indebtedness being renewed, refunded, refinanced, replaced, defeased or discharged.</w:t>
      </w:r>
    </w:p>
    <w:p>
      <w:pPr>
        <w:spacing w:after="0" w:line="170" w:lineRule="exact"/>
        <w:rPr>
          <w:sz w:val="20"/>
          <w:szCs w:val="20"/>
          <w:color w:val="auto"/>
        </w:rPr>
      </w:pPr>
    </w:p>
    <w:p>
      <w:pPr>
        <w:ind w:right="8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46"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w:t>
      </w:r>
      <w:r>
        <w:rPr>
          <w:rFonts w:ascii="Arial" w:cs="Arial" w:eastAsia="Arial" w:hAnsi="Arial"/>
          <w:sz w:val="18"/>
          <w:szCs w:val="18"/>
          <w:color w:val="auto"/>
        </w:rPr>
        <w:t>” means the approximately 477,110 gross square-meter complex on the Site which contains retail, hotel, gaming, entertainment, food and beverage outlets and entertainment studios and other facilities.</w:t>
      </w:r>
    </w:p>
    <w:p>
      <w:pPr>
        <w:spacing w:after="0" w:line="170"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development of the remainder of the Site, which is expected to include one or more types of Permitted Business and will be developed in accordance with the applicable governmental requirements regarding the Site.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means any Equity Interest with preferential right of payment of dividends or upon liquidation, dissolution, or winding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w:t>
      </w:r>
    </w:p>
    <w:p>
      <w:pPr>
        <w:spacing w:after="0" w:line="211"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Pre-Opening Expenses</w:t>
      </w:r>
      <w:r>
        <w:rPr>
          <w:rFonts w:ascii="Arial" w:cs="Arial" w:eastAsia="Arial" w:hAnsi="Arial"/>
          <w:sz w:val="18"/>
          <w:szCs w:val="18"/>
          <w:color w:val="auto"/>
        </w:rPr>
        <w:t>” means, with respect to any fiscal period, the amount of expenses (other than interest expense) incurred with respect to capital projects that are classified as “pre-opening expenses” on the applicable financial statements of the Company and its Restricted Subsidiaries for such period, prepared in accordance with U.S. GAAP.</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2.06(f)(1) hereof to be placed on all Notes issued under this Indenture except where otherwise permitted by the provisions of this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Phase I and the Phase II Project.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issued in a denomination equal (subject to a maximum denomination of US$500 million) to the outstanding principal amount of the Notes sold in reliance on Rule 903 of Regulation S.</w:t>
      </w:r>
    </w:p>
    <w:p>
      <w:pPr>
        <w:spacing w:after="0" w:line="187" w:lineRule="exact"/>
        <w:rPr>
          <w:sz w:val="20"/>
          <w:szCs w:val="20"/>
          <w:color w:val="auto"/>
        </w:rPr>
      </w:pPr>
    </w:p>
    <w:p>
      <w:pPr>
        <w:ind w:right="1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Reinvestment Agreement</w:t>
      </w:r>
      <w:r>
        <w:rPr>
          <w:rFonts w:ascii="Arial" w:cs="Arial" w:eastAsia="Arial" w:hAnsi="Arial"/>
          <w:sz w:val="16"/>
          <w:szCs w:val="16"/>
          <w:color w:val="auto"/>
        </w:rPr>
        <w:t>” means the reimbursement agreement dated June 15, 2012, between Melco Resorts Macau and Studio City Entertainment Limited, as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r>
        <w:rPr>
          <w:rFonts w:ascii="Arial" w:cs="Arial" w:eastAsia="Arial" w:hAnsi="Arial"/>
          <w:sz w:val="18"/>
          <w:szCs w:val="18"/>
          <w:i w:val="1"/>
          <w:iCs w:val="1"/>
          <w:color w:val="auto"/>
        </w:rPr>
        <w:t>:</w:t>
      </w:r>
    </w:p>
    <w:p>
      <w:pPr>
        <w:spacing w:after="0" w:line="117" w:lineRule="exact"/>
        <w:rPr>
          <w:sz w:val="20"/>
          <w:szCs w:val="20"/>
          <w:color w:val="auto"/>
        </w:rPr>
      </w:pPr>
    </w:p>
    <w:p>
      <w:pPr>
        <w:ind w:left="1780" w:hanging="392"/>
        <w:spacing w:after="0"/>
        <w:tabs>
          <w:tab w:leader="none" w:pos="17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controlling stockholder or majority-owned Subsidiary of Melco Resorts; or</w:t>
      </w:r>
    </w:p>
    <w:p>
      <w:pPr>
        <w:spacing w:after="0" w:line="117" w:lineRule="exact"/>
        <w:rPr>
          <w:rFonts w:ascii="Arial" w:cs="Arial" w:eastAsia="Arial" w:hAnsi="Arial"/>
          <w:sz w:val="18"/>
          <w:szCs w:val="18"/>
          <w:color w:val="auto"/>
        </w:rPr>
      </w:pPr>
    </w:p>
    <w:p>
      <w:pPr>
        <w:ind w:left="980" w:firstLine="408"/>
        <w:spacing w:after="0" w:line="263" w:lineRule="auto"/>
        <w:tabs>
          <w:tab w:leader="none" w:pos="177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at least 50.1% interest of which consist of Melco Resorts and/or such other Persons referred to in the immediately preceding clause (1).</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40" w:top="274" w:right="539" w:bottom="1440" w:gutter="0" w:footer="0" w:header="0"/>
        </w:sectPr>
      </w:pPr>
    </w:p>
    <w:bookmarkStart w:id="230" w:name="page231"/>
    <w:bookmarkEnd w:id="230"/>
    <w:p>
      <w:pPr>
        <w:ind w:right="22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with direct responsibility for the administration of this Indenture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Revenue Sharing Agreement</w:t>
      </w:r>
      <w:r>
        <w:rPr>
          <w:rFonts w:ascii="Arial" w:cs="Arial" w:eastAsia="Arial" w:hAnsi="Arial"/>
          <w:sz w:val="18"/>
          <w:szCs w:val="18"/>
          <w:color w:val="auto"/>
        </w:rPr>
        <w:t>” means any joint venture, development, management, operating or similar agreement or arrangement for the sharing of revenues, profits, losses, costs or expenses entered into in connection with developments or services complementary or ancillary to the Property in the ordinary course of business (including, for the avoidance of doubt, such agreements or arrangements reasonably necessary to conduct a Permitted Business) and on arms’ length terms.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or any successor to the rating agency business thereof.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United States Securities Act of 1933, as amended, and the rules and regulations of the SEC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means the amended and restated senior secured credit facilities dated November 30, 2016 among Studio City Company Limited, the guarantors named therein, the financial institutions named as lenders therein and the agent for such lenders, including any related notes, guarantees, collateral documents, instruments and agreements executed in connection therewith, as such facilities may be amended, restated, modified, renewed, supplemented, replaced or refinanced from time to time.</w:t>
      </w:r>
    </w:p>
    <w:p>
      <w:pPr>
        <w:spacing w:after="0" w:line="18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Services and Right to Use Agreement</w:t>
      </w:r>
      <w:r>
        <w:rPr>
          <w:rFonts w:ascii="Arial" w:cs="Arial" w:eastAsia="Arial" w:hAnsi="Arial"/>
          <w:sz w:val="18"/>
          <w:szCs w:val="18"/>
          <w:color w:val="auto"/>
        </w:rPr>
        <w:t>” means the services and right to use agreement originally dated May 11, 2007 and as amended and restated on June 15, 2012, executed with Studio City Entertainment Limited (formerly named MSC Diversões, Limitada and New Cotai Entertainment (Macau) Limited), a wholly owned indirect subsidiary of the Company, as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SGX-ST</w:t>
      </w:r>
      <w:r>
        <w:rPr>
          <w:rFonts w:ascii="Arial" w:cs="Arial" w:eastAsia="Arial" w:hAnsi="Arial"/>
          <w:sz w:val="18"/>
          <w:szCs w:val="18"/>
          <w:color w:val="auto"/>
        </w:rPr>
        <w:t>” means the Singapore Exchange Securities Trading Limited or its successor.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31" w:name="page232"/>
    <w:bookmarkEnd w:id="231"/>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Shareholder Subordinated Debt</w:t>
      </w:r>
      <w:r>
        <w:rPr>
          <w:rFonts w:ascii="Arial" w:cs="Arial" w:eastAsia="Arial" w:hAnsi="Arial"/>
          <w:sz w:val="18"/>
          <w:szCs w:val="18"/>
          <w:color w:val="auto"/>
        </w:rPr>
        <w:t xml:space="preserve">” means, collectively, any debt provided to the Company by any direct or indirect parent holding company of the Company (or Melco Resorts), in exchange for or pursuant to any security, instrument or agreement other than Capital Stock, together with any such security, instrument or agreement and any other security or instrument other than Capital Stock issued in payment of any obligation under any Shareholder Subordinated 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Shareholder Subordinated Debt:</w:t>
      </w:r>
    </w:p>
    <w:p>
      <w:pPr>
        <w:spacing w:after="0" w:line="79" w:lineRule="exact"/>
        <w:rPr>
          <w:sz w:val="20"/>
          <w:szCs w:val="20"/>
          <w:color w:val="auto"/>
        </w:rPr>
      </w:pPr>
    </w:p>
    <w:p>
      <w:pPr>
        <w:jc w:val="both"/>
        <w:ind w:left="980" w:right="60" w:firstLine="408"/>
        <w:spacing w:after="0" w:line="259" w:lineRule="auto"/>
        <w:tabs>
          <w:tab w:leader="none" w:pos="177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mature or require any amortization or other payment of principal prior to the first anniversary of the maturity of the Notes (other than through conversion or exchange of any such security or instrument for Equity Interests of the Company (other than Disqualified Stock) or for any other security or instrument meeting the requirements of the definition);</w:t>
      </w:r>
    </w:p>
    <w:p>
      <w:pPr>
        <w:spacing w:after="0" w:line="78" w:lineRule="exact"/>
        <w:rPr>
          <w:rFonts w:ascii="Arial" w:cs="Arial" w:eastAsia="Arial" w:hAnsi="Arial"/>
          <w:sz w:val="18"/>
          <w:szCs w:val="18"/>
          <w:color w:val="auto"/>
        </w:rPr>
      </w:pPr>
    </w:p>
    <w:p>
      <w:pPr>
        <w:ind w:left="980" w:right="240" w:firstLine="408"/>
        <w:spacing w:after="0" w:line="277" w:lineRule="auto"/>
        <w:tabs>
          <w:tab w:leader="none" w:pos="177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require the payment of cash interest prior to the first anniversary of the maturity of the Notes;</w:t>
      </w:r>
    </w:p>
    <w:p>
      <w:pPr>
        <w:spacing w:after="0" w:line="62" w:lineRule="exact"/>
        <w:rPr>
          <w:rFonts w:ascii="Arial" w:cs="Arial" w:eastAsia="Arial" w:hAnsi="Arial"/>
          <w:sz w:val="18"/>
          <w:szCs w:val="18"/>
          <w:color w:val="auto"/>
        </w:rPr>
      </w:pPr>
    </w:p>
    <w:p>
      <w:pPr>
        <w:jc w:val="both"/>
        <w:ind w:left="980" w:right="60" w:firstLine="408"/>
        <w:spacing w:after="0" w:line="263" w:lineRule="auto"/>
        <w:tabs>
          <w:tab w:leader="none" w:pos="177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provide for the acceleration of its maturity nor confer on its shareholders any right (including upon the happening of any event) to declare a default or event of default or take any enforcement action, in each case, prior to the first anniversary of the maturity of the Notes;</w:t>
      </w:r>
    </w:p>
    <w:p>
      <w:pPr>
        <w:spacing w:after="0" w:line="75" w:lineRule="exact"/>
        <w:rPr>
          <w:rFonts w:ascii="Arial" w:cs="Arial" w:eastAsia="Arial" w:hAnsi="Arial"/>
          <w:sz w:val="18"/>
          <w:szCs w:val="18"/>
          <w:color w:val="auto"/>
        </w:rPr>
      </w:pPr>
    </w:p>
    <w:p>
      <w:pPr>
        <w:ind w:left="980" w:right="80" w:firstLine="408"/>
        <w:spacing w:after="0" w:line="277" w:lineRule="auto"/>
        <w:tabs>
          <w:tab w:leader="none" w:pos="177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is not secured by a Lien on any assets of the Company or a Restricted Subsidiary of the Company and is not guaranteed by any Subsidiary of the Company;</w:t>
      </w:r>
    </w:p>
    <w:p>
      <w:pPr>
        <w:spacing w:after="0" w:line="62" w:lineRule="exact"/>
        <w:rPr>
          <w:rFonts w:ascii="Arial" w:cs="Arial" w:eastAsia="Arial" w:hAnsi="Arial"/>
          <w:sz w:val="18"/>
          <w:szCs w:val="18"/>
          <w:color w:val="auto"/>
        </w:rPr>
      </w:pPr>
    </w:p>
    <w:p>
      <w:pPr>
        <w:ind w:left="980" w:right="380" w:firstLine="408"/>
        <w:spacing w:after="0" w:line="277" w:lineRule="auto"/>
        <w:tabs>
          <w:tab w:leader="none" w:pos="177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is subordinated in right of payment to the prior payment in full in cash of the Notes in the event of any default, bankruptcy, reorganization, liquidation, winding up or other disposition of assets of the Company;</w:t>
      </w:r>
    </w:p>
    <w:p>
      <w:pPr>
        <w:spacing w:after="0" w:line="62" w:lineRule="exact"/>
        <w:rPr>
          <w:rFonts w:ascii="Arial" w:cs="Arial" w:eastAsia="Arial" w:hAnsi="Arial"/>
          <w:sz w:val="18"/>
          <w:szCs w:val="18"/>
          <w:color w:val="auto"/>
        </w:rPr>
      </w:pPr>
    </w:p>
    <w:p>
      <w:pPr>
        <w:ind w:left="980" w:right="20" w:firstLine="408"/>
        <w:spacing w:after="0" w:line="277" w:lineRule="auto"/>
        <w:tabs>
          <w:tab w:leader="none" w:pos="177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restrict the payment of amounts due in respect of the Notes or compliance by the Company with its obligations under the Notes, the Note Guarantees, and this Indenture;</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does not (including upon the happening of an event) constitute Voting Stock; and</w:t>
      </w:r>
    </w:p>
    <w:p>
      <w:pPr>
        <w:spacing w:after="0" w:line="117" w:lineRule="exact"/>
        <w:rPr>
          <w:rFonts w:ascii="Arial" w:cs="Arial" w:eastAsia="Arial" w:hAnsi="Arial"/>
          <w:sz w:val="18"/>
          <w:szCs w:val="18"/>
          <w:color w:val="auto"/>
        </w:rPr>
      </w:pPr>
    </w:p>
    <w:p>
      <w:pPr>
        <w:ind w:left="980" w:right="100" w:firstLine="408"/>
        <w:spacing w:after="0" w:line="263" w:lineRule="auto"/>
        <w:tabs>
          <w:tab w:leader="none" w:pos="177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is not (including upon the happening of any event) mandatorily convertible or exchangeable, or convertible or exchangeable at the option of the holder, in whole or in part, prior to the date on which the Notes mature other than into or for Capital Stock (other than Disqualified Stock) of the Company.</w:t>
      </w:r>
    </w:p>
    <w:p>
      <w:pPr>
        <w:spacing w:after="0" w:line="18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Site</w:t>
      </w:r>
      <w:r>
        <w:rPr>
          <w:rFonts w:ascii="Arial" w:cs="Arial" w:eastAsia="Arial" w:hAnsi="Arial"/>
          <w:sz w:val="18"/>
          <w:szCs w:val="18"/>
          <w:color w:val="auto"/>
        </w:rPr>
        <w:t>” means an approximately 130,789 square meter parcel of land in the reclaimed area between Taipa and Coloane Island (Cotai), Lotes G300, G310 and G400, registered with the Macau Real Estate Registry under no. 23059.</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Put Option Triggering Event</w:t>
      </w:r>
      <w:r>
        <w:rPr>
          <w:rFonts w:ascii="Arial" w:cs="Arial" w:eastAsia="Arial" w:hAnsi="Arial"/>
          <w:sz w:val="18"/>
          <w:szCs w:val="18"/>
          <w:color w:val="auto"/>
        </w:rPr>
        <w:t>” means:</w:t>
      </w:r>
    </w:p>
    <w:p>
      <w:pPr>
        <w:spacing w:after="0" w:line="117" w:lineRule="exact"/>
        <w:rPr>
          <w:sz w:val="20"/>
          <w:szCs w:val="20"/>
          <w:color w:val="auto"/>
        </w:rPr>
      </w:pPr>
    </w:p>
    <w:p>
      <w:pPr>
        <w:ind w:left="980" w:right="140" w:firstLine="408"/>
        <w:spacing w:after="0" w:line="259" w:lineRule="auto"/>
        <w:tabs>
          <w:tab w:leader="none" w:pos="177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event after which the Gaming License or other permits or authorizations as are necessary for the operation of the Studio City Casino in substantially the same manner and scope as operations are conducted at the Issue Date cease to be in full force and effect, for a period of ten consecutive days or more, and such event has a material adverse effect on the financial condition, business, properties, or results of operations of the Company and its Subsidiaries, taken as a whole; or</w:t>
      </w:r>
    </w:p>
    <w:p>
      <w:pPr>
        <w:spacing w:after="0" w:line="78" w:lineRule="exact"/>
        <w:rPr>
          <w:rFonts w:ascii="Arial" w:cs="Arial" w:eastAsia="Arial" w:hAnsi="Arial"/>
          <w:sz w:val="18"/>
          <w:szCs w:val="18"/>
          <w:color w:val="auto"/>
        </w:rPr>
      </w:pPr>
    </w:p>
    <w:p>
      <w:pPr>
        <w:ind w:left="980" w:right="20" w:firstLine="408"/>
        <w:spacing w:after="0" w:line="257" w:lineRule="auto"/>
        <w:tabs>
          <w:tab w:leader="none" w:pos="177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termination, rescission, revocation or modification of any Gaming License which has had a material adverse effect on the financial condition, business, properties, or results of operations of the Company and its Subsidiaries, taken as a whole, excluding any termination or rescission resulting from or in connection with any renewal, tender or other process conducted by the government of Macau in connection with the granting or renewal of any Gaming License;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renewal, tender or other process results in the granting or renewal of the relevant Gaming License.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32" w:name="page233"/>
    <w:bookmarkEnd w:id="232"/>
    <w:p>
      <w:pPr>
        <w:ind w:right="22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Issue Date, and will not include any contingent obligations to repay, redeem or repurchase any such interest or principal prior to the date originally scheduled for the payment thereof.</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Casino</w:t>
      </w:r>
      <w:r>
        <w:rPr>
          <w:rFonts w:ascii="Arial" w:cs="Arial" w:eastAsia="Arial" w:hAnsi="Arial"/>
          <w:sz w:val="18"/>
          <w:szCs w:val="18"/>
          <w:color w:val="auto"/>
        </w:rPr>
        <w:t>” means any casino, gaming business or activities conducted at the Site.</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International</w:t>
      </w:r>
      <w:r>
        <w:rPr>
          <w:rFonts w:ascii="Arial" w:cs="Arial" w:eastAsia="Arial" w:hAnsi="Arial"/>
          <w:sz w:val="18"/>
          <w:szCs w:val="18"/>
          <w:color w:val="auto"/>
        </w:rPr>
        <w:t>” means Studio City International Holdings Limited, an exempted company incorporated with limited liability under the laws of the Cayman Islands.</w:t>
      </w:r>
    </w:p>
    <w:p>
      <w:pPr>
        <w:spacing w:after="0" w:line="170"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Parties</w:t>
      </w:r>
      <w:r>
        <w:rPr>
          <w:rFonts w:ascii="Arial" w:cs="Arial" w:eastAsia="Arial" w:hAnsi="Arial"/>
          <w:sz w:val="18"/>
          <w:szCs w:val="18"/>
          <w:color w:val="auto"/>
        </w:rPr>
        <w:t>” means Studio City International, Studio City Entertainment Limited, Studio City Hotels Limited, Studio City Retail Services Limited, Studio City Developments Limited, Studio City Ventures Limited, Studio City Services Limited and any other Person which accedes to the MSA as a “Studio City Party” pursuant to terms thereof.</w:t>
      </w:r>
    </w:p>
    <w:p>
      <w:pPr>
        <w:spacing w:after="0" w:line="184" w:lineRule="exact"/>
        <w:rPr>
          <w:sz w:val="20"/>
          <w:szCs w:val="20"/>
          <w:color w:val="auto"/>
        </w:rPr>
      </w:pPr>
    </w:p>
    <w:p>
      <w:pPr>
        <w:jc w:val="both"/>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Subordinated Indebtedness</w:t>
      </w:r>
      <w:r>
        <w:rPr>
          <w:rFonts w:ascii="Arial" w:cs="Arial" w:eastAsia="Arial" w:hAnsi="Arial"/>
          <w:sz w:val="17"/>
          <w:szCs w:val="17"/>
          <w:color w:val="auto"/>
        </w:rPr>
        <w:t>” means (a) with respect to the Company, any Indebtedness of the Company which is by its terms subordinated in right of payment to the Notes, and (b) with respect to any Subsidiary Guarantor, any Indebtedness of such Subsidiary Guarantor which is by its terms subordinated in right of payment to such Subsidiary Guarantor’s Obligations in respect of its Note Guarantee.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980" w:right="60" w:firstLine="408"/>
        <w:spacing w:after="0" w:line="259" w:lineRule="auto"/>
        <w:tabs>
          <w:tab w:leader="none" w:pos="177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8" w:lineRule="exact"/>
        <w:rPr>
          <w:rFonts w:ascii="Arial" w:cs="Arial" w:eastAsia="Arial" w:hAnsi="Arial"/>
          <w:sz w:val="18"/>
          <w:szCs w:val="18"/>
          <w:color w:val="auto"/>
        </w:rPr>
      </w:pPr>
    </w:p>
    <w:p>
      <w:pPr>
        <w:ind w:left="980" w:right="200" w:firstLine="408"/>
        <w:spacing w:after="0" w:line="342" w:lineRule="auto"/>
        <w:tabs>
          <w:tab w:leader="none" w:pos="177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24"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 Guarantor</w:t>
      </w:r>
      <w:r>
        <w:rPr>
          <w:rFonts w:ascii="Arial" w:cs="Arial" w:eastAsia="Arial" w:hAnsi="Arial"/>
          <w:sz w:val="17"/>
          <w:szCs w:val="17"/>
          <w:color w:val="auto"/>
        </w:rPr>
        <w:t>” means each of (1) Studio City Investments Limited, Studio City Company Limited, Studio City Holdings Two Limited, Studio City Holdings Three Limited, Studio City Holdings Four Limited, Studio City Entertainment Limited, Studio City Services Limited, Studio City Hotels Limited, SCP Holdings Limited, Studio City Hospitality and Services Limited, SCIP Holdings Limited, SCP One Limited, SCP Two Limited, Studio City Developments Limited, Studio City Retail Services Limited and Studio City (HK) Two Limited and (2) any other Subsidiary of the Company that provides a Note Guarantee in accordance with the provisions of this Indenture, and their respective successors and assigns, in each case, until the Note Guarantee of such Person has been released in accordance with the provisions of this Indenture.</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means, as of any date, the consolidated total assets of the Company and its Restricted Subsidiaries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as shown on the most recent balance sheet of such Person.</w:t>
      </w:r>
    </w:p>
    <w:p>
      <w:pPr>
        <w:spacing w:after="0" w:line="211"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offering of the Notes and the offer to purchase and/or redemption, as the case may be, of the Existing Studio City Company Notes as described in the Offering Memorandum.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33" w:name="page234"/>
    <w:bookmarkEnd w:id="233"/>
    <w:p>
      <w:pPr>
        <w:ind w:right="20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Treasury Rate</w:t>
      </w:r>
      <w:r>
        <w:rPr>
          <w:rFonts w:ascii="Arial" w:cs="Arial" w:eastAsia="Arial" w:hAnsi="Arial"/>
          <w:sz w:val="18"/>
          <w:szCs w:val="18"/>
          <w:color w:val="auto"/>
        </w:rPr>
        <w:t>” means, as of any redemption date, the yield to maturity as of such redemption date of United States Treasury securities with a constant maturity (as compiled and published in the most recent Federal Reserve Statistical Release H. 15 (519) that has become publicly available at least two business days prior to the redemption date (or, if such Statistical Release is no longer published, any publicly available source of similar market data)) most nearly equal to the period from the redemption date to July 15, 2022; provided, however, that if the period from the redemption date to July 15, 2022 is less than one year, the weekly average yield on actually traded United States Treasury securities adjusted to a constant maturity of one year will be used.</w:t>
      </w:r>
    </w:p>
    <w:p>
      <w:pPr>
        <w:spacing w:after="0" w:line="192"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Deutsche Bank Trust Company Americas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Unrestricted Definitive Note</w:t>
      </w:r>
      <w:r>
        <w:rPr>
          <w:rFonts w:ascii="Arial" w:cs="Arial" w:eastAsia="Arial" w:hAnsi="Arial"/>
          <w:sz w:val="17"/>
          <w:szCs w:val="17"/>
          <w:color w:val="auto"/>
        </w:rPr>
        <w:t>” means a Definitive Note that does not bear and is not required to bear the Private Placement Legend.</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Unrestricted Subsidiary</w:t>
      </w:r>
      <w:r>
        <w:rPr>
          <w:rFonts w:ascii="Arial" w:cs="Arial" w:eastAsia="Arial" w:hAnsi="Arial"/>
          <w:sz w:val="17"/>
          <w:szCs w:val="17"/>
          <w:color w:val="auto"/>
        </w:rPr>
        <w:t>” means any Subsidiary of the Company that is designated by the Board of Directors of the Company as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Unrestricted Subsidiary pursuant to a resolution of the Board of Directors, but only to the extent that such Subsidiary:</w:t>
      </w:r>
    </w:p>
    <w:p>
      <w:pPr>
        <w:spacing w:after="0" w:line="103" w:lineRule="exact"/>
        <w:rPr>
          <w:sz w:val="20"/>
          <w:szCs w:val="20"/>
          <w:color w:val="auto"/>
        </w:rPr>
      </w:pPr>
    </w:p>
    <w:p>
      <w:pPr>
        <w:ind w:left="1780" w:hanging="392"/>
        <w:spacing w:after="0"/>
        <w:tabs>
          <w:tab w:leader="none" w:pos="17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17" w:lineRule="exact"/>
        <w:rPr>
          <w:rFonts w:ascii="Arial" w:cs="Arial" w:eastAsia="Arial" w:hAnsi="Arial"/>
          <w:sz w:val="18"/>
          <w:szCs w:val="18"/>
          <w:color w:val="auto"/>
        </w:rPr>
      </w:pPr>
    </w:p>
    <w:p>
      <w:pPr>
        <w:ind w:left="980" w:right="40" w:firstLine="408"/>
        <w:spacing w:after="0" w:line="259" w:lineRule="auto"/>
        <w:tabs>
          <w:tab w:leader="none" w:pos="1771"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except as permitted by Section 4.11 hereof, 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is a Person with respect to which neither the Company nor any of its Restricted Subsidiaries has any direct or indirect obligation</w:t>
      </w:r>
    </w:p>
    <w:p>
      <w:pPr>
        <w:spacing w:after="0" w:line="46" w:lineRule="exact"/>
        <w:rPr>
          <w:rFonts w:ascii="Arial" w:cs="Arial" w:eastAsia="Arial" w:hAnsi="Arial"/>
          <w:sz w:val="16"/>
          <w:szCs w:val="16"/>
          <w:color w:val="auto"/>
        </w:rPr>
      </w:pPr>
    </w:p>
    <w:p>
      <w:pPr>
        <w:ind w:left="980" w:right="200" w:firstLine="7"/>
        <w:spacing w:after="0" w:line="260" w:lineRule="auto"/>
        <w:tabs>
          <w:tab w:leader="none" w:pos="122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subscribe for additional Equity Interests or (b) to maintain or preserve such Person’s financial condition or to cause such Person to achieve any specified levels of operating results; and</w:t>
      </w:r>
    </w:p>
    <w:p>
      <w:pPr>
        <w:spacing w:after="0" w:line="77" w:lineRule="exact"/>
        <w:rPr>
          <w:rFonts w:ascii="Arial" w:cs="Arial" w:eastAsia="Arial" w:hAnsi="Arial"/>
          <w:sz w:val="18"/>
          <w:szCs w:val="18"/>
          <w:color w:val="auto"/>
        </w:rPr>
      </w:pPr>
    </w:p>
    <w:p>
      <w:pPr>
        <w:ind w:left="980" w:right="20" w:firstLine="408"/>
        <w:spacing w:after="0" w:line="277" w:lineRule="auto"/>
        <w:tabs>
          <w:tab w:leader="none" w:pos="177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w:t>
      </w:r>
    </w:p>
    <w:p>
      <w:pPr>
        <w:spacing w:after="0" w:line="117" w:lineRule="exact"/>
        <w:rPr>
          <w:sz w:val="20"/>
          <w:szCs w:val="20"/>
          <w:color w:val="auto"/>
        </w:rPr>
      </w:pPr>
    </w:p>
    <w:p>
      <w:pPr>
        <w:ind w:left="1780" w:hanging="392"/>
        <w:spacing w:after="0"/>
        <w:tabs>
          <w:tab w:leader="none" w:pos="17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direct obligations of the United States of America for the timely payment of which its full faith and credit is pledged, or</w:t>
      </w:r>
    </w:p>
    <w:p>
      <w:pPr>
        <w:spacing w:after="0" w:line="128" w:lineRule="exact"/>
        <w:rPr>
          <w:rFonts w:ascii="Arial" w:cs="Arial" w:eastAsia="Arial" w:hAnsi="Arial"/>
          <w:sz w:val="17"/>
          <w:szCs w:val="17"/>
          <w:color w:val="auto"/>
        </w:rPr>
      </w:pPr>
    </w:p>
    <w:p>
      <w:pPr>
        <w:ind w:left="980" w:right="100" w:firstLine="408"/>
        <w:spacing w:after="0" w:line="342" w:lineRule="auto"/>
        <w:tabs>
          <w:tab w:leader="none" w:pos="177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24"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 xml:space="preserve">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(except as required by law) such custodian is not authorized to make any deduction from the amount payable to the holder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depository receipt from any amount received by the custodian in respect of the U.S. Government Obligations or the specific payment of principal of or interest on the U.S. Government Obligations evidenced by such depository receipt.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34" w:name="page235"/>
    <w:bookmarkEnd w:id="23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129" w:lineRule="exact"/>
        <w:rPr>
          <w:sz w:val="20"/>
          <w:szCs w:val="20"/>
          <w:color w:val="auto"/>
        </w:rPr>
      </w:pPr>
    </w:p>
    <w:p>
      <w:pPr>
        <w:ind w:left="980" w:firstLine="408"/>
        <w:spacing w:after="0" w:line="286" w:lineRule="auto"/>
        <w:tabs>
          <w:tab w:leader="none" w:pos="177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7" w:lineRule="exact"/>
        <w:rPr>
          <w:rFonts w:ascii="Arial" w:cs="Arial" w:eastAsia="Arial" w:hAnsi="Arial"/>
          <w:sz w:val="17"/>
          <w:szCs w:val="17"/>
          <w:color w:val="auto"/>
        </w:rPr>
      </w:pPr>
    </w:p>
    <w:p>
      <w:pPr>
        <w:ind w:left="1780" w:hanging="392"/>
        <w:spacing w:after="0"/>
        <w:tabs>
          <w:tab w:leader="none" w:pos="17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Restricted Subsidiary</w:t>
      </w:r>
      <w:r>
        <w:rPr>
          <w:rFonts w:ascii="Arial" w:cs="Arial" w:eastAsia="Arial" w:hAnsi="Arial"/>
          <w:sz w:val="18"/>
          <w:szCs w:val="18"/>
          <w:color w:val="auto"/>
        </w:rPr>
        <w:t>” is any Wholly-Owned Subsidiary that is a Restricted Subsidiary.</w:t>
      </w:r>
    </w:p>
    <w:p>
      <w:pPr>
        <w:spacing w:after="0" w:line="225"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of any Person means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35" w:name="page236"/>
    <w:bookmarkEnd w:id="235"/>
    <w:p>
      <w:pPr>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1.02</w:t>
      </w:r>
      <w:r>
        <w:rPr>
          <w:sz w:val="20"/>
          <w:szCs w:val="20"/>
          <w:color w:val="auto"/>
        </w:rPr>
        <w:tab/>
      </w:r>
      <w:r>
        <w:rPr>
          <w:rFonts w:ascii="Arial" w:cs="Arial" w:eastAsia="Arial" w:hAnsi="Arial"/>
          <w:sz w:val="16"/>
          <w:szCs w:val="16"/>
          <w:i w:val="1"/>
          <w:iCs w:val="1"/>
          <w:color w:val="auto"/>
        </w:rPr>
        <w:t>Other Definitions.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color w:val="auto"/>
                <w:w w:val="91"/>
              </w:rPr>
              <w:t>Term</w:t>
            </w:r>
          </w:p>
        </w:tc>
        <w:tc>
          <w:tcPr>
            <w:tcW w:w="5960" w:type="dxa"/>
            <w:vAlign w:val="bottom"/>
            <w:vMerge w:val="restart"/>
          </w:tcPr>
          <w:p>
            <w:pPr>
              <w:spacing w:after="0"/>
              <w:rPr>
                <w:sz w:val="14"/>
                <w:szCs w:val="14"/>
                <w:color w:val="auto"/>
              </w:rPr>
            </w:pPr>
          </w:p>
        </w:tc>
        <w:tc>
          <w:tcPr>
            <w:tcW w:w="2980" w:type="dxa"/>
            <w:vAlign w:val="bottom"/>
            <w:gridSpan w:val="2"/>
          </w:tcPr>
          <w:p>
            <w:pPr>
              <w:jc w:val="center"/>
              <w:ind w:left="2251"/>
              <w:spacing w:after="0"/>
              <w:rPr>
                <w:sz w:val="20"/>
                <w:szCs w:val="20"/>
                <w:color w:val="auto"/>
              </w:rPr>
            </w:pPr>
            <w:r>
              <w:rPr>
                <w:rFonts w:ascii="Arial" w:cs="Arial" w:eastAsia="Arial" w:hAnsi="Arial"/>
                <w:sz w:val="14"/>
                <w:szCs w:val="14"/>
                <w:color w:val="auto"/>
                <w:w w:val="95"/>
              </w:rPr>
              <w:t>Defined in</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line="189"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2360" w:type="dxa"/>
            <w:vAlign w:val="bottom"/>
          </w:tcPr>
          <w:p>
            <w:pPr>
              <w:spacing w:after="0"/>
              <w:rPr>
                <w:sz w:val="16"/>
                <w:szCs w:val="16"/>
                <w:color w:val="auto"/>
              </w:rPr>
            </w:pPr>
          </w:p>
        </w:tc>
        <w:tc>
          <w:tcPr>
            <w:tcW w:w="620" w:type="dxa"/>
            <w:vAlign w:val="bottom"/>
          </w:tcPr>
          <w:p>
            <w:pPr>
              <w:jc w:val="center"/>
              <w:spacing w:after="0" w:line="189" w:lineRule="exact"/>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Authentication Order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8.03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Subsidiary Guarantor Enforcement Sale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88"/>
              </w:rPr>
              <w:t>11.08</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 parent companies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Guaranteed Obligations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88"/>
              </w:rPr>
              <w:t>11.01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8.02</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Amount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Period</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Debt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Default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3.07</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Jurisdiction</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4.07</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Reversion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“Special Put Option Offer”</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“Special Put Option Payment”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Suspended Covenants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Suspension Period</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i w:val="1"/>
          <w:iCs w:val="1"/>
          <w:color w:val="auto"/>
        </w:rPr>
        <w:t>Rules of Construction.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340" w:hanging="392"/>
        <w:spacing w:after="0"/>
        <w:tabs>
          <w:tab w:leader="none" w:pos="1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340" w:hanging="392"/>
        <w:spacing w:after="0"/>
        <w:tabs>
          <w:tab w:leader="none" w:pos="1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U.S. GAAP;</w:t>
      </w:r>
    </w:p>
    <w:p>
      <w:pPr>
        <w:spacing w:after="0" w:line="117" w:lineRule="exact"/>
        <w:rPr>
          <w:rFonts w:ascii="Arial" w:cs="Arial" w:eastAsia="Arial" w:hAnsi="Arial"/>
          <w:sz w:val="18"/>
          <w:szCs w:val="18"/>
          <w:color w:val="auto"/>
        </w:rPr>
      </w:pPr>
    </w:p>
    <w:p>
      <w:pPr>
        <w:ind w:left="1340" w:hanging="392"/>
        <w:spacing w:after="0"/>
        <w:tabs>
          <w:tab w:leader="none" w:pos="1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340" w:hanging="392"/>
        <w:spacing w:after="0"/>
        <w:tabs>
          <w:tab w:leader="none" w:pos="1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340" w:hanging="392"/>
        <w:spacing w:after="0"/>
        <w:tabs>
          <w:tab w:leader="none" w:pos="1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340" w:hanging="392"/>
        <w:spacing w:after="0"/>
        <w:tabs>
          <w:tab w:leader="none" w:pos="1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17" w:lineRule="exact"/>
        <w:rPr>
          <w:rFonts w:ascii="Arial" w:cs="Arial" w:eastAsia="Arial" w:hAnsi="Arial"/>
          <w:sz w:val="18"/>
          <w:szCs w:val="18"/>
          <w:color w:val="auto"/>
        </w:rPr>
      </w:pPr>
    </w:p>
    <w:p>
      <w:pPr>
        <w:ind w:left="540" w:firstLine="408"/>
        <w:spacing w:after="0" w:line="277" w:lineRule="auto"/>
        <w:tabs>
          <w:tab w:leader="none" w:pos="133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980"/>
          </w:cols>
          <w:pgMar w:left="880" w:top="274" w:right="1039" w:bottom="1440" w:gutter="0" w:footer="0" w:header="0"/>
        </w:sectPr>
      </w:pPr>
    </w:p>
    <w:bookmarkStart w:id="236" w:name="page237"/>
    <w:bookmarkEnd w:id="236"/>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w:t>
      </w:r>
    </w:p>
    <w:p>
      <w:pPr>
        <w:spacing w:after="0" w:line="117" w:lineRule="exact"/>
        <w:rPr>
          <w:sz w:val="20"/>
          <w:szCs w:val="20"/>
          <w:color w:val="auto"/>
        </w:rPr>
      </w:pPr>
    </w:p>
    <w:p>
      <w:pPr>
        <w:ind w:right="140" w:firstLine="987"/>
        <w:spacing w:after="0" w:line="263" w:lineRule="auto"/>
        <w:tabs>
          <w:tab w:leader="none" w:pos="1371"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notations, legends or endorsements required by law, stock exchange rule or usage. Each Note will be dated the date of its authentication. The Notes shall be in denominations of US$200,000 and integral multiples of US$1,000 in excess thereof.</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Indenture and the Company, the Subsidiary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7" w:lineRule="exact"/>
        <w:rPr>
          <w:sz w:val="20"/>
          <w:szCs w:val="20"/>
          <w:color w:val="auto"/>
        </w:rPr>
      </w:pPr>
    </w:p>
    <w:p>
      <w:pPr>
        <w:ind w:firstLine="987"/>
        <w:spacing w:after="0" w:line="253" w:lineRule="auto"/>
        <w:tabs>
          <w:tab w:leader="none" w:pos="1381"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Notes issued in global form will be substantially in the form of Exhibit A hereto (including the Global Note Legend</w:t>
      </w:r>
      <w:r>
        <w:rPr>
          <w:rFonts w:ascii="Arial" w:cs="Arial" w:eastAsia="Arial" w:hAnsi="Arial"/>
          <w:sz w:val="18"/>
          <w:szCs w:val="18"/>
          <w:i w:val="1"/>
          <w:iCs w:val="1"/>
          <w:color w:val="auto"/>
        </w:rPr>
        <w:t xml:space="preserve"> </w:t>
      </w:r>
      <w:r>
        <w:rPr>
          <w:rFonts w:ascii="Arial" w:cs="Arial" w:eastAsia="Arial" w:hAnsi="Arial"/>
          <w:sz w:val="18"/>
          <w:szCs w:val="18"/>
          <w:color w:val="auto"/>
        </w:rPr>
        <w:t>thereon and 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Paying Agent, Trustee or the Registrar, at the direction of the Trustee, in accordance with instructions given by the Holder thereof as required by Section 2.06 hereof.</w:t>
      </w:r>
    </w:p>
    <w:p>
      <w:pPr>
        <w:spacing w:after="0" w:line="196" w:lineRule="exact"/>
        <w:rPr>
          <w:rFonts w:ascii="Arial" w:cs="Arial" w:eastAsia="Arial" w:hAnsi="Arial"/>
          <w:sz w:val="18"/>
          <w:szCs w:val="18"/>
          <w:color w:val="auto"/>
        </w:rPr>
      </w:pPr>
    </w:p>
    <w:p>
      <w:pPr>
        <w:ind w:right="160" w:firstLine="987"/>
        <w:spacing w:after="0" w:line="259" w:lineRule="auto"/>
        <w:tabs>
          <w:tab w:leader="none" w:pos="1371"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 xml:space="preserve">Euroclear and Clearstream, Luxembourg Procedures Applicable. </w:t>
      </w:r>
      <w:r>
        <w:rPr>
          <w:rFonts w:ascii="Arial" w:cs="Arial" w:eastAsia="Arial" w:hAnsi="Arial"/>
          <w:sz w:val="18"/>
          <w:szCs w:val="18"/>
          <w:color w:val="auto"/>
        </w:rPr>
        <w:t>The provisions of the “Operating Procedures of the Euroclear</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“Terms and Conditions Governing Use of Euroclear” and the “General Terms and Conditions—Clearstream Banking, Luxembourg” and “Customer Handbook” of Clearstream, Luxembourg will be applicable to transfers of beneficial interests in the Regulation S Global Note that are held by Participants through Euroclear or Clearstream, Luxembourg.</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 least one Officer must sign the Notes for the Company by manual or facsimile signature.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A Note will not be valid until authenticated by the manual or electronic signature of the Trustee. The signature will be conclusive evidence that the Note has been authenticated under this Indenture.</w:t>
      </w:r>
    </w:p>
    <w:p>
      <w:pPr>
        <w:spacing w:after="0" w:line="170"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The Company may issue additional notes under the Indenture from time to time after the Issue Date. Any issuance of Additional Notes shall be subject to all of the covenants described under Article 4 of this Indenture, including Section 4.09 hereof. The Notes and any Additional Notes subsequently issued under this Indenture will be treated as a single class for all purposes under the Indenture, including, without limitation, waivers, amendments,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if the Additional Notes are not fungible with the Notes for U.S. federal income tax purposes, such Additional Notes will have a separate CUSIP, ISIN or other identifying number.</w:t>
      </w:r>
    </w:p>
    <w:p>
      <w:pPr>
        <w:spacing w:after="0" w:line="176"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The Trustee will, upon receipt of a written order of the Company signed by an Officer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Section 2.07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237" w:name="page238"/>
    <w:bookmarkEnd w:id="237"/>
    <w:p>
      <w:pPr>
        <w:ind w:right="24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27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Paying Agent and Transfer Agent.</w:t>
      </w:r>
    </w:p>
    <w:p>
      <w:pPr>
        <w:spacing w:after="0" w:line="117" w:lineRule="exact"/>
        <w:rPr>
          <w:sz w:val="20"/>
          <w:szCs w:val="20"/>
          <w:color w:val="auto"/>
        </w:rPr>
      </w:pPr>
    </w:p>
    <w:p>
      <w:pPr>
        <w:ind w:right="80" w:firstLine="991"/>
        <w:spacing w:after="0" w:line="290" w:lineRule="auto"/>
        <w:rPr>
          <w:sz w:val="20"/>
          <w:szCs w:val="20"/>
          <w:color w:val="auto"/>
        </w:rPr>
      </w:pPr>
      <w:r>
        <w:rPr>
          <w:rFonts w:ascii="Arial" w:cs="Arial" w:eastAsia="Arial" w:hAnsi="Arial"/>
          <w:sz w:val="16"/>
          <w:szCs w:val="16"/>
          <w:color w:val="auto"/>
        </w:rPr>
        <w:t>The Company will maintain an office or agency where Notes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Company will also maintain a transfer agent (the “</w:t>
      </w:r>
      <w:r>
        <w:rPr>
          <w:rFonts w:ascii="Arial" w:cs="Arial" w:eastAsia="Arial" w:hAnsi="Arial"/>
          <w:sz w:val="16"/>
          <w:szCs w:val="16"/>
          <w:i w:val="1"/>
          <w:iCs w:val="1"/>
          <w:color w:val="auto"/>
        </w:rPr>
        <w:t>Transfer</w:t>
      </w:r>
      <w:r>
        <w:rPr>
          <w:rFonts w:ascii="Arial" w:cs="Arial" w:eastAsia="Arial" w:hAnsi="Arial"/>
          <w:sz w:val="16"/>
          <w:szCs w:val="16"/>
          <w:color w:val="auto"/>
        </w:rPr>
        <w:t xml:space="preserve"> </w:t>
      </w:r>
      <w:r>
        <w:rPr>
          <w:rFonts w:ascii="Arial" w:cs="Arial" w:eastAsia="Arial" w:hAnsi="Arial"/>
          <w:sz w:val="16"/>
          <w:szCs w:val="16"/>
          <w:i w:val="1"/>
          <w:iCs w:val="1"/>
          <w:color w:val="auto"/>
        </w:rPr>
        <w:t>Agent</w:t>
      </w:r>
      <w:r>
        <w:rPr>
          <w:rFonts w:ascii="Arial" w:cs="Arial" w:eastAsia="Arial" w:hAnsi="Arial"/>
          <w:sz w:val="16"/>
          <w:szCs w:val="16"/>
          <w:color w:val="auto"/>
        </w:rPr>
        <w:t>”). The Registrar will keep a register of the Notes and of their transfer and exchange. The Transfer Agent shall perform the functions of a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agent. The Company may appoint one or more co-registrars, one or more additional transfer agents and one or more additional paying agents. The term “Registrar” includes any co-registrar and the term “Paying Agent” includes any additional paying agent. The Company may change any Paying Agent, the Transfer Agent or Registrar without notice to any Holder and shall so notify the Trustee and each Paying Agent thereof in writing of the name and address of any Agent not a party to this Indenture. If the Company fails to appoint or maintain another entity as Registrar, Transfer Agent or Paying Agent, the Trustee shall act as such. The Company or any of its Subsidiaries may act as Paying Agent or Registrar.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Company initially appoints Deutsche Bank Trust Company Americas to act as the Registrar, Transfer Agent and Paying Agent and to act as Custodian, with respect to the Global Notes.</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117"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or the Trustee all money held by the Paying Agent for the payment of principal, premium or Additional Amounts,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Registrar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238" w:name="page239"/>
    <w:bookmarkEnd w:id="238"/>
    <w:p>
      <w:pPr>
        <w:ind w:left="444"/>
        <w:spacing w:after="0"/>
        <w:tabs>
          <w:tab w:leader="none" w:pos="1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2.06</w:t>
      </w:r>
      <w:r>
        <w:rPr>
          <w:sz w:val="20"/>
          <w:szCs w:val="20"/>
          <w:color w:val="auto"/>
        </w:rPr>
        <w:tab/>
      </w:r>
      <w:r>
        <w:rPr>
          <w:rFonts w:ascii="Arial" w:cs="Arial" w:eastAsia="Arial" w:hAnsi="Arial"/>
          <w:sz w:val="16"/>
          <w:szCs w:val="16"/>
          <w:i w:val="1"/>
          <w:iCs w:val="1"/>
          <w:color w:val="auto"/>
        </w:rPr>
        <w:t>Transfer and Exchange.</w:t>
      </w:r>
    </w:p>
    <w:p>
      <w:pPr>
        <w:spacing w:after="0" w:line="117" w:lineRule="exact"/>
        <w:rPr>
          <w:sz w:val="20"/>
          <w:szCs w:val="20"/>
          <w:color w:val="auto"/>
        </w:rPr>
      </w:pPr>
    </w:p>
    <w:p>
      <w:pPr>
        <w:ind w:left="4" w:firstLine="987"/>
        <w:spacing w:after="0" w:line="311" w:lineRule="auto"/>
        <w:tabs>
          <w:tab w:leader="none" w:pos="1375"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except as a whole by the Depositary to a nominee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40" w:lineRule="exact"/>
        <w:rPr>
          <w:rFonts w:ascii="Arial" w:cs="Arial" w:eastAsia="Arial" w:hAnsi="Arial"/>
          <w:sz w:val="16"/>
          <w:szCs w:val="16"/>
          <w:color w:val="auto"/>
        </w:rPr>
      </w:pPr>
    </w:p>
    <w:p>
      <w:pPr>
        <w:jc w:val="both"/>
        <w:ind w:left="984" w:right="40" w:firstLine="408"/>
        <w:spacing w:after="0" w:line="263" w:lineRule="auto"/>
        <w:tabs>
          <w:tab w:leader="none" w:pos="177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75" w:lineRule="exact"/>
        <w:rPr>
          <w:rFonts w:ascii="Arial" w:cs="Arial" w:eastAsia="Arial" w:hAnsi="Arial"/>
          <w:sz w:val="18"/>
          <w:szCs w:val="18"/>
          <w:color w:val="auto"/>
        </w:rPr>
      </w:pPr>
    </w:p>
    <w:p>
      <w:pPr>
        <w:ind w:left="984" w:right="700" w:firstLine="408"/>
        <w:spacing w:after="0" w:line="277" w:lineRule="auto"/>
        <w:tabs>
          <w:tab w:leader="none" w:pos="177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62" w:lineRule="exact"/>
        <w:rPr>
          <w:rFonts w:ascii="Arial" w:cs="Arial" w:eastAsia="Arial" w:hAnsi="Arial"/>
          <w:sz w:val="18"/>
          <w:szCs w:val="18"/>
          <w:color w:val="auto"/>
        </w:rPr>
      </w:pPr>
    </w:p>
    <w:p>
      <w:pPr>
        <w:ind w:left="1784" w:hanging="392"/>
        <w:spacing w:after="0"/>
        <w:tabs>
          <w:tab w:leader="none" w:pos="178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w:t>
      </w:r>
    </w:p>
    <w:p>
      <w:pPr>
        <w:spacing w:after="0" w:line="2" w:lineRule="exact"/>
        <w:rPr>
          <w:sz w:val="20"/>
          <w:szCs w:val="20"/>
          <w:color w:val="auto"/>
        </w:rPr>
      </w:pPr>
    </w:p>
    <w:p>
      <w:pPr>
        <w:ind w:left="244" w:hanging="244"/>
        <w:spacing w:after="0"/>
        <w:tabs>
          <w:tab w:leader="none" w:pos="2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or (f) hereof.</w:t>
      </w:r>
    </w:p>
    <w:p>
      <w:pPr>
        <w:spacing w:after="0" w:line="210" w:lineRule="exact"/>
        <w:rPr>
          <w:rFonts w:ascii="Arial" w:cs="Arial" w:eastAsia="Arial" w:hAnsi="Arial"/>
          <w:sz w:val="18"/>
          <w:szCs w:val="18"/>
          <w:color w:val="auto"/>
        </w:rPr>
      </w:pPr>
    </w:p>
    <w:p>
      <w:pPr>
        <w:ind w:left="4" w:right="60" w:firstLine="987"/>
        <w:spacing w:after="0" w:line="257" w:lineRule="auto"/>
        <w:tabs>
          <w:tab w:leader="none" w:pos="1385" w:val="left"/>
        </w:tabs>
        <w:numPr>
          <w:ilvl w:val="1"/>
          <w:numId w:val="201"/>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79" w:lineRule="exact"/>
        <w:rPr>
          <w:rFonts w:ascii="Arial" w:cs="Arial" w:eastAsia="Arial" w:hAnsi="Arial"/>
          <w:sz w:val="18"/>
          <w:szCs w:val="18"/>
          <w:color w:val="auto"/>
        </w:rPr>
      </w:pPr>
    </w:p>
    <w:p>
      <w:pPr>
        <w:ind w:left="984" w:right="60" w:firstLine="408"/>
        <w:spacing w:after="0" w:line="272" w:lineRule="auto"/>
        <w:tabs>
          <w:tab w:leader="none" w:pos="1774" w:val="left"/>
        </w:tabs>
        <w:numPr>
          <w:ilvl w:val="2"/>
          <w:numId w:val="201"/>
        </w:numPr>
        <w:rPr>
          <w:rFonts w:ascii="Arial" w:cs="Arial" w:eastAsia="Arial" w:hAnsi="Arial"/>
          <w:sz w:val="17"/>
          <w:szCs w:val="17"/>
          <w:color w:val="auto"/>
        </w:rPr>
      </w:pPr>
      <w:r>
        <w:rPr>
          <w:rFonts w:ascii="Arial" w:cs="Arial" w:eastAsia="Arial" w:hAnsi="Arial"/>
          <w:sz w:val="17"/>
          <w:szCs w:val="17"/>
          <w:i w:val="1"/>
          <w:iCs w:val="1"/>
          <w:color w:val="auto"/>
        </w:rPr>
        <w:t>Transfer of Beneficial Interests in the Same Global Note</w:t>
      </w:r>
      <w:r>
        <w:rPr>
          <w:rFonts w:ascii="Arial" w:cs="Arial" w:eastAsia="Arial" w:hAnsi="Arial"/>
          <w:sz w:val="17"/>
          <w:szCs w:val="17"/>
          <w:color w:val="auto"/>
        </w:rPr>
        <w:t>. Beneficial interests in any Restricted Global Note may be transferred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Persons who take delivery thereof in the form of a beneficial interest in the same Restricted Global Note in accordance with the transfer restrictions set forth in the Private Placement Legend;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69" w:lineRule="exact"/>
        <w:rPr>
          <w:rFonts w:ascii="Arial" w:cs="Arial" w:eastAsia="Arial" w:hAnsi="Arial"/>
          <w:sz w:val="17"/>
          <w:szCs w:val="17"/>
          <w:color w:val="auto"/>
        </w:rPr>
      </w:pPr>
    </w:p>
    <w:p>
      <w:pPr>
        <w:ind w:left="984" w:right="180" w:firstLine="408"/>
        <w:spacing w:after="0" w:line="263" w:lineRule="auto"/>
        <w:tabs>
          <w:tab w:leader="none" w:pos="1774" w:val="left"/>
        </w:tabs>
        <w:numPr>
          <w:ilvl w:val="2"/>
          <w:numId w:val="201"/>
        </w:numPr>
        <w:rPr>
          <w:rFonts w:ascii="Arial" w:cs="Arial" w:eastAsia="Arial" w:hAnsi="Arial"/>
          <w:sz w:val="18"/>
          <w:szCs w:val="18"/>
          <w:color w:val="auto"/>
        </w:rPr>
      </w:pPr>
      <w:r>
        <w:rPr>
          <w:rFonts w:ascii="Arial" w:cs="Arial" w:eastAsia="Arial" w:hAnsi="Arial"/>
          <w:sz w:val="18"/>
          <w:szCs w:val="18"/>
          <w:i w:val="1"/>
          <w:iCs w:val="1"/>
          <w:color w:val="auto"/>
        </w:rPr>
        <w:t xml:space="preserve">All Other Transfers and Exchanges of Beneficial Interests in Global Notes. </w:t>
      </w:r>
      <w:r>
        <w:rPr>
          <w:rFonts w:ascii="Arial" w:cs="Arial" w:eastAsia="Arial" w:hAnsi="Arial"/>
          <w:sz w:val="18"/>
          <w:szCs w:val="18"/>
          <w:color w:val="auto"/>
        </w:rPr>
        <w:t>In connection with all transfers and exchanges of</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interests that are not subject to Section 2.06(b)(1) above, the transferor of such beneficial interest must deliver to the Registrar either:</w:t>
      </w:r>
    </w:p>
    <w:p>
      <w:pPr>
        <w:spacing w:after="0" w:line="89" w:lineRule="exact"/>
        <w:rPr>
          <w:rFonts w:ascii="Arial" w:cs="Arial" w:eastAsia="Arial" w:hAnsi="Arial"/>
          <w:sz w:val="18"/>
          <w:szCs w:val="18"/>
          <w:color w:val="auto"/>
        </w:rPr>
      </w:pPr>
    </w:p>
    <w:p>
      <w:pPr>
        <w:ind w:left="2404" w:hanging="433"/>
        <w:spacing w:after="0"/>
        <w:tabs>
          <w:tab w:leader="none" w:pos="2404" w:val="left"/>
        </w:tabs>
        <w:numPr>
          <w:ilvl w:val="3"/>
          <w:numId w:val="201"/>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984" w:right="140" w:firstLine="360"/>
        <w:spacing w:after="0" w:line="263" w:lineRule="auto"/>
        <w:tabs>
          <w:tab w:leader="none" w:pos="2695" w:val="left"/>
        </w:tabs>
        <w:numPr>
          <w:ilvl w:val="4"/>
          <w:numId w:val="201"/>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5" w:lineRule="exact"/>
        <w:rPr>
          <w:rFonts w:ascii="Arial" w:cs="Arial" w:eastAsia="Arial" w:hAnsi="Arial"/>
          <w:sz w:val="18"/>
          <w:szCs w:val="18"/>
          <w:color w:val="auto"/>
        </w:rPr>
      </w:pPr>
    </w:p>
    <w:p>
      <w:pPr>
        <w:ind w:left="1984" w:right="100" w:firstLine="360"/>
        <w:spacing w:after="0" w:line="277" w:lineRule="auto"/>
        <w:tabs>
          <w:tab w:leader="none" w:pos="2745" w:val="left"/>
        </w:tabs>
        <w:numPr>
          <w:ilvl w:val="4"/>
          <w:numId w:val="201"/>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239" w:name="page240"/>
    <w:bookmarkEnd w:id="239"/>
    <w:p>
      <w:pPr>
        <w:ind w:left="2400" w:hanging="433"/>
        <w:spacing w:after="0"/>
        <w:tabs>
          <w:tab w:leader="none" w:pos="24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both:</w:t>
      </w:r>
    </w:p>
    <w:p>
      <w:pPr>
        <w:spacing w:after="0" w:line="117" w:lineRule="exact"/>
        <w:rPr>
          <w:rFonts w:ascii="Arial" w:cs="Arial" w:eastAsia="Arial" w:hAnsi="Arial"/>
          <w:sz w:val="18"/>
          <w:szCs w:val="18"/>
          <w:color w:val="auto"/>
        </w:rPr>
      </w:pPr>
    </w:p>
    <w:p>
      <w:pPr>
        <w:ind w:left="1980" w:right="160" w:firstLine="360"/>
        <w:spacing w:after="0" w:line="263" w:lineRule="auto"/>
        <w:tabs>
          <w:tab w:leader="none" w:pos="269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75" w:lineRule="exact"/>
        <w:rPr>
          <w:rFonts w:ascii="Arial" w:cs="Arial" w:eastAsia="Arial" w:hAnsi="Arial"/>
          <w:sz w:val="18"/>
          <w:szCs w:val="18"/>
          <w:color w:val="auto"/>
        </w:rPr>
      </w:pPr>
    </w:p>
    <w:p>
      <w:pPr>
        <w:ind w:left="1980" w:right="140" w:firstLine="360"/>
        <w:spacing w:after="0" w:line="277" w:lineRule="auto"/>
        <w:tabs>
          <w:tab w:leader="none" w:pos="274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76" w:lineRule="exact"/>
        <w:rPr>
          <w:sz w:val="20"/>
          <w:szCs w:val="20"/>
          <w:color w:val="auto"/>
        </w:rPr>
      </w:pPr>
    </w:p>
    <w:p>
      <w:pPr>
        <w:ind w:left="980" w:right="160" w:firstLine="408"/>
        <w:spacing w:after="0" w:line="286" w:lineRule="auto"/>
        <w:tabs>
          <w:tab w:leader="none" w:pos="1770" w:val="left"/>
        </w:tabs>
        <w:numPr>
          <w:ilvl w:val="0"/>
          <w:numId w:val="203"/>
        </w:numPr>
        <w:rPr>
          <w:rFonts w:ascii="Arial" w:cs="Arial" w:eastAsia="Arial" w:hAnsi="Arial"/>
          <w:sz w:val="17"/>
          <w:szCs w:val="17"/>
          <w:color w:val="auto"/>
        </w:rPr>
      </w:pPr>
      <w:r>
        <w:rPr>
          <w:rFonts w:ascii="Arial" w:cs="Arial" w:eastAsia="Arial" w:hAnsi="Arial"/>
          <w:sz w:val="17"/>
          <w:szCs w:val="17"/>
          <w:i w:val="1"/>
          <w:iCs w:val="1"/>
          <w:color w:val="auto"/>
        </w:rPr>
        <w:t xml:space="preserve">Transfer of Beneficial Interests to Another Restricted Global Note. </w:t>
      </w:r>
      <w:r>
        <w:rPr>
          <w:rFonts w:ascii="Arial" w:cs="Arial" w:eastAsia="Arial" w:hAnsi="Arial"/>
          <w:sz w:val="17"/>
          <w:szCs w:val="17"/>
          <w:color w:val="auto"/>
        </w:rPr>
        <w:t>A beneficial interest in any Restricted Global Note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to a Person who takes delivery thereof in the form of a beneficial interest in another Restricted Global Note if the transfer complies with the requirements of Section 2.06(b)(2) above and the Registrar receives the following:</w:t>
      </w:r>
    </w:p>
    <w:p>
      <w:pPr>
        <w:spacing w:after="0" w:line="57" w:lineRule="exact"/>
        <w:rPr>
          <w:rFonts w:ascii="Arial" w:cs="Arial" w:eastAsia="Arial" w:hAnsi="Arial"/>
          <w:sz w:val="17"/>
          <w:szCs w:val="17"/>
          <w:color w:val="auto"/>
        </w:rPr>
      </w:pPr>
    </w:p>
    <w:p>
      <w:pPr>
        <w:ind w:left="1420" w:right="200" w:firstLine="391"/>
        <w:spacing w:after="0" w:line="277" w:lineRule="auto"/>
        <w:tabs>
          <w:tab w:leader="none" w:pos="2233"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 and</w:t>
      </w:r>
    </w:p>
    <w:p>
      <w:pPr>
        <w:spacing w:after="0" w:line="62" w:lineRule="exact"/>
        <w:rPr>
          <w:rFonts w:ascii="Arial" w:cs="Arial" w:eastAsia="Arial" w:hAnsi="Arial"/>
          <w:sz w:val="18"/>
          <w:szCs w:val="18"/>
          <w:color w:val="auto"/>
        </w:rPr>
      </w:pPr>
    </w:p>
    <w:p>
      <w:pPr>
        <w:ind w:left="1420" w:right="80" w:firstLine="391"/>
        <w:spacing w:after="0" w:line="277" w:lineRule="auto"/>
        <w:tabs>
          <w:tab w:leader="none" w:pos="2223"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Regulation S Global Note, then the transferor must deliver a certificate in the form of Exhibit B hereto, including the certifications in item (2) thereof.</w:t>
      </w:r>
    </w:p>
    <w:p>
      <w:pPr>
        <w:spacing w:after="0" w:line="62" w:lineRule="exact"/>
        <w:rPr>
          <w:rFonts w:ascii="Arial" w:cs="Arial" w:eastAsia="Arial" w:hAnsi="Arial"/>
          <w:sz w:val="18"/>
          <w:szCs w:val="18"/>
          <w:color w:val="auto"/>
        </w:rPr>
      </w:pPr>
    </w:p>
    <w:p>
      <w:pPr>
        <w:ind w:left="980" w:firstLine="408"/>
        <w:spacing w:after="0" w:line="301" w:lineRule="auto"/>
        <w:tabs>
          <w:tab w:leader="none" w:pos="176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49" w:lineRule="exact"/>
        <w:rPr>
          <w:rFonts w:ascii="Arial" w:cs="Arial" w:eastAsia="Arial" w:hAnsi="Arial"/>
          <w:sz w:val="16"/>
          <w:szCs w:val="16"/>
          <w:color w:val="auto"/>
        </w:rPr>
      </w:pPr>
    </w:p>
    <w:p>
      <w:pPr>
        <w:ind w:left="1980" w:right="180" w:firstLine="360"/>
        <w:spacing w:after="0" w:line="263" w:lineRule="auto"/>
        <w:tabs>
          <w:tab w:leader="none" w:pos="2691" w:val="left"/>
        </w:tabs>
        <w:numPr>
          <w:ilvl w:val="2"/>
          <w:numId w:val="203"/>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75" w:lineRule="exact"/>
        <w:rPr>
          <w:rFonts w:ascii="Arial" w:cs="Arial" w:eastAsia="Arial" w:hAnsi="Arial"/>
          <w:sz w:val="18"/>
          <w:szCs w:val="18"/>
          <w:color w:val="auto"/>
        </w:rPr>
      </w:pPr>
    </w:p>
    <w:p>
      <w:pPr>
        <w:jc w:val="both"/>
        <w:ind w:left="1980" w:right="40" w:firstLine="360"/>
        <w:spacing w:after="0" w:line="263" w:lineRule="auto"/>
        <w:tabs>
          <w:tab w:leader="none" w:pos="2741" w:val="left"/>
        </w:tabs>
        <w:numPr>
          <w:ilvl w:val="2"/>
          <w:numId w:val="203"/>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76" w:lineRule="exact"/>
        <w:rPr>
          <w:sz w:val="20"/>
          <w:szCs w:val="20"/>
          <w:color w:val="auto"/>
        </w:rPr>
      </w:pPr>
    </w:p>
    <w:p>
      <w:pPr>
        <w:ind w:left="1420" w:right="120"/>
        <w:spacing w:after="0" w:line="259" w:lineRule="auto"/>
        <w:rPr>
          <w:sz w:val="20"/>
          <w:szCs w:val="20"/>
          <w:color w:val="auto"/>
        </w:rPr>
      </w:pPr>
      <w:r>
        <w:rPr>
          <w:rFonts w:ascii="Arial" w:cs="Arial" w:eastAsia="Arial" w:hAnsi="Arial"/>
          <w:sz w:val="18"/>
          <w:szCs w:val="18"/>
          <w:color w:val="auto"/>
        </w:rPr>
        <w:t>and, in each such case set forth,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40" w:name="page241"/>
    <w:bookmarkEnd w:id="240"/>
    <w:p>
      <w:pPr>
        <w:jc w:val="both"/>
        <w:ind w:right="2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such transfer is effected pursuant to the paragraph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the paragraph above.</w:t>
      </w:r>
    </w:p>
    <w:p>
      <w:pPr>
        <w:spacing w:after="0" w:line="187"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70" w:lineRule="exact"/>
        <w:rPr>
          <w:sz w:val="20"/>
          <w:szCs w:val="20"/>
          <w:color w:val="auto"/>
        </w:rPr>
      </w:pPr>
    </w:p>
    <w:p>
      <w:pPr>
        <w:ind w:left="1360" w:hanging="373"/>
        <w:spacing w:after="0"/>
        <w:tabs>
          <w:tab w:leader="none" w:pos="1360"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60" w:firstLine="408"/>
        <w:spacing w:after="0" w:line="259" w:lineRule="auto"/>
        <w:tabs>
          <w:tab w:leader="none" w:pos="1770" w:val="left"/>
        </w:tabs>
        <w:numPr>
          <w:ilvl w:val="1"/>
          <w:numId w:val="204"/>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Notes to Restricted Definitive Notes. </w:t>
      </w:r>
      <w:r>
        <w:rPr>
          <w:rFonts w:ascii="Arial" w:cs="Arial" w:eastAsia="Arial" w:hAnsi="Arial"/>
          <w:sz w:val="18"/>
          <w:szCs w:val="18"/>
          <w:color w:val="auto"/>
        </w:rPr>
        <w:t>If any Holder of a beneficial interest in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78" w:lineRule="exact"/>
        <w:rPr>
          <w:rFonts w:ascii="Arial" w:cs="Arial" w:eastAsia="Arial" w:hAnsi="Arial"/>
          <w:sz w:val="18"/>
          <w:szCs w:val="18"/>
          <w:color w:val="auto"/>
        </w:rPr>
      </w:pPr>
    </w:p>
    <w:p>
      <w:pPr>
        <w:ind w:left="1420" w:right="120" w:firstLine="391"/>
        <w:spacing w:after="0" w:line="263" w:lineRule="auto"/>
        <w:tabs>
          <w:tab w:leader="none" w:pos="2233" w:val="left"/>
        </w:tabs>
        <w:numPr>
          <w:ilvl w:val="2"/>
          <w:numId w:val="204"/>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75" w:lineRule="exact"/>
        <w:rPr>
          <w:rFonts w:ascii="Arial" w:cs="Arial" w:eastAsia="Arial" w:hAnsi="Arial"/>
          <w:sz w:val="18"/>
          <w:szCs w:val="18"/>
          <w:color w:val="auto"/>
        </w:rPr>
      </w:pPr>
    </w:p>
    <w:p>
      <w:pPr>
        <w:ind w:left="1420" w:right="140" w:firstLine="391"/>
        <w:spacing w:after="0" w:line="277" w:lineRule="auto"/>
        <w:tabs>
          <w:tab w:leader="none" w:pos="2223" w:val="left"/>
        </w:tabs>
        <w:numPr>
          <w:ilvl w:val="2"/>
          <w:numId w:val="204"/>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1420" w:right="280" w:firstLine="391"/>
        <w:spacing w:after="0" w:line="308" w:lineRule="auto"/>
        <w:tabs>
          <w:tab w:leader="none" w:pos="2223" w:val="left"/>
        </w:tabs>
        <w:numPr>
          <w:ilvl w:val="2"/>
          <w:numId w:val="204"/>
        </w:numPr>
        <w:rPr>
          <w:rFonts w:ascii="Arial" w:cs="Arial" w:eastAsia="Arial" w:hAnsi="Arial"/>
          <w:sz w:val="17"/>
          <w:szCs w:val="17"/>
          <w:color w:val="auto"/>
        </w:rPr>
      </w:pPr>
      <w:r>
        <w:rPr>
          <w:rFonts w:ascii="Arial" w:cs="Arial" w:eastAsia="Arial" w:hAnsi="Arial"/>
          <w:sz w:val="17"/>
          <w:szCs w:val="17"/>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38" w:lineRule="exact"/>
        <w:rPr>
          <w:rFonts w:ascii="Arial" w:cs="Arial" w:eastAsia="Arial" w:hAnsi="Arial"/>
          <w:sz w:val="17"/>
          <w:szCs w:val="17"/>
          <w:color w:val="auto"/>
        </w:rPr>
      </w:pPr>
    </w:p>
    <w:p>
      <w:pPr>
        <w:ind w:left="1420" w:firstLine="391"/>
        <w:spacing w:after="0" w:line="291" w:lineRule="auto"/>
        <w:tabs>
          <w:tab w:leader="none" w:pos="2233" w:val="left"/>
        </w:tabs>
        <w:numPr>
          <w:ilvl w:val="2"/>
          <w:numId w:val="204"/>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w:t>
      </w:r>
    </w:p>
    <w:p>
      <w:pPr>
        <w:ind w:left="1420"/>
        <w:spacing w:after="0"/>
        <w:rPr>
          <w:rFonts w:ascii="Arial" w:cs="Arial" w:eastAsia="Arial" w:hAnsi="Arial"/>
          <w:sz w:val="16"/>
          <w:szCs w:val="16"/>
          <w:color w:val="auto"/>
        </w:rPr>
      </w:pPr>
      <w:r>
        <w:rPr>
          <w:rFonts w:ascii="Arial" w:cs="Arial" w:eastAsia="Arial" w:hAnsi="Arial"/>
          <w:sz w:val="18"/>
          <w:szCs w:val="18"/>
          <w:color w:val="auto"/>
        </w:rPr>
        <w:t>(3)(a) thereof;</w:t>
      </w:r>
    </w:p>
    <w:p>
      <w:pPr>
        <w:spacing w:after="0" w:line="102" w:lineRule="exact"/>
        <w:rPr>
          <w:rFonts w:ascii="Arial" w:cs="Arial" w:eastAsia="Arial" w:hAnsi="Arial"/>
          <w:sz w:val="16"/>
          <w:szCs w:val="16"/>
          <w:color w:val="auto"/>
        </w:rPr>
      </w:pPr>
    </w:p>
    <w:p>
      <w:pPr>
        <w:ind w:left="1420" w:right="20" w:firstLine="391"/>
        <w:spacing w:after="0" w:line="277" w:lineRule="auto"/>
        <w:tabs>
          <w:tab w:leader="none" w:pos="2213" w:val="left"/>
        </w:tabs>
        <w:numPr>
          <w:ilvl w:val="2"/>
          <w:numId w:val="204"/>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1420" w:right="260" w:firstLine="391"/>
        <w:spacing w:after="0" w:line="277" w:lineRule="auto"/>
        <w:tabs>
          <w:tab w:leader="none" w:pos="2203" w:val="left"/>
        </w:tabs>
        <w:numPr>
          <w:ilvl w:val="2"/>
          <w:numId w:val="204"/>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41" w:name="page242"/>
    <w:bookmarkEnd w:id="241"/>
    <w:p>
      <w:pPr>
        <w:jc w:val="both"/>
        <w:ind w:left="-7" w:right="20" w:firstLine="408"/>
        <w:spacing w:after="0" w:line="311" w:lineRule="auto"/>
        <w:tabs>
          <w:tab w:leader="none" w:pos="783" w:val="left"/>
        </w:tabs>
        <w:numPr>
          <w:ilvl w:val="0"/>
          <w:numId w:val="20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Beneficial Interests in Restricted Global Notes to Unrestricted Definitive Notes. </w:t>
      </w:r>
      <w:r>
        <w:rPr>
          <w:rFonts w:ascii="Arial" w:cs="Arial" w:eastAsia="Arial" w:hAnsi="Arial"/>
          <w:sz w:val="16"/>
          <w:szCs w:val="16"/>
          <w:color w:val="auto"/>
        </w:rPr>
        <w:t>A Holder of a beneficial interest in a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40" w:lineRule="exact"/>
        <w:rPr>
          <w:rFonts w:ascii="Arial" w:cs="Arial" w:eastAsia="Arial" w:hAnsi="Arial"/>
          <w:sz w:val="16"/>
          <w:szCs w:val="16"/>
          <w:color w:val="auto"/>
        </w:rPr>
      </w:pPr>
    </w:p>
    <w:p>
      <w:pPr>
        <w:ind w:left="993" w:right="160" w:firstLine="360"/>
        <w:spacing w:after="0" w:line="263" w:lineRule="auto"/>
        <w:tabs>
          <w:tab w:leader="none" w:pos="170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75" w:lineRule="exact"/>
        <w:rPr>
          <w:rFonts w:ascii="Arial" w:cs="Arial" w:eastAsia="Arial" w:hAnsi="Arial"/>
          <w:sz w:val="18"/>
          <w:szCs w:val="18"/>
          <w:color w:val="auto"/>
        </w:rPr>
      </w:pPr>
    </w:p>
    <w:p>
      <w:pPr>
        <w:jc w:val="both"/>
        <w:ind w:left="993" w:right="60" w:firstLine="360"/>
        <w:spacing w:after="0" w:line="263" w:lineRule="auto"/>
        <w:tabs>
          <w:tab w:leader="none" w:pos="175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76" w:lineRule="exact"/>
        <w:rPr>
          <w:sz w:val="20"/>
          <w:szCs w:val="20"/>
          <w:color w:val="auto"/>
        </w:rPr>
      </w:pPr>
    </w:p>
    <w:p>
      <w:pPr>
        <w:ind w:left="433" w:right="24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ind w:left="-7" w:right="60" w:firstLine="408"/>
        <w:spacing w:after="0" w:line="288" w:lineRule="auto"/>
        <w:tabs>
          <w:tab w:leader="none" w:pos="783" w:val="left"/>
        </w:tabs>
        <w:numPr>
          <w:ilvl w:val="1"/>
          <w:numId w:val="206"/>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Notes to Unrestricted Definitive Notes. </w:t>
      </w:r>
      <w:r>
        <w:rPr>
          <w:rFonts w:ascii="Arial" w:cs="Arial" w:eastAsia="Arial" w:hAnsi="Arial"/>
          <w:sz w:val="16"/>
          <w:szCs w:val="16"/>
          <w:color w:val="auto"/>
        </w:rPr>
        <w:t>If any Holder of a beneficial interest in an</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68" w:lineRule="exact"/>
        <w:rPr>
          <w:rFonts w:ascii="Arial" w:cs="Arial" w:eastAsia="Arial" w:hAnsi="Arial"/>
          <w:sz w:val="16"/>
          <w:szCs w:val="16"/>
          <w:color w:val="auto"/>
        </w:rPr>
      </w:pPr>
    </w:p>
    <w:p>
      <w:pPr>
        <w:ind w:left="393" w:hanging="393"/>
        <w:spacing w:after="0"/>
        <w:tabs>
          <w:tab w:leader="none" w:pos="393"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firstLine="408"/>
        <w:spacing w:after="0" w:line="259" w:lineRule="auto"/>
        <w:tabs>
          <w:tab w:leader="none" w:pos="783" w:val="left"/>
        </w:tabs>
        <w:numPr>
          <w:ilvl w:val="1"/>
          <w:numId w:val="207"/>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Restricted Global Notes. </w:t>
      </w:r>
      <w:r>
        <w:rPr>
          <w:rFonts w:ascii="Arial" w:cs="Arial" w:eastAsia="Arial" w:hAnsi="Arial"/>
          <w:sz w:val="18"/>
          <w:szCs w:val="18"/>
          <w:color w:val="auto"/>
        </w:rPr>
        <w:t>If any Holder of a 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8" w:lineRule="exact"/>
        <w:rPr>
          <w:rFonts w:ascii="Arial" w:cs="Arial" w:eastAsia="Arial" w:hAnsi="Arial"/>
          <w:sz w:val="18"/>
          <w:szCs w:val="18"/>
          <w:color w:val="auto"/>
        </w:rPr>
      </w:pPr>
    </w:p>
    <w:p>
      <w:pPr>
        <w:ind w:left="433" w:right="160" w:firstLine="391"/>
        <w:spacing w:after="0" w:line="342" w:lineRule="auto"/>
        <w:tabs>
          <w:tab w:leader="none" w:pos="1246" w:val="left"/>
        </w:tabs>
        <w:numPr>
          <w:ilvl w:val="2"/>
          <w:numId w:val="207"/>
        </w:numPr>
        <w:rPr>
          <w:rFonts w:ascii="Arial" w:cs="Arial" w:eastAsia="Arial" w:hAnsi="Arial"/>
          <w:sz w:val="16"/>
          <w:szCs w:val="16"/>
          <w:color w:val="auto"/>
        </w:rPr>
      </w:pPr>
      <w:r>
        <w:rPr>
          <w:rFonts w:ascii="Arial" w:cs="Arial" w:eastAsia="Arial" w:hAnsi="Arial"/>
          <w:sz w:val="16"/>
          <w:szCs w:val="16"/>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15" w:lineRule="exact"/>
        <w:rPr>
          <w:rFonts w:ascii="Arial" w:cs="Arial" w:eastAsia="Arial" w:hAnsi="Arial"/>
          <w:sz w:val="16"/>
          <w:szCs w:val="16"/>
          <w:color w:val="auto"/>
        </w:rPr>
      </w:pPr>
    </w:p>
    <w:p>
      <w:pPr>
        <w:ind w:left="433" w:right="160" w:firstLine="391"/>
        <w:spacing w:after="0" w:line="277" w:lineRule="auto"/>
        <w:tabs>
          <w:tab w:leader="none" w:pos="1236" w:val="left"/>
        </w:tabs>
        <w:numPr>
          <w:ilvl w:val="2"/>
          <w:numId w:val="207"/>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433" w:right="20" w:firstLine="391"/>
        <w:spacing w:after="0" w:line="308" w:lineRule="auto"/>
        <w:tabs>
          <w:tab w:leader="none" w:pos="1236" w:val="left"/>
        </w:tabs>
        <w:numPr>
          <w:ilvl w:val="2"/>
          <w:numId w:val="207"/>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79"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993"/>
          </w:cols>
          <w:pgMar w:left="1427" w:top="274" w:right="479" w:bottom="1440" w:gutter="0" w:footer="0" w:header="0"/>
        </w:sectPr>
      </w:pPr>
    </w:p>
    <w:bookmarkStart w:id="242" w:name="page243"/>
    <w:bookmarkEnd w:id="242"/>
    <w:p>
      <w:pPr>
        <w:ind w:left="1420" w:right="20" w:firstLine="391"/>
        <w:spacing w:after="0" w:line="291" w:lineRule="auto"/>
        <w:tabs>
          <w:tab w:leader="none" w:pos="2233" w:val="left"/>
        </w:tabs>
        <w:numPr>
          <w:ilvl w:val="0"/>
          <w:numId w:val="2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Restricted Definitive Note is being transferred pursuant to an exemption from the registration requirements of the Securities Act in accordance with Rule 144, a certificate to the effect set forth in Exhibit B hereto, including the certifications in item</w:t>
      </w:r>
    </w:p>
    <w:p>
      <w:pPr>
        <w:ind w:left="1420"/>
        <w:spacing w:after="0"/>
        <w:rPr>
          <w:rFonts w:ascii="Arial" w:cs="Arial" w:eastAsia="Arial" w:hAnsi="Arial"/>
          <w:sz w:val="16"/>
          <w:szCs w:val="16"/>
          <w:color w:val="auto"/>
        </w:rPr>
      </w:pPr>
      <w:r>
        <w:rPr>
          <w:rFonts w:ascii="Arial" w:cs="Arial" w:eastAsia="Arial" w:hAnsi="Arial"/>
          <w:sz w:val="18"/>
          <w:szCs w:val="18"/>
          <w:color w:val="auto"/>
        </w:rPr>
        <w:t>(3)(a) thereof;</w:t>
      </w:r>
    </w:p>
    <w:p>
      <w:pPr>
        <w:spacing w:after="0" w:line="102" w:lineRule="exact"/>
        <w:rPr>
          <w:rFonts w:ascii="Arial" w:cs="Arial" w:eastAsia="Arial" w:hAnsi="Arial"/>
          <w:sz w:val="16"/>
          <w:szCs w:val="16"/>
          <w:color w:val="auto"/>
        </w:rPr>
      </w:pPr>
    </w:p>
    <w:p>
      <w:pPr>
        <w:ind w:left="1420" w:right="80" w:firstLine="391"/>
        <w:spacing w:after="0" w:line="277" w:lineRule="auto"/>
        <w:tabs>
          <w:tab w:leader="none" w:pos="221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1420" w:right="140" w:firstLine="391"/>
        <w:spacing w:after="0" w:line="308" w:lineRule="auto"/>
        <w:tabs>
          <w:tab w:leader="none" w:pos="2203"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38" w:lineRule="exact"/>
        <w:rPr>
          <w:sz w:val="20"/>
          <w:szCs w:val="20"/>
          <w:color w:val="auto"/>
        </w:rPr>
      </w:pPr>
    </w:p>
    <w:p>
      <w:pPr>
        <w:ind w:left="1420" w:right="580"/>
        <w:spacing w:after="0" w:line="277" w:lineRule="auto"/>
        <w:rPr>
          <w:sz w:val="20"/>
          <w:szCs w:val="20"/>
          <w:color w:val="auto"/>
        </w:rPr>
      </w:pPr>
      <w:r>
        <w:rPr>
          <w:rFonts w:ascii="Arial" w:cs="Arial" w:eastAsia="Arial" w:hAnsi="Arial"/>
          <w:sz w:val="18"/>
          <w:szCs w:val="18"/>
          <w:color w:val="auto"/>
        </w:rPr>
        <w:t>the Trustee will cancel the Restricted Definitive Note, increase or cause to be increased the aggregate principal amount of the appropriate Restricted Global Note.</w:t>
      </w:r>
    </w:p>
    <w:p>
      <w:pPr>
        <w:spacing w:after="0" w:line="62" w:lineRule="exact"/>
        <w:rPr>
          <w:sz w:val="20"/>
          <w:szCs w:val="20"/>
          <w:color w:val="auto"/>
        </w:rPr>
      </w:pPr>
    </w:p>
    <w:p>
      <w:pPr>
        <w:ind w:left="980" w:right="180" w:firstLine="408"/>
        <w:spacing w:after="0" w:line="311" w:lineRule="auto"/>
        <w:tabs>
          <w:tab w:leader="none" w:pos="1770" w:val="left"/>
        </w:tabs>
        <w:numPr>
          <w:ilvl w:val="0"/>
          <w:numId w:val="209"/>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Beneficial Interests in Unrestricted Global Notes. </w:t>
      </w:r>
      <w:r>
        <w:rPr>
          <w:rFonts w:ascii="Arial" w:cs="Arial" w:eastAsia="Arial" w:hAnsi="Arial"/>
          <w:sz w:val="16"/>
          <w:szCs w:val="16"/>
          <w:color w:val="auto"/>
        </w:rPr>
        <w:t>A Holder of a Restricted Definitive Note may</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40" w:lineRule="exact"/>
        <w:rPr>
          <w:rFonts w:ascii="Arial" w:cs="Arial" w:eastAsia="Arial" w:hAnsi="Arial"/>
          <w:sz w:val="16"/>
          <w:szCs w:val="16"/>
          <w:color w:val="auto"/>
        </w:rPr>
      </w:pPr>
    </w:p>
    <w:p>
      <w:pPr>
        <w:ind w:left="1980" w:firstLine="360"/>
        <w:spacing w:after="0" w:line="263" w:lineRule="auto"/>
        <w:tabs>
          <w:tab w:leader="none" w:pos="269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75" w:lineRule="exact"/>
        <w:rPr>
          <w:rFonts w:ascii="Arial" w:cs="Arial" w:eastAsia="Arial" w:hAnsi="Arial"/>
          <w:sz w:val="18"/>
          <w:szCs w:val="18"/>
          <w:color w:val="auto"/>
        </w:rPr>
      </w:pPr>
    </w:p>
    <w:p>
      <w:pPr>
        <w:ind w:left="1980" w:right="140" w:firstLine="360"/>
        <w:spacing w:after="0" w:line="263" w:lineRule="auto"/>
        <w:tabs>
          <w:tab w:leader="none" w:pos="274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76" w:lineRule="exact"/>
        <w:rPr>
          <w:sz w:val="20"/>
          <w:szCs w:val="20"/>
          <w:color w:val="auto"/>
        </w:rPr>
      </w:pPr>
    </w:p>
    <w:p>
      <w:pPr>
        <w:ind w:left="1420" w:right="28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Upon satisfaction of the conditions in this Section 2.06(d)(2), the Trustee will cancel the Definitive Notes and increase or cause to be increased the aggregate principal amount of the Unrestricted Global Note.</w:t>
      </w:r>
    </w:p>
    <w:p>
      <w:pPr>
        <w:spacing w:after="0" w:line="62" w:lineRule="exact"/>
        <w:rPr>
          <w:sz w:val="20"/>
          <w:szCs w:val="20"/>
          <w:color w:val="auto"/>
        </w:rPr>
      </w:pPr>
    </w:p>
    <w:p>
      <w:pPr>
        <w:ind w:left="980" w:right="120" w:firstLine="408"/>
        <w:spacing w:after="0" w:line="257" w:lineRule="auto"/>
        <w:tabs>
          <w:tab w:leader="none" w:pos="177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Beneficial Interests in Unrestricted Global Notes. </w:t>
      </w:r>
      <w:r>
        <w:rPr>
          <w:rFonts w:ascii="Arial" w:cs="Arial" w:eastAsia="Arial" w:hAnsi="Arial"/>
          <w:sz w:val="18"/>
          <w:szCs w:val="18"/>
          <w:color w:val="auto"/>
        </w:rPr>
        <w:t>A Holder of an Unrestricted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8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If any such exchange or transfer from a Definitive Note to a beneficial interest is effected pursuant to subparagraphs (1)(B), (1)(D) or</w:t>
      </w:r>
    </w:p>
    <w:p>
      <w:pPr>
        <w:spacing w:after="0" w:line="46" w:lineRule="exact"/>
        <w:rPr>
          <w:sz w:val="20"/>
          <w:szCs w:val="20"/>
          <w:color w:val="auto"/>
        </w:rPr>
      </w:pPr>
    </w:p>
    <w:p>
      <w:pPr>
        <w:ind w:left="980" w:right="280" w:firstLine="7"/>
        <w:spacing w:after="0" w:line="255" w:lineRule="auto"/>
        <w:tabs>
          <w:tab w:leader="none" w:pos="123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243" w:name="page244"/>
    <w:bookmarkEnd w:id="243"/>
    <w:p>
      <w:pPr>
        <w:ind w:firstLine="987"/>
        <w:spacing w:after="0" w:line="255" w:lineRule="auto"/>
        <w:tabs>
          <w:tab w:leader="none" w:pos="1371"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 and Exchange of Definitive Notes for Definitive Notes. </w:t>
      </w:r>
      <w:r>
        <w:rPr>
          <w:rFonts w:ascii="Arial" w:cs="Arial" w:eastAsia="Arial" w:hAnsi="Arial"/>
          <w:sz w:val="18"/>
          <w:szCs w:val="18"/>
          <w:color w:val="auto"/>
        </w:rPr>
        <w:t>Upon request by a Holder of Definitive Notes and such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84" w:lineRule="exact"/>
        <w:rPr>
          <w:rFonts w:ascii="Arial" w:cs="Arial" w:eastAsia="Arial" w:hAnsi="Arial"/>
          <w:sz w:val="18"/>
          <w:szCs w:val="18"/>
          <w:color w:val="auto"/>
        </w:rPr>
      </w:pPr>
    </w:p>
    <w:p>
      <w:pPr>
        <w:ind w:left="980" w:right="140" w:firstLine="408"/>
        <w:spacing w:after="0" w:line="342" w:lineRule="auto"/>
        <w:tabs>
          <w:tab w:leader="none" w:pos="1770" w:val="left"/>
        </w:tabs>
        <w:numPr>
          <w:ilvl w:val="1"/>
          <w:numId w:val="212"/>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Restricted Definitive Notes. </w:t>
      </w:r>
      <w:r>
        <w:rPr>
          <w:rFonts w:ascii="Arial" w:cs="Arial" w:eastAsia="Arial" w:hAnsi="Arial"/>
          <w:sz w:val="16"/>
          <w:szCs w:val="16"/>
          <w:color w:val="auto"/>
        </w:rPr>
        <w:t>Any Restricted Definitive Note may be transferred to and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name of Persons who take delivery thereof in the form of a Restricted Definitive Note if the Registrar receives the following:</w:t>
      </w:r>
    </w:p>
    <w:p>
      <w:pPr>
        <w:spacing w:after="0" w:line="15" w:lineRule="exact"/>
        <w:rPr>
          <w:rFonts w:ascii="Arial" w:cs="Arial" w:eastAsia="Arial" w:hAnsi="Arial"/>
          <w:sz w:val="16"/>
          <w:szCs w:val="16"/>
          <w:color w:val="auto"/>
        </w:rPr>
      </w:pPr>
    </w:p>
    <w:p>
      <w:pPr>
        <w:ind w:left="1420" w:right="120" w:firstLine="391"/>
        <w:spacing w:after="0" w:line="277" w:lineRule="auto"/>
        <w:tabs>
          <w:tab w:leader="none" w:pos="2233" w:val="left"/>
        </w:tabs>
        <w:numPr>
          <w:ilvl w:val="3"/>
          <w:numId w:val="212"/>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62" w:lineRule="exact"/>
        <w:rPr>
          <w:rFonts w:ascii="Arial" w:cs="Arial" w:eastAsia="Arial" w:hAnsi="Arial"/>
          <w:sz w:val="18"/>
          <w:szCs w:val="18"/>
          <w:color w:val="auto"/>
        </w:rPr>
      </w:pPr>
    </w:p>
    <w:p>
      <w:pPr>
        <w:ind w:left="1420" w:right="100" w:firstLine="391"/>
        <w:spacing w:after="0" w:line="277" w:lineRule="auto"/>
        <w:tabs>
          <w:tab w:leader="none" w:pos="2223" w:val="left"/>
        </w:tabs>
        <w:numPr>
          <w:ilvl w:val="3"/>
          <w:numId w:val="212"/>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 must deliver a certificate in the form of Exhibit B hereto, including the certifications in item (2) thereof; and</w:t>
      </w:r>
    </w:p>
    <w:p>
      <w:pPr>
        <w:spacing w:after="0" w:line="62" w:lineRule="exact"/>
        <w:rPr>
          <w:rFonts w:ascii="Arial" w:cs="Arial" w:eastAsia="Arial" w:hAnsi="Arial"/>
          <w:sz w:val="18"/>
          <w:szCs w:val="18"/>
          <w:color w:val="auto"/>
        </w:rPr>
      </w:pPr>
    </w:p>
    <w:p>
      <w:pPr>
        <w:ind w:left="1420" w:right="20" w:firstLine="391"/>
        <w:spacing w:after="0" w:line="291" w:lineRule="auto"/>
        <w:tabs>
          <w:tab w:leader="none" w:pos="2223" w:val="left"/>
        </w:tabs>
        <w:numPr>
          <w:ilvl w:val="3"/>
          <w:numId w:val="212"/>
        </w:numPr>
        <w:rPr>
          <w:rFonts w:ascii="Arial" w:cs="Arial" w:eastAsia="Arial" w:hAnsi="Arial"/>
          <w:sz w:val="16"/>
          <w:szCs w:val="16"/>
          <w:color w:val="auto"/>
        </w:rPr>
      </w:pPr>
      <w:r>
        <w:rPr>
          <w:rFonts w:ascii="Arial" w:cs="Arial" w:eastAsia="Arial" w:hAnsi="Arial"/>
          <w:sz w:val="16"/>
          <w:szCs w:val="16"/>
          <w:color w:val="auto"/>
        </w:rPr>
        <w:t>if the transfer will be made pursuant to any other exemption from the registration requirements of the Securities Act, then the transferor must deliver a certificate in the form of Exhibit B hereto, including the certifications and certificates required by item</w:t>
      </w:r>
    </w:p>
    <w:p>
      <w:pPr>
        <w:ind w:left="1680" w:hanging="252"/>
        <w:spacing w:after="0"/>
        <w:tabs>
          <w:tab w:leader="none" w:pos="168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102" w:lineRule="exact"/>
        <w:rPr>
          <w:rFonts w:ascii="Arial" w:cs="Arial" w:eastAsia="Arial" w:hAnsi="Arial"/>
          <w:sz w:val="18"/>
          <w:szCs w:val="18"/>
          <w:color w:val="auto"/>
        </w:rPr>
      </w:pPr>
    </w:p>
    <w:p>
      <w:pPr>
        <w:jc w:val="both"/>
        <w:ind w:left="980" w:right="180" w:firstLine="408"/>
        <w:spacing w:after="0" w:line="263" w:lineRule="auto"/>
        <w:tabs>
          <w:tab w:leader="none" w:pos="1770" w:val="left"/>
        </w:tabs>
        <w:numPr>
          <w:ilvl w:val="1"/>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Unrestricted Definitive Notes. </w:t>
      </w:r>
      <w:r>
        <w:rPr>
          <w:rFonts w:ascii="Arial" w:cs="Arial" w:eastAsia="Arial" w:hAnsi="Arial"/>
          <w:sz w:val="18"/>
          <w:szCs w:val="18"/>
          <w:color w:val="auto"/>
        </w:rPr>
        <w:t>Any Restricted Definitive Note may be exchanged by the Holder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for an Unrestricted Definitive Note or transferred to a Person or Persons who take delivery thereof in the form of an Unrestricted Definitive Note if the Registrar receives the following:</w:t>
      </w:r>
    </w:p>
    <w:p>
      <w:pPr>
        <w:spacing w:after="0" w:line="75" w:lineRule="exact"/>
        <w:rPr>
          <w:rFonts w:ascii="Arial" w:cs="Arial" w:eastAsia="Arial" w:hAnsi="Arial"/>
          <w:sz w:val="18"/>
          <w:szCs w:val="18"/>
          <w:color w:val="auto"/>
        </w:rPr>
      </w:pPr>
    </w:p>
    <w:p>
      <w:pPr>
        <w:ind w:left="1980" w:right="200" w:firstLine="360"/>
        <w:spacing w:after="0" w:line="342" w:lineRule="auto"/>
        <w:tabs>
          <w:tab w:leader="none" w:pos="2691" w:val="left"/>
        </w:tabs>
        <w:numPr>
          <w:ilvl w:val="4"/>
          <w:numId w:val="212"/>
        </w:numPr>
        <w:rPr>
          <w:rFonts w:ascii="Arial" w:cs="Arial" w:eastAsia="Arial" w:hAnsi="Arial"/>
          <w:sz w:val="16"/>
          <w:szCs w:val="16"/>
          <w:color w:val="auto"/>
        </w:rPr>
      </w:pPr>
      <w:r>
        <w:rPr>
          <w:rFonts w:ascii="Arial" w:cs="Arial" w:eastAsia="Arial" w:hAnsi="Arial"/>
          <w:sz w:val="16"/>
          <w:szCs w:val="16"/>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15" w:lineRule="exact"/>
        <w:rPr>
          <w:rFonts w:ascii="Arial" w:cs="Arial" w:eastAsia="Arial" w:hAnsi="Arial"/>
          <w:sz w:val="16"/>
          <w:szCs w:val="16"/>
          <w:color w:val="auto"/>
        </w:rPr>
      </w:pPr>
    </w:p>
    <w:p>
      <w:pPr>
        <w:jc w:val="both"/>
        <w:ind w:left="1980" w:right="500" w:firstLine="360"/>
        <w:spacing w:after="0" w:line="263" w:lineRule="auto"/>
        <w:tabs>
          <w:tab w:leader="none" w:pos="2741" w:val="left"/>
        </w:tabs>
        <w:numPr>
          <w:ilvl w:val="4"/>
          <w:numId w:val="212"/>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76" w:lineRule="exact"/>
        <w:rPr>
          <w:sz w:val="20"/>
          <w:szCs w:val="20"/>
          <w:color w:val="auto"/>
        </w:rPr>
      </w:pPr>
    </w:p>
    <w:p>
      <w:pPr>
        <w:ind w:left="1420" w:right="6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ind w:left="980" w:right="260" w:firstLine="408"/>
        <w:spacing w:after="0" w:line="311" w:lineRule="auto"/>
        <w:tabs>
          <w:tab w:leader="none" w:pos="1770"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Unrestricted Definitive Notes to Unrestricted Definitive Notes. </w:t>
      </w:r>
      <w:r>
        <w:rPr>
          <w:rFonts w:ascii="Arial" w:cs="Arial" w:eastAsia="Arial" w:hAnsi="Arial"/>
          <w:sz w:val="16"/>
          <w:szCs w:val="16"/>
          <w:color w:val="auto"/>
        </w:rPr>
        <w:t>A Holder of Unrestricted Definitive Notes may transfer such</w:t>
      </w:r>
      <w:r>
        <w:rPr>
          <w:rFonts w:ascii="Arial" w:cs="Arial" w:eastAsia="Arial" w:hAnsi="Arial"/>
          <w:sz w:val="16"/>
          <w:szCs w:val="16"/>
          <w:i w:val="1"/>
          <w:iCs w:val="1"/>
          <w:color w:val="auto"/>
        </w:rPr>
        <w:t xml:space="preserve"> </w:t>
      </w:r>
      <w:r>
        <w:rPr>
          <w:rFonts w:ascii="Arial" w:cs="Arial" w:eastAsia="Arial" w:hAnsi="Arial"/>
          <w:sz w:val="16"/>
          <w:szCs w:val="16"/>
          <w:color w:val="auto"/>
        </w:rPr>
        <w:t>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244" w:name="page245"/>
    <w:bookmarkEnd w:id="244"/>
    <w:p>
      <w:pPr>
        <w:ind w:left="4" w:right="160" w:firstLine="987"/>
        <w:spacing w:after="0" w:line="277" w:lineRule="auto"/>
        <w:tabs>
          <w:tab w:leader="none" w:pos="1355"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w:t>
      </w:r>
    </w:p>
    <w:p>
      <w:pPr>
        <w:spacing w:after="0" w:line="62" w:lineRule="exact"/>
        <w:rPr>
          <w:rFonts w:ascii="Arial" w:cs="Arial" w:eastAsia="Arial" w:hAnsi="Arial"/>
          <w:sz w:val="18"/>
          <w:szCs w:val="18"/>
          <w:color w:val="auto"/>
        </w:rPr>
      </w:pPr>
    </w:p>
    <w:p>
      <w:pPr>
        <w:ind w:left="1784" w:hanging="392"/>
        <w:spacing w:after="0"/>
        <w:tabs>
          <w:tab w:leader="none" w:pos="1784" w:val="left"/>
        </w:tabs>
        <w:numPr>
          <w:ilvl w:val="1"/>
          <w:numId w:val="214"/>
        </w:numPr>
        <w:rPr>
          <w:rFonts w:ascii="Arial" w:cs="Arial" w:eastAsia="Arial" w:hAnsi="Arial"/>
          <w:sz w:val="18"/>
          <w:szCs w:val="18"/>
          <w:color w:val="auto"/>
        </w:rPr>
      </w:pPr>
      <w:r>
        <w:rPr>
          <w:rFonts w:ascii="Arial" w:cs="Arial" w:eastAsia="Arial" w:hAnsi="Arial"/>
          <w:sz w:val="18"/>
          <w:szCs w:val="18"/>
          <w:color w:val="auto"/>
        </w:rPr>
        <w:t>Private Placement Legend.</w:t>
      </w:r>
    </w:p>
    <w:p>
      <w:pPr>
        <w:spacing w:after="0" w:line="117" w:lineRule="exact"/>
        <w:rPr>
          <w:rFonts w:ascii="Arial" w:cs="Arial" w:eastAsia="Arial" w:hAnsi="Arial"/>
          <w:sz w:val="18"/>
          <w:szCs w:val="18"/>
          <w:color w:val="auto"/>
        </w:rPr>
      </w:pPr>
    </w:p>
    <w:p>
      <w:pPr>
        <w:ind w:left="1424" w:right="80" w:firstLine="391"/>
        <w:spacing w:after="0" w:line="277" w:lineRule="auto"/>
        <w:tabs>
          <w:tab w:leader="none" w:pos="2237" w:val="left"/>
        </w:tabs>
        <w:numPr>
          <w:ilvl w:val="2"/>
          <w:numId w:val="214"/>
        </w:numPr>
        <w:rPr>
          <w:rFonts w:ascii="Arial" w:cs="Arial" w:eastAsia="Arial" w:hAnsi="Arial"/>
          <w:sz w:val="18"/>
          <w:szCs w:val="18"/>
          <w:color w:val="auto"/>
        </w:rPr>
      </w:pPr>
      <w:r>
        <w:rPr>
          <w:rFonts w:ascii="Arial" w:cs="Arial" w:eastAsia="Arial" w:hAnsi="Arial"/>
          <w:sz w:val="18"/>
          <w:szCs w:val="18"/>
          <w:color w:val="auto"/>
        </w:rPr>
        <w:t>Except as permitted by subparagraph (C) below, each 144A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w:t>
      </w:r>
    </w:p>
    <w:p>
      <w:pPr>
        <w:spacing w:after="0" w:line="170"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IF AT ANY TIME THE COMPANY DETERMINES IN GOOD FAITH THAT A HOLDER OR BENEFICIAL OWNER OF THIS SECURITY OR BENEFICIAL INTERESTS HEREIN IS IN BREACH, AT THE TIME GIVEN, OF ANY OF THE TRANSFER RESTRICTIONS SET FORTH HEREIN AND IN THE INDENTURE, THE COMPANY SHALL REQUIRE SUCH HOLDER TO TRANSFER THIS SECURITY (OR INTEREST HEREIN) TO A TRANSFEREE ACCEPTABLE TO THE COMPANY WHO IS ABLE TO AND WHO DOES SATISFY ALL OF THE REQUIREMENTS SET FORTH HEREIN AND IN THE INDENTURE. PENDING SUCH TRANSFER, SUCH HOLDER WILL BE DEEMED NOT TO BE THE HOLDER OF THIS SECURITY (OR INTEREST HEREIN) FOR ANY PURPOSE, INCLUDING BUT NOT LIMITED TO RECEIPT OF PRINCIPAL AND INTEREST PAYMENTS ON THE SECURITY, AND SUCH HOLDER WILL BE DEEMED TO HAVE NO INTEREST WHATSOEVER IN THE SECURITY EXCEPT AS OTHERWISE REQUIRED TO SELL ITS INTEREST THEREIN AS DESCRIBED HEREIN.</w:t>
      </w:r>
    </w:p>
    <w:p>
      <w:pPr>
        <w:spacing w:after="0" w:line="178" w:lineRule="exact"/>
        <w:rPr>
          <w:sz w:val="20"/>
          <w:szCs w:val="20"/>
          <w:color w:val="auto"/>
        </w:rPr>
      </w:pPr>
    </w:p>
    <w:p>
      <w:pPr>
        <w:ind w:left="4" w:right="200"/>
        <w:spacing w:after="0" w:line="275" w:lineRule="auto"/>
        <w:rPr>
          <w:sz w:val="20"/>
          <w:szCs w:val="20"/>
          <w:color w:val="auto"/>
        </w:rPr>
      </w:pPr>
      <w:r>
        <w:rPr>
          <w:rFonts w:ascii="Arial" w:cs="Arial" w:eastAsia="Arial" w:hAnsi="Arial"/>
          <w:sz w:val="17"/>
          <w:szCs w:val="17"/>
          <w:color w:val="auto"/>
        </w:rPr>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6" w:lineRule="exact"/>
        <w:rPr>
          <w:sz w:val="20"/>
          <w:szCs w:val="20"/>
          <w:color w:val="auto"/>
        </w:rPr>
      </w:pPr>
    </w:p>
    <w:p>
      <w:pPr>
        <w:ind w:left="4"/>
        <w:spacing w:after="0" w:line="266" w:lineRule="auto"/>
        <w:rPr>
          <w:sz w:val="20"/>
          <w:szCs w:val="20"/>
          <w:color w:val="auto"/>
        </w:rPr>
      </w:pPr>
      <w:r>
        <w:rPr>
          <w:rFonts w:ascii="Arial" w:cs="Arial" w:eastAsia="Arial" w:hAnsi="Arial"/>
          <w:sz w:val="17"/>
          <w:szCs w:val="17"/>
          <w:color w:val="auto"/>
        </w:rPr>
        <w:t>THE HOLDER OF THIS NOTE BY ITS ACCEPTANCE HEREOF AGREES TO OFFER, SELL OR OTHERWISE TRANSFER SUCH NOTE, PRIOR TO THE DATE (THE “RESALE RESTRICTION TERMINATION DATE”) WHICH IS ONE YEAR AFTER THE LATER OF THE ORIGINAL ISSUE DATE HEREOF AND THE LAST DATE ON WHICH THE COMPANY OR ANY AFFILIATE OF THE COMPANY WAS THE OWNER OF THIS NOTE (OR ANY PREDECESSOR OF THIS NOTE) ONLY (A) TO THE COMPANY, THE SUBSIDIARY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w:t>
      </w:r>
    </w:p>
    <w:p>
      <w:pPr>
        <w:spacing w:after="0" w:line="8" w:lineRule="exact"/>
        <w:rPr>
          <w:sz w:val="20"/>
          <w:szCs w:val="20"/>
          <w:color w:val="auto"/>
        </w:rPr>
      </w:pPr>
    </w:p>
    <w:p>
      <w:pPr>
        <w:ind w:left="4" w:hanging="4"/>
        <w:spacing w:after="0" w:line="265" w:lineRule="auto"/>
        <w:tabs>
          <w:tab w:leader="none" w:pos="279"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w:t>
      </w:r>
    </w:p>
    <w:p>
      <w:pPr>
        <w:ind w:left="4" w:hanging="4"/>
        <w:spacing w:after="0" w:line="252" w:lineRule="auto"/>
        <w:tabs>
          <w:tab w:leader="none" w:pos="22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12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4"/>
          </w:cols>
          <w:pgMar w:left="436" w:top="274" w:right="519" w:bottom="1440" w:gutter="0" w:footer="0" w:header="0"/>
        </w:sectPr>
      </w:pPr>
    </w:p>
    <w:bookmarkStart w:id="245" w:name="page246"/>
    <w:bookmarkEnd w:id="245"/>
    <w:p>
      <w:pPr>
        <w:ind w:left="1424" w:right="60" w:firstLine="391"/>
        <w:spacing w:after="0" w:line="308" w:lineRule="auto"/>
        <w:tabs>
          <w:tab w:leader="none" w:pos="2227" w:val="left"/>
        </w:tabs>
        <w:numPr>
          <w:ilvl w:val="0"/>
          <w:numId w:val="2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permitted by subparagraph (C) below, each Regulation S Global Note and each Definitive Note (and all Notes issued in exchange therefor or substitution thereof) shall bear the legend in substantially the following form:</w:t>
      </w:r>
    </w:p>
    <w:p>
      <w:pPr>
        <w:spacing w:after="0" w:line="146"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w:t>
      </w:r>
    </w:p>
    <w:p>
      <w:pPr>
        <w:spacing w:after="0" w:line="170" w:lineRule="exact"/>
        <w:rPr>
          <w:sz w:val="20"/>
          <w:szCs w:val="20"/>
          <w:color w:val="auto"/>
        </w:rPr>
      </w:pPr>
    </w:p>
    <w:p>
      <w:pPr>
        <w:ind w:left="4" w:right="180"/>
        <w:spacing w:after="0" w:line="275" w:lineRule="auto"/>
        <w:rPr>
          <w:sz w:val="20"/>
          <w:szCs w:val="20"/>
          <w:color w:val="auto"/>
        </w:rPr>
      </w:pPr>
      <w:r>
        <w:rPr>
          <w:rFonts w:ascii="Arial" w:cs="Arial" w:eastAsia="Arial" w:hAnsi="Arial"/>
          <w:sz w:val="17"/>
          <w:szCs w:val="17"/>
          <w:color w:val="auto"/>
        </w:rPr>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6" w:lineRule="exact"/>
        <w:rPr>
          <w:sz w:val="20"/>
          <w:szCs w:val="20"/>
          <w:color w:val="auto"/>
        </w:rPr>
      </w:pPr>
    </w:p>
    <w:p>
      <w:pPr>
        <w:ind w:left="4"/>
        <w:spacing w:after="0" w:line="266" w:lineRule="auto"/>
        <w:rPr>
          <w:sz w:val="20"/>
          <w:szCs w:val="20"/>
          <w:color w:val="auto"/>
        </w:rPr>
      </w:pPr>
      <w:r>
        <w:rPr>
          <w:rFonts w:ascii="Arial" w:cs="Arial" w:eastAsia="Arial" w:hAnsi="Arial"/>
          <w:sz w:val="17"/>
          <w:szCs w:val="17"/>
          <w:color w:val="auto"/>
        </w:rPr>
        <w:t>THE HOLDER OF THIS NOTE BY ITS ACCEPTANCE HEREOF AGREES TO OFFER, SELL OR OTHERWISE TRANSFER SUCH NOTE, PRIOR TO THE DATE (THE “RESALE RESTRICTION TERMINATION DATE”) WHICH IS 40 DAYS AFTER THE LATER OF THE ORIGINAL ISSUE DATE HEREOF AND THE LAST DATE ON WHICH THE COMPANY OR ANY AFFILIATE OF THE COMPANY WAS THE OWNER OF THIS NOTE (OR ANY PREDECESSOR OF THIS NOTE) ONLY (A) TO THE COMPANY, THE SUBSIDIARY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w:t>
      </w:r>
    </w:p>
    <w:p>
      <w:pPr>
        <w:spacing w:after="0" w:line="8" w:lineRule="exact"/>
        <w:rPr>
          <w:sz w:val="20"/>
          <w:szCs w:val="20"/>
          <w:color w:val="auto"/>
        </w:rPr>
      </w:pPr>
    </w:p>
    <w:p>
      <w:pPr>
        <w:ind w:left="4" w:hanging="4"/>
        <w:spacing w:after="0" w:line="265" w:lineRule="auto"/>
        <w:tabs>
          <w:tab w:leader="none" w:pos="27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w:t>
      </w:r>
    </w:p>
    <w:p>
      <w:pPr>
        <w:ind w:left="4" w:hanging="4"/>
        <w:spacing w:after="0" w:line="252" w:lineRule="auto"/>
        <w:tabs>
          <w:tab w:leader="none" w:pos="229"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12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4"/>
          </w:cols>
          <w:pgMar w:left="436" w:top="274" w:right="519" w:bottom="1440" w:gutter="0" w:footer="0" w:header="0"/>
        </w:sectPr>
      </w:pPr>
    </w:p>
    <w:bookmarkStart w:id="246" w:name="page247"/>
    <w:bookmarkEnd w:id="246"/>
    <w:p>
      <w:pPr>
        <w:ind w:left="2240" w:hanging="429"/>
        <w:spacing w:after="0"/>
        <w:tabs>
          <w:tab w:leader="none" w:pos="22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any Global Note or Definitive Note issued pursuant to subparagraphs (b)(4), (c)(2), (d)</w:t>
      </w:r>
    </w:p>
    <w:p>
      <w:pPr>
        <w:spacing w:after="0" w:line="46" w:lineRule="exact"/>
        <w:rPr>
          <w:rFonts w:ascii="Arial" w:cs="Arial" w:eastAsia="Arial" w:hAnsi="Arial"/>
          <w:sz w:val="16"/>
          <w:szCs w:val="16"/>
          <w:color w:val="auto"/>
        </w:rPr>
      </w:pPr>
    </w:p>
    <w:p>
      <w:pPr>
        <w:ind w:left="1420" w:right="240"/>
        <w:spacing w:after="0" w:line="260" w:lineRule="auto"/>
        <w:rPr>
          <w:rFonts w:ascii="Arial" w:cs="Arial" w:eastAsia="Arial" w:hAnsi="Arial"/>
          <w:sz w:val="16"/>
          <w:szCs w:val="16"/>
          <w:color w:val="auto"/>
        </w:rPr>
      </w:pPr>
      <w:r>
        <w:rPr>
          <w:rFonts w:ascii="Arial" w:cs="Arial" w:eastAsia="Arial" w:hAnsi="Arial"/>
          <w:sz w:val="18"/>
          <w:szCs w:val="18"/>
          <w:color w:val="auto"/>
        </w:rPr>
        <w:t>(2), (d)(3), (e)(2) or (e)(3) of this Section 2.06 (and all Notes issued in exchange therefor or substitution thereof) will not bear the Private Placement Legend.</w:t>
      </w:r>
    </w:p>
    <w:p>
      <w:pPr>
        <w:spacing w:after="0" w:line="77" w:lineRule="exact"/>
        <w:rPr>
          <w:rFonts w:ascii="Arial" w:cs="Arial" w:eastAsia="Arial" w:hAnsi="Arial"/>
          <w:sz w:val="16"/>
          <w:szCs w:val="16"/>
          <w:color w:val="auto"/>
        </w:rPr>
      </w:pPr>
    </w:p>
    <w:p>
      <w:pPr>
        <w:ind w:left="1780" w:hanging="392"/>
        <w:spacing w:after="0"/>
        <w:tabs>
          <w:tab w:leader="none" w:pos="178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19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2" w:lineRule="exact"/>
        <w:rPr>
          <w:sz w:val="20"/>
          <w:szCs w:val="20"/>
          <w:color w:val="auto"/>
        </w:rPr>
      </w:pPr>
    </w:p>
    <w:p>
      <w:pPr>
        <w:ind w:firstLine="987"/>
        <w:spacing w:after="0" w:line="270" w:lineRule="auto"/>
        <w:tabs>
          <w:tab w:leader="none" w:pos="1381" w:val="left"/>
        </w:tabs>
        <w:numPr>
          <w:ilvl w:val="0"/>
          <w:numId w:val="222"/>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and/or Adjustment of Global Notes. </w:t>
      </w:r>
      <w:r>
        <w:rPr>
          <w:rFonts w:ascii="Arial" w:cs="Arial" w:eastAsia="Arial" w:hAnsi="Arial"/>
          <w:sz w:val="17"/>
          <w:szCs w:val="17"/>
          <w:color w:val="auto"/>
        </w:rPr>
        <w:t>At such time as all beneficial interests in a particular Global Note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Registrar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Registrar at the direction of the Trustee to reflect such increase.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4" w:right="499" w:bottom="1440" w:gutter="0" w:footer="0" w:header="0"/>
        </w:sectPr>
      </w:pPr>
    </w:p>
    <w:bookmarkStart w:id="247" w:name="page248"/>
    <w:bookmarkEnd w:id="247"/>
    <w:p>
      <w:pPr>
        <w:ind w:left="1380" w:hanging="393"/>
        <w:spacing w:after="0"/>
        <w:tabs>
          <w:tab w:leader="none" w:pos="13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Provisions Relating to Transfers and Exchanges.</w:t>
      </w:r>
    </w:p>
    <w:p>
      <w:pPr>
        <w:spacing w:after="0" w:line="117" w:lineRule="exact"/>
        <w:rPr>
          <w:rFonts w:ascii="Arial" w:cs="Arial" w:eastAsia="Arial" w:hAnsi="Arial"/>
          <w:sz w:val="18"/>
          <w:szCs w:val="18"/>
          <w:color w:val="auto"/>
        </w:rPr>
      </w:pPr>
    </w:p>
    <w:p>
      <w:pPr>
        <w:ind w:left="980" w:right="300" w:firstLine="408"/>
        <w:spacing w:after="0" w:line="342" w:lineRule="auto"/>
        <w:tabs>
          <w:tab w:leader="none" w:pos="176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15" w:lineRule="exact"/>
        <w:rPr>
          <w:rFonts w:ascii="Arial" w:cs="Arial" w:eastAsia="Arial" w:hAnsi="Arial"/>
          <w:sz w:val="16"/>
          <w:szCs w:val="16"/>
          <w:color w:val="auto"/>
        </w:rPr>
      </w:pPr>
    </w:p>
    <w:p>
      <w:pPr>
        <w:ind w:left="980" w:right="140" w:firstLine="408"/>
        <w:spacing w:after="0" w:line="259" w:lineRule="auto"/>
        <w:tabs>
          <w:tab w:leader="none" w:pos="177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2.06, 3.06, 3.09, 4.10, 4.15 and 9.05 hereof).</w:t>
      </w:r>
    </w:p>
    <w:p>
      <w:pPr>
        <w:spacing w:after="0" w:line="78" w:lineRule="exact"/>
        <w:rPr>
          <w:rFonts w:ascii="Arial" w:cs="Arial" w:eastAsia="Arial" w:hAnsi="Arial"/>
          <w:sz w:val="18"/>
          <w:szCs w:val="18"/>
          <w:color w:val="auto"/>
        </w:rPr>
      </w:pPr>
    </w:p>
    <w:p>
      <w:pPr>
        <w:ind w:left="980" w:right="380" w:firstLine="408"/>
        <w:spacing w:after="0" w:line="277" w:lineRule="auto"/>
        <w:tabs>
          <w:tab w:leader="none" w:pos="176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left="980" w:right="80" w:firstLine="408"/>
        <w:spacing w:after="0" w:line="263" w:lineRule="auto"/>
        <w:tabs>
          <w:tab w:leader="none" w:pos="176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117" w:lineRule="exact"/>
        <w:rPr>
          <w:rFonts w:ascii="Arial" w:cs="Arial" w:eastAsia="Arial" w:hAnsi="Arial"/>
          <w:sz w:val="18"/>
          <w:szCs w:val="18"/>
          <w:color w:val="auto"/>
        </w:rPr>
      </w:pPr>
    </w:p>
    <w:p>
      <w:pPr>
        <w:ind w:left="1420" w:right="60" w:firstLine="391"/>
        <w:spacing w:after="0" w:line="263" w:lineRule="auto"/>
        <w:tabs>
          <w:tab w:leader="none" w:pos="2233"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75" w:lineRule="exact"/>
        <w:rPr>
          <w:rFonts w:ascii="Arial" w:cs="Arial" w:eastAsia="Arial" w:hAnsi="Arial"/>
          <w:sz w:val="18"/>
          <w:szCs w:val="18"/>
          <w:color w:val="auto"/>
        </w:rPr>
      </w:pPr>
    </w:p>
    <w:p>
      <w:pPr>
        <w:ind w:left="1420" w:right="340" w:firstLine="391"/>
        <w:spacing w:after="0" w:line="277" w:lineRule="auto"/>
        <w:tabs>
          <w:tab w:leader="none" w:pos="2223"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2240" w:hanging="429"/>
        <w:spacing w:after="0"/>
        <w:tabs>
          <w:tab w:leader="none" w:pos="2240" w:val="left"/>
        </w:tabs>
        <w:numPr>
          <w:ilvl w:val="2"/>
          <w:numId w:val="223"/>
        </w:numPr>
        <w:rPr>
          <w:rFonts w:ascii="Arial" w:cs="Arial" w:eastAsia="Arial" w:hAnsi="Arial"/>
          <w:sz w:val="16"/>
          <w:szCs w:val="16"/>
          <w:color w:val="auto"/>
        </w:rPr>
      </w:pPr>
      <w:r>
        <w:rPr>
          <w:rFonts w:ascii="Arial" w:cs="Arial" w:eastAsia="Arial" w:hAnsi="Arial"/>
          <w:sz w:val="16"/>
          <w:szCs w:val="16"/>
          <w:color w:val="auto"/>
        </w:rPr>
        <w:t>to register the transfer of or to exchange a Note between a record date and the next succeeding interest payment date.</w:t>
      </w:r>
    </w:p>
    <w:p>
      <w:pPr>
        <w:spacing w:after="0" w:line="140" w:lineRule="exact"/>
        <w:rPr>
          <w:rFonts w:ascii="Arial" w:cs="Arial" w:eastAsia="Arial" w:hAnsi="Arial"/>
          <w:sz w:val="16"/>
          <w:szCs w:val="16"/>
          <w:color w:val="auto"/>
        </w:rPr>
      </w:pPr>
    </w:p>
    <w:p>
      <w:pPr>
        <w:ind w:left="980" w:right="20" w:firstLine="408"/>
        <w:spacing w:after="0" w:line="259" w:lineRule="auto"/>
        <w:tabs>
          <w:tab w:leader="none" w:pos="177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The Trustee will authenticate Global Notes and Definitive Notes in accordance with the provisions of Section 2.02 hereof.</w:t>
      </w:r>
    </w:p>
    <w:p>
      <w:pPr>
        <w:spacing w:after="0" w:line="128" w:lineRule="exact"/>
        <w:rPr>
          <w:rFonts w:ascii="Arial" w:cs="Arial" w:eastAsia="Arial" w:hAnsi="Arial"/>
          <w:sz w:val="17"/>
          <w:szCs w:val="17"/>
          <w:color w:val="auto"/>
        </w:rPr>
      </w:pPr>
    </w:p>
    <w:p>
      <w:pPr>
        <w:ind w:left="980" w:right="80" w:firstLine="408"/>
        <w:spacing w:after="0" w:line="277" w:lineRule="auto"/>
        <w:tabs>
          <w:tab w:leader="none" w:pos="176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 or electronic mail (in pdf format).</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i w:val="1"/>
          <w:iCs w:val="1"/>
          <w:color w:val="auto"/>
        </w:rPr>
        <w:t>Replacement Notes.</w:t>
      </w:r>
    </w:p>
    <w:p>
      <w:pPr>
        <w:spacing w:after="0" w:line="11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and the Trustee may charge the Holder for their expenses in replacing a Note, including but not limited to the reasonable expenses of counsel and any tax that may be imposed with respect to replacement of such Note.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248" w:name="page249"/>
    <w:bookmarkEnd w:id="248"/>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Every replacement Note is an additional obligation of the Company and will be entitled to all of the benefits of this Indenture equally and proportionately with all other Notes duly issued hereunder.</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i w:val="1"/>
          <w:iCs w:val="1"/>
          <w:color w:val="auto"/>
        </w:rPr>
        <w:t>Outstanding Notes.</w:t>
      </w:r>
    </w:p>
    <w:p>
      <w:pPr>
        <w:spacing w:after="0" w:line="117"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3.07(a) hereof.</w:t>
      </w:r>
    </w:p>
    <w:p>
      <w:pPr>
        <w:spacing w:after="0" w:line="18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accrue.</w:t>
      </w:r>
    </w:p>
    <w:p>
      <w:pPr>
        <w:spacing w:after="0" w:line="211" w:lineRule="exact"/>
        <w:rPr>
          <w:sz w:val="20"/>
          <w:szCs w:val="20"/>
          <w:color w:val="auto"/>
        </w:rPr>
      </w:pPr>
    </w:p>
    <w:p>
      <w:pPr>
        <w:jc w:val="both"/>
        <w:ind w:right="280" w:firstLine="991"/>
        <w:spacing w:after="0" w:line="263" w:lineRule="auto"/>
        <w:rPr>
          <w:sz w:val="20"/>
          <w:szCs w:val="20"/>
          <w:color w:val="auto"/>
        </w:rPr>
      </w:pPr>
      <w:r>
        <w:rPr>
          <w:rFonts w:ascii="Arial" w:cs="Arial" w:eastAsia="Arial" w:hAnsi="Arial"/>
          <w:sz w:val="18"/>
          <w:szCs w:val="18"/>
          <w:color w:val="auto"/>
        </w:rPr>
        <w:t>If the Paying Agent (other than the Company, a Subsidiary or an Affiliate of any thereof) holds, in accordance with this Indenture, on a redemption date or maturity date, money sufficient to pay Notes payable on that date, then on and after that date such Notes will be deemed to be no longer outstanding and will cease to accrue interest.</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i w:val="1"/>
          <w:iCs w:val="1"/>
          <w:color w:val="auto"/>
        </w:rPr>
        <w:t>Treasury Notes.</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In determining whether the Holders of the required principal amount of Notes have concurred in any direction, waiver or consent, Notes owned by the Company or any Subsidiary Guarantor, or by any Person directly or indirectly controlling or controlled by or under direct or indirect common control with the Company or any Subsidiary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Temporary Notes.</w:t>
      </w:r>
    </w:p>
    <w:p>
      <w:pPr>
        <w:spacing w:after="0" w:line="117"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333"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Cancellation.</w:t>
      </w:r>
    </w:p>
    <w:p>
      <w:pPr>
        <w:spacing w:after="0" w:line="117"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The Company at any time may deliver Notes to the Trustee for cancellation. The Registrar and Paying Agent will forward to the Trustee any Notes surrendered to them for registration of transfer, exchange or payment. The Trustee, in accordance with its customary procedures, and no one else will cancel (subject to the Trustee’s retention policy) all Notes surrendered for registration of transfer, exchange, payment, replacement or cancellation and will dispose of such cancelled Notes in its customary manner (subject to the record retention requirement of the Exchange Act). At the request of the company, the Trustee will confirm the cancellation of the Notes delivered to it. The Company may not issue new Notes to replace Notes that it has paid or that have been delivered to the Trustee for cancellation.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249" w:name="page250"/>
    <w:bookmarkEnd w:id="249"/>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2.12</w:t>
      </w:r>
      <w:r>
        <w:rPr>
          <w:sz w:val="20"/>
          <w:szCs w:val="20"/>
          <w:color w:val="auto"/>
        </w:rPr>
        <w:tab/>
      </w:r>
      <w:r>
        <w:rPr>
          <w:rFonts w:ascii="Arial" w:cs="Arial" w:eastAsia="Arial" w:hAnsi="Arial"/>
          <w:sz w:val="16"/>
          <w:szCs w:val="16"/>
          <w:i w:val="1"/>
          <w:iCs w:val="1"/>
          <w:color w:val="auto"/>
        </w:rPr>
        <w:t>Defaulted Interest.</w:t>
      </w:r>
    </w:p>
    <w:p>
      <w:pPr>
        <w:spacing w:after="0" w:line="11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such special record date may be less than ten (10) days prior to the related payment date for such defaulted interest. At least fifteen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27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Additional Amounts.</w:t>
      </w:r>
    </w:p>
    <w:p>
      <w:pPr>
        <w:spacing w:after="0" w:line="117" w:lineRule="exact"/>
        <w:rPr>
          <w:sz w:val="20"/>
          <w:szCs w:val="20"/>
          <w:color w:val="auto"/>
        </w:rPr>
      </w:pPr>
    </w:p>
    <w:p>
      <w:pPr>
        <w:ind w:right="20" w:firstLine="987"/>
        <w:spacing w:after="0" w:line="269" w:lineRule="auto"/>
        <w:tabs>
          <w:tab w:leader="none" w:pos="1361" w:val="left"/>
        </w:tabs>
        <w:numPr>
          <w:ilvl w:val="0"/>
          <w:numId w:val="224"/>
        </w:numPr>
        <w:rPr>
          <w:rFonts w:ascii="Arial" w:cs="Arial" w:eastAsia="Arial" w:hAnsi="Arial"/>
          <w:sz w:val="17"/>
          <w:szCs w:val="17"/>
          <w:color w:val="auto"/>
        </w:rPr>
      </w:pPr>
      <w:r>
        <w:rPr>
          <w:rFonts w:ascii="Arial" w:cs="Arial" w:eastAsia="Arial" w:hAnsi="Arial"/>
          <w:sz w:val="17"/>
          <w:szCs w:val="17"/>
          <w:color w:val="auto"/>
        </w:rPr>
        <w:t>All payments of principal of, premium, if any, and interest on the Notes and all payments under the Note Guarantees will be made without withholding or deduction for, or on account of, any present or future taxes, duties, assessments or governmental charges of whatever (“</w:t>
      </w:r>
      <w:r>
        <w:rPr>
          <w:rFonts w:ascii="Arial" w:cs="Arial" w:eastAsia="Arial" w:hAnsi="Arial"/>
          <w:sz w:val="17"/>
          <w:szCs w:val="17"/>
          <w:i w:val="1"/>
          <w:iCs w:val="1"/>
          <w:color w:val="auto"/>
        </w:rPr>
        <w:t>Taxes</w:t>
      </w:r>
      <w:r>
        <w:rPr>
          <w:rFonts w:ascii="Arial" w:cs="Arial" w:eastAsia="Arial" w:hAnsi="Arial"/>
          <w:sz w:val="17"/>
          <w:szCs w:val="17"/>
          <w:color w:val="auto"/>
        </w:rPr>
        <w:t>”) nature imposed or levied by or within any jurisdiction in which the Company or any applicable Subsidiary Guarantor is organized or resident for tax purposes (or any political subdivision or taxing authority thereof or therein) or any jurisdiction from or through which payment is made by or on behalf of the Company or any Subsidiary Guarantor (including the jurisdiction of any Paying Agent) (or any political subdivision or taxing authority thereof or therein) (each, as applicable, a “</w:t>
      </w:r>
      <w:r>
        <w:rPr>
          <w:rFonts w:ascii="Arial" w:cs="Arial" w:eastAsia="Arial" w:hAnsi="Arial"/>
          <w:sz w:val="17"/>
          <w:szCs w:val="17"/>
          <w:i w:val="1"/>
          <w:iCs w:val="1"/>
          <w:color w:val="auto"/>
        </w:rPr>
        <w:t>Relevant Jurisdiction</w:t>
      </w:r>
      <w:r>
        <w:rPr>
          <w:rFonts w:ascii="Arial" w:cs="Arial" w:eastAsia="Arial" w:hAnsi="Arial"/>
          <w:sz w:val="17"/>
          <w:szCs w:val="17"/>
          <w:color w:val="auto"/>
        </w:rPr>
        <w:t>”), unless such withholding or deduction is required by law or by regulation or governmental policy having the force of law. In such event, the Company or the applicable Subsidiary Guarantor, as the case may be, will make such deduction or withholding, make payment of the amount so withheld to the appropriate governmental authority and will pay such additional amounts (“</w:t>
      </w:r>
      <w:r>
        <w:rPr>
          <w:rFonts w:ascii="Arial" w:cs="Arial" w:eastAsia="Arial" w:hAnsi="Arial"/>
          <w:sz w:val="17"/>
          <w:szCs w:val="17"/>
          <w:i w:val="1"/>
          <w:iCs w:val="1"/>
          <w:color w:val="auto"/>
        </w:rPr>
        <w:t>Additional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Amounts</w:t>
      </w:r>
      <w:r>
        <w:rPr>
          <w:rFonts w:ascii="Arial" w:cs="Arial" w:eastAsia="Arial" w:hAnsi="Arial"/>
          <w:sz w:val="17"/>
          <w:szCs w:val="17"/>
          <w:color w:val="auto"/>
        </w:rPr>
        <w:t>”) as will result in receipt by the Holder of such amounts as would have been received by such holder had no such withholding or deduction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been required,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Additional Amounts will be payable for or on account of:</w:t>
      </w:r>
    </w:p>
    <w:p>
      <w:pPr>
        <w:spacing w:after="0" w:line="77" w:lineRule="exact"/>
        <w:rPr>
          <w:rFonts w:ascii="Arial" w:cs="Arial" w:eastAsia="Arial" w:hAnsi="Arial"/>
          <w:sz w:val="17"/>
          <w:szCs w:val="17"/>
          <w:color w:val="auto"/>
        </w:rPr>
      </w:pPr>
    </w:p>
    <w:p>
      <w:pPr>
        <w:ind w:left="1780" w:hanging="392"/>
        <w:spacing w:after="0"/>
        <w:tabs>
          <w:tab w:leader="none" w:pos="17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tax, duty, assessment or other governmental charge that would not have been imposed but for:</w:t>
      </w:r>
    </w:p>
    <w:p>
      <w:pPr>
        <w:spacing w:after="0" w:line="117" w:lineRule="exact"/>
        <w:rPr>
          <w:rFonts w:ascii="Arial" w:cs="Arial" w:eastAsia="Arial" w:hAnsi="Arial"/>
          <w:sz w:val="18"/>
          <w:szCs w:val="18"/>
          <w:color w:val="auto"/>
        </w:rPr>
      </w:pPr>
    </w:p>
    <w:p>
      <w:pPr>
        <w:ind w:left="1420" w:right="60" w:firstLine="391"/>
        <w:spacing w:after="0" w:line="275" w:lineRule="auto"/>
        <w:tabs>
          <w:tab w:leader="none" w:pos="2233" w:val="left"/>
        </w:tabs>
        <w:numPr>
          <w:ilvl w:val="2"/>
          <w:numId w:val="224"/>
        </w:numPr>
        <w:rPr>
          <w:rFonts w:ascii="Arial" w:cs="Arial" w:eastAsia="Arial" w:hAnsi="Arial"/>
          <w:sz w:val="17"/>
          <w:szCs w:val="17"/>
          <w:color w:val="auto"/>
        </w:rPr>
      </w:pPr>
      <w:r>
        <w:rPr>
          <w:rFonts w:ascii="Arial" w:cs="Arial" w:eastAsia="Arial" w:hAnsi="Arial"/>
          <w:sz w:val="17"/>
          <w:szCs w:val="17"/>
          <w:color w:val="auto"/>
        </w:rPr>
        <w:t>the existence of any present or former connection between the Holder or beneficial owner of such Note or Note Guarantee, as the case may be, and the Relevant Jurisdiction including, without limitation, such holder or beneficial owner being or having been a citizen or resident of such Relevant Jurisdiction or treated as a resident thereof or being or having been physically present or engaged in a trade or business therein or having or having had a permanent establishment therein, other than merely holding such Note or the receipt of payments thereunder or under the Note Guarantee;</w:t>
      </w:r>
    </w:p>
    <w:p>
      <w:pPr>
        <w:spacing w:after="0" w:line="68" w:lineRule="exact"/>
        <w:rPr>
          <w:rFonts w:ascii="Arial" w:cs="Arial" w:eastAsia="Arial" w:hAnsi="Arial"/>
          <w:sz w:val="17"/>
          <w:szCs w:val="17"/>
          <w:color w:val="auto"/>
        </w:rPr>
      </w:pPr>
    </w:p>
    <w:p>
      <w:pPr>
        <w:jc w:val="both"/>
        <w:ind w:left="1420" w:right="220" w:firstLine="391"/>
        <w:spacing w:after="0" w:line="279" w:lineRule="auto"/>
        <w:tabs>
          <w:tab w:leader="none" w:pos="2223" w:val="left"/>
        </w:tabs>
        <w:numPr>
          <w:ilvl w:val="2"/>
          <w:numId w:val="224"/>
        </w:numPr>
        <w:rPr>
          <w:rFonts w:ascii="Arial" w:cs="Arial" w:eastAsia="Arial" w:hAnsi="Arial"/>
          <w:sz w:val="17"/>
          <w:szCs w:val="17"/>
          <w:color w:val="auto"/>
        </w:rPr>
      </w:pPr>
      <w:r>
        <w:rPr>
          <w:rFonts w:ascii="Arial" w:cs="Arial" w:eastAsia="Arial" w:hAnsi="Arial"/>
          <w:sz w:val="17"/>
          <w:szCs w:val="17"/>
          <w:color w:val="auto"/>
        </w:rPr>
        <w:t>the presentation of such Note (where presentation is required) more than thirty (30) days after the later 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4" w:right="499" w:bottom="1440" w:gutter="0" w:footer="0" w:header="0"/>
        </w:sectPr>
      </w:pPr>
    </w:p>
    <w:bookmarkStart w:id="250" w:name="page251"/>
    <w:bookmarkEnd w:id="250"/>
    <w:p>
      <w:pPr>
        <w:ind w:left="1420" w:firstLine="391"/>
        <w:spacing w:after="0" w:line="257" w:lineRule="auto"/>
        <w:tabs>
          <w:tab w:leader="none" w:pos="2223" w:val="left"/>
        </w:tabs>
        <w:numPr>
          <w:ilvl w:val="2"/>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failure of the holder or beneficial owner to comply with a timely request of the Company or any Subsidiary Guarantor addressed to the holder or beneficial owner, as the case may be, to provide information concerning such holder’s or beneficial owner’s nationality, residence, identity or connection with any Relevant Jurisdiction, if and to the extent that due and timely compliance with such request would have reduced or eliminated any withholding or deduction as to which Additional Amounts would have otherwise been payable to such holder; or</w:t>
      </w:r>
    </w:p>
    <w:p>
      <w:pPr>
        <w:spacing w:after="0" w:line="79" w:lineRule="exact"/>
        <w:rPr>
          <w:rFonts w:ascii="Arial" w:cs="Arial" w:eastAsia="Arial" w:hAnsi="Arial"/>
          <w:sz w:val="18"/>
          <w:szCs w:val="18"/>
          <w:color w:val="auto"/>
        </w:rPr>
      </w:pPr>
    </w:p>
    <w:p>
      <w:pPr>
        <w:ind w:left="1420" w:right="60" w:firstLine="391"/>
        <w:spacing w:after="0" w:line="277" w:lineRule="auto"/>
        <w:tabs>
          <w:tab w:leader="none" w:pos="2233" w:val="left"/>
        </w:tabs>
        <w:numPr>
          <w:ilvl w:val="2"/>
          <w:numId w:val="225"/>
        </w:numPr>
        <w:rPr>
          <w:rFonts w:ascii="Arial" w:cs="Arial" w:eastAsia="Arial" w:hAnsi="Arial"/>
          <w:sz w:val="18"/>
          <w:szCs w:val="18"/>
          <w:color w:val="auto"/>
        </w:rPr>
      </w:pPr>
      <w:r>
        <w:rPr>
          <w:rFonts w:ascii="Arial" w:cs="Arial" w:eastAsia="Arial" w:hAnsi="Arial"/>
          <w:sz w:val="18"/>
          <w:szCs w:val="18"/>
          <w:color w:val="auto"/>
        </w:rPr>
        <w:t>the presentation of such Note (where presentation is required) for payment in the Relevant Jurisdiction, unless such Note could not have been presented for payment elsewhere;</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any estate, inheritance, gift, sale, transfer, excise or personal property or similar tax, assessment or other governmental charge;</w:t>
      </w:r>
    </w:p>
    <w:p>
      <w:pPr>
        <w:spacing w:after="0" w:line="140" w:lineRule="exact"/>
        <w:rPr>
          <w:rFonts w:ascii="Arial" w:cs="Arial" w:eastAsia="Arial" w:hAnsi="Arial"/>
          <w:sz w:val="16"/>
          <w:szCs w:val="16"/>
          <w:color w:val="auto"/>
        </w:rPr>
      </w:pPr>
    </w:p>
    <w:p>
      <w:pPr>
        <w:ind w:left="980" w:right="420" w:firstLine="408"/>
        <w:spacing w:after="0" w:line="311" w:lineRule="auto"/>
        <w:tabs>
          <w:tab w:leader="none" w:pos="1771" w:val="left"/>
        </w:tabs>
        <w:numPr>
          <w:ilvl w:val="1"/>
          <w:numId w:val="226"/>
        </w:numPr>
        <w:rPr>
          <w:rFonts w:ascii="Arial" w:cs="Arial" w:eastAsia="Arial" w:hAnsi="Arial"/>
          <w:sz w:val="16"/>
          <w:szCs w:val="16"/>
          <w:color w:val="auto"/>
        </w:rPr>
      </w:pPr>
      <w:r>
        <w:rPr>
          <w:rFonts w:ascii="Arial" w:cs="Arial" w:eastAsia="Arial" w:hAnsi="Arial"/>
          <w:sz w:val="16"/>
          <w:szCs w:val="16"/>
          <w:color w:val="auto"/>
        </w:rPr>
        <w:t>any tax, duty, assessment or other governmental charge which is payable other than (i) by deduction or withholding from payments of principal of or interest on the Note or payments under the Note Guarantees, or (ii) by direct payment by the Company or applicable Subsidiary Guarantor in respect of claims made against the Company or the applicable Subsidiary Guarantor;</w:t>
      </w:r>
    </w:p>
    <w:p>
      <w:pPr>
        <w:spacing w:after="0" w:line="40" w:lineRule="exact"/>
        <w:rPr>
          <w:rFonts w:ascii="Arial" w:cs="Arial" w:eastAsia="Arial" w:hAnsi="Arial"/>
          <w:sz w:val="16"/>
          <w:szCs w:val="16"/>
          <w:color w:val="auto"/>
        </w:rPr>
      </w:pPr>
    </w:p>
    <w:p>
      <w:pPr>
        <w:ind w:left="980" w:right="100" w:firstLine="408"/>
        <w:spacing w:after="0" w:line="257" w:lineRule="auto"/>
        <w:tabs>
          <w:tab w:leader="none" w:pos="1771"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tax arising pursuant to Sections 1471 - 1474 of the U.S. Internal Revenue Code of 1986, as amended, and any successor or amended version that is substantively comparable and not materially more onerous to comply with, any official interpretations thereof, current or future regulations or agreements entered pursuant thereto, any agreement entered pursuant thereto, any U.S. or non-U.S. law enacted in connection with an intergovernmental agreement related thereto, or any rules, regulations, or administrative guidance of any kind relating to any of the foregoing; or</w:t>
      </w:r>
    </w:p>
    <w:p>
      <w:pPr>
        <w:spacing w:after="0" w:line="79" w:lineRule="exact"/>
        <w:rPr>
          <w:rFonts w:ascii="Arial" w:cs="Arial" w:eastAsia="Arial" w:hAnsi="Arial"/>
          <w:sz w:val="18"/>
          <w:szCs w:val="18"/>
          <w:color w:val="auto"/>
        </w:rPr>
      </w:pPr>
    </w:p>
    <w:p>
      <w:pPr>
        <w:ind w:left="1780" w:hanging="392"/>
        <w:spacing w:after="0"/>
        <w:tabs>
          <w:tab w:leader="none" w:pos="178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any combination of taxes, duties, assessments or other governmental charges referred to in the preceding clauses (1), (2), (3)</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and (4); or</w:t>
      </w:r>
    </w:p>
    <w:p>
      <w:pPr>
        <w:spacing w:after="0" w:line="210" w:lineRule="exact"/>
        <w:rPr>
          <w:rFonts w:ascii="Arial" w:cs="Arial" w:eastAsia="Arial" w:hAnsi="Arial"/>
          <w:sz w:val="16"/>
          <w:szCs w:val="16"/>
          <w:color w:val="auto"/>
        </w:rPr>
      </w:pPr>
    </w:p>
    <w:p>
      <w:pPr>
        <w:ind w:right="240" w:firstLine="987"/>
        <w:spacing w:after="0" w:line="257" w:lineRule="auto"/>
        <w:tabs>
          <w:tab w:leader="none" w:pos="138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with respect to any payment of the principal of, or premium, if any, or interest on, such Note or any payment under any Note Guarantee to such holder, if the holder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188"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In addition to the foregoing, the Company and the Subsidiary Guarantors will also pay and indemnify the holder of a Note for any present or future stamp, issue, registration, court or documentary taxes, or any other excise or property taxes, charges or similar levies (including penalties, interest and other reasonable expenses related thereto) which are levied by any Relevant Jurisdiction on the execution, delivery, issuance, or registration of any of the Notes, the Indenture, any Note Guarantee or any other document or instrument referred to therein, or the receipt of any payments with respect thereto, or enforcement of, any of the Notes or any Note Guarantee. The Company and the Subsidiary Guarantors will use all reasonable efforts to obtain certified copies of tax receipts evidencing the payment of any taxes so deducted or withheld from each Relevant Jurisdiction imposing such taxes, in such form as provided in the ordinary course by the Relevant Jurisdiction and as is reasonably available to the Company, and will provide such certified copies to the Trustees and the Paying Agent. Such copies shall be made available to the Holders upon request and will be made available at the offices of the Paying Agent. The Company or the Subsidiary Guarantor, as applicable,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w:t>
      </w:r>
    </w:p>
    <w:p>
      <w:pPr>
        <w:spacing w:after="0" w:line="172" w:lineRule="exact"/>
        <w:rPr>
          <w:sz w:val="20"/>
          <w:szCs w:val="20"/>
          <w:color w:val="auto"/>
        </w:rPr>
      </w:pPr>
    </w:p>
    <w:p>
      <w:pPr>
        <w:ind w:right="20" w:firstLine="987"/>
        <w:spacing w:after="0" w:line="263" w:lineRule="auto"/>
        <w:tabs>
          <w:tab w:leader="none" w:pos="136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Whenever there is mentioned in any context the payment of principal of, and any premium or interest, on any Note or under any Note Guarantee, such mention will be deemed to include payment of Additional Amounts provided for in this Indenture to the extent that, in such context, Additional Amounts are, were or would be payable in respect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51" w:name="page252"/>
    <w:bookmarkEnd w:id="251"/>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2.14</w:t>
      </w:r>
      <w:r>
        <w:rPr>
          <w:sz w:val="20"/>
          <w:szCs w:val="20"/>
          <w:color w:val="auto"/>
        </w:rPr>
        <w:tab/>
      </w:r>
      <w:r>
        <w:rPr>
          <w:rFonts w:ascii="Arial" w:cs="Arial" w:eastAsia="Arial" w:hAnsi="Arial"/>
          <w:sz w:val="16"/>
          <w:szCs w:val="16"/>
          <w:i w:val="1"/>
          <w:iCs w:val="1"/>
          <w:color w:val="auto"/>
        </w:rPr>
        <w:t>Forced Sale or Redemption for Non-QIBs.</w:t>
      </w:r>
    </w:p>
    <w:p>
      <w:pPr>
        <w:spacing w:after="0" w:line="117" w:lineRule="exact"/>
        <w:rPr>
          <w:sz w:val="20"/>
          <w:szCs w:val="20"/>
          <w:color w:val="auto"/>
        </w:rPr>
      </w:pPr>
    </w:p>
    <w:p>
      <w:pPr>
        <w:ind w:firstLine="987"/>
        <w:spacing w:after="0" w:line="290" w:lineRule="auto"/>
        <w:tabs>
          <w:tab w:leader="none" w:pos="136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Company has the right to require any Holder of a Note (or beneficial interest therein) that is a U.S. Person and is determined not to have been a QIB at the time of acquisition of such Note or is otherwise determined to be in breach, at the time given, of any of the representations and agreements required to be made pursuant to the transfer restrictions set forth herein, to transfer such Security (or beneficial interest therein) to a transferee acceptable to the Company who is able to and who does make all of the representations and agreements required to be made pursuant to the transfer restrictions set forth herein, or to redeem such Note (or beneficial interest therein) within 30 days of receipt of notice of the Company’s election to so redeem such Holder’s Notes on the terms set forth in paragraph (b) below. Pending such transfer or redemption, such Holder will be deemed not to be the Holder of such Note for any purpose, including but not limited to receipt of interest and principal payments on such Note, and such Holder will be deemed to have no interest whatsoever in such Note except as otherwise required to sell or redeem its interest therein.</w:t>
      </w:r>
    </w:p>
    <w:p>
      <w:pPr>
        <w:spacing w:after="0" w:line="165" w:lineRule="exact"/>
        <w:rPr>
          <w:rFonts w:ascii="Arial" w:cs="Arial" w:eastAsia="Arial" w:hAnsi="Arial"/>
          <w:sz w:val="16"/>
          <w:szCs w:val="16"/>
          <w:color w:val="auto"/>
        </w:rPr>
      </w:pPr>
    </w:p>
    <w:p>
      <w:pPr>
        <w:jc w:val="both"/>
        <w:ind w:right="180" w:firstLine="987"/>
        <w:spacing w:after="0" w:line="286" w:lineRule="auto"/>
        <w:tabs>
          <w:tab w:leader="none" w:pos="1371"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Any such redemption occurring pursuant to paragraph (a) above shall be at a redemption price equal to the lesser of (i) the Person’s cost, plus accrued and unpaid interest, if any, to the redemption date and (ii) 100% of the principal amount thereof, plus accrued and unpaid interest, if any, to the redemption date. The Company shall notify the Trustee in writing of any such redemption as soon as practicable.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the Company elects to redeem Notes pursuant to the optional redemption provisions of Section 3.07 hereof, it must furnish to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Trustee, the Registrar and the Paying Agent, at least 30 days but not more than 60 days before a redemption date, an Officer’s Certificate setting forth:</w:t>
      </w:r>
    </w:p>
    <w:p>
      <w:pPr>
        <w:spacing w:after="0" w:line="126" w:lineRule="exact"/>
        <w:rPr>
          <w:sz w:val="20"/>
          <w:szCs w:val="20"/>
          <w:color w:val="auto"/>
        </w:rPr>
      </w:pPr>
    </w:p>
    <w:p>
      <w:pPr>
        <w:ind w:left="1780" w:hanging="392"/>
        <w:spacing w:after="0"/>
        <w:tabs>
          <w:tab w:leader="none" w:pos="17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117"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If fewer than all of the Notes are to be redeemed or purchased at any time, the Trustee, the Paying Agent or the Registrar will select Notes for redemption or purchase (i) in compliance with the requirements of the principal national securities exchange, if any, on which Notes are listed and any applicable Depositary procedures, (ii) by lot or such other similar method in accordance with the applicable procedures of the Depositary or any other applicable clearing system (if the Notes are Global Notes), or (iii) if there are no such requirements of such exchange or the Notes are not then listed on a national securities exchange or cleared through the Depositary or any other applicable clearing system,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No Notes of a principal amount of US$200,000 or less may be redeemed or purchased in part, and if Notes are redeemed or purchased in part, the remaining outstanding amount must be at least equal to US$200,000 and integral multiples of US$1,000 in excess thereof. None of the Trustee, the Paying Agent or the Registrar will be liable for any selections made under this paragraph.</w:t>
      </w:r>
    </w:p>
    <w:p>
      <w:pPr>
        <w:spacing w:after="0" w:line="178"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In the event of partial redemption or purchase by lot, the particular Notes to be redeemed or purchased will be selected, unless otherwise provided herein, not less than 30 nor more than 60 days prior to the redemption or purchase date by the Registrar from the outstanding Notes not previously called for redemption or purchase.</w:t>
      </w:r>
    </w:p>
    <w:p>
      <w:pPr>
        <w:spacing w:after="0" w:line="1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Registrar will promptly notify the Company in writing of any Definitive Notes selected for redemption or purchase and, in the case of any such Note selected for partial redemption or purchase, the principal amount thereof to be redeemed or purchased. Notes and portions of Notes selected will be in amounts of US$200,000 or integral multiples of US$1,000 in excess thereof; except that if all of the Notes of a Holder are to be redeemed or purchased, the entire outstanding amount of Notes held by such Holder, even if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117"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Subject to the provisions of Section 3.09 hereof, at least 30 days but not more than 60 days before a redemption date, the Company will mail or cause to be mailed, by first class mail, a notice of redemption to each Holder whose Notes are to be redeemed at its registered address, except that redemption notices may be mailed more than 60 days prior to a redemption date (with prior notice to the Trustee) if the notice is issued in connection with a defeasance of the Notes or a satisfaction and discharge of this Indenture pursuant to Article 8 or 11 hereof.</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117" w:lineRule="exact"/>
        <w:rPr>
          <w:sz w:val="20"/>
          <w:szCs w:val="20"/>
          <w:color w:val="auto"/>
        </w:rPr>
      </w:pPr>
    </w:p>
    <w:p>
      <w:pPr>
        <w:ind w:left="1820" w:hanging="432"/>
        <w:spacing w:after="0"/>
        <w:tabs>
          <w:tab w:leader="none" w:pos="18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0" w:right="479" w:bottom="1440" w:gutter="0" w:footer="0" w:header="0"/>
        </w:sectPr>
      </w:pPr>
    </w:p>
    <w:bookmarkStart w:id="253" w:name="page254"/>
    <w:bookmarkEnd w:id="253"/>
    <w:p>
      <w:pPr>
        <w:ind w:left="1780" w:hanging="392"/>
        <w:spacing w:after="0"/>
        <w:tabs>
          <w:tab w:leader="none" w:pos="1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redemption price;</w:t>
      </w:r>
    </w:p>
    <w:p>
      <w:pPr>
        <w:spacing w:after="0" w:line="117" w:lineRule="exact"/>
        <w:rPr>
          <w:rFonts w:ascii="Arial" w:cs="Arial" w:eastAsia="Arial" w:hAnsi="Arial"/>
          <w:sz w:val="18"/>
          <w:szCs w:val="18"/>
          <w:color w:val="auto"/>
        </w:rPr>
      </w:pPr>
    </w:p>
    <w:p>
      <w:pPr>
        <w:ind w:left="980" w:right="340" w:firstLine="408"/>
        <w:spacing w:after="0" w:line="311" w:lineRule="auto"/>
        <w:tabs>
          <w:tab w:leader="none" w:pos="177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r>
        <w:rPr>
          <w:rFonts w:ascii="Arial" w:cs="Arial" w:eastAsia="Arial" w:hAnsi="Arial"/>
          <w:sz w:val="16"/>
          <w:szCs w:val="16"/>
          <w:i w:val="1"/>
          <w:iCs w:val="1"/>
          <w:color w:val="auto"/>
        </w:rPr>
        <w:t>, provided that</w:t>
      </w:r>
      <w:r>
        <w:rPr>
          <w:rFonts w:ascii="Arial" w:cs="Arial" w:eastAsia="Arial" w:hAnsi="Arial"/>
          <w:sz w:val="16"/>
          <w:szCs w:val="16"/>
          <w:color w:val="auto"/>
        </w:rPr>
        <w:t xml:space="preserve"> the unredeemed portion has a minimum denomination of US$200,000;</w:t>
      </w:r>
    </w:p>
    <w:p>
      <w:pPr>
        <w:spacing w:after="0" w:line="40" w:lineRule="exact"/>
        <w:rPr>
          <w:rFonts w:ascii="Arial" w:cs="Arial" w:eastAsia="Arial" w:hAnsi="Arial"/>
          <w:sz w:val="16"/>
          <w:szCs w:val="16"/>
          <w:color w:val="auto"/>
        </w:rPr>
      </w:pPr>
    </w:p>
    <w:p>
      <w:pPr>
        <w:ind w:left="1780" w:hanging="392"/>
        <w:spacing w:after="0"/>
        <w:tabs>
          <w:tab w:leader="none" w:pos="1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77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redeemed;</w:t>
      </w:r>
    </w:p>
    <w:p>
      <w:pPr>
        <w:spacing w:after="0" w:line="102" w:lineRule="exact"/>
        <w:rPr>
          <w:rFonts w:ascii="Arial" w:cs="Arial" w:eastAsia="Arial" w:hAnsi="Arial"/>
          <w:sz w:val="17"/>
          <w:szCs w:val="17"/>
          <w:color w:val="auto"/>
        </w:rPr>
      </w:pPr>
    </w:p>
    <w:p>
      <w:pPr>
        <w:ind w:left="1780" w:hanging="392"/>
        <w:spacing w:after="0"/>
        <w:tabs>
          <w:tab w:leader="none" w:pos="17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the Notes;</w:t>
      </w:r>
    </w:p>
    <w:p>
      <w:pPr>
        <w:spacing w:after="0" w:line="102" w:lineRule="exact"/>
        <w:rPr>
          <w:rFonts w:ascii="Arial" w:cs="Arial" w:eastAsia="Arial" w:hAnsi="Arial"/>
          <w:sz w:val="16"/>
          <w:szCs w:val="16"/>
          <w:color w:val="auto"/>
        </w:rPr>
      </w:pPr>
    </w:p>
    <w:p>
      <w:pPr>
        <w:ind w:left="1780" w:hanging="392"/>
        <w:spacing w:after="0"/>
        <w:tabs>
          <w:tab w:leader="none" w:pos="1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applicable, any condition to such redemption; and</w:t>
      </w:r>
    </w:p>
    <w:p>
      <w:pPr>
        <w:spacing w:after="0" w:line="117" w:lineRule="exact"/>
        <w:rPr>
          <w:rFonts w:ascii="Arial" w:cs="Arial" w:eastAsia="Arial" w:hAnsi="Arial"/>
          <w:sz w:val="18"/>
          <w:szCs w:val="18"/>
          <w:color w:val="auto"/>
        </w:rPr>
      </w:pPr>
    </w:p>
    <w:p>
      <w:pPr>
        <w:ind w:left="980" w:right="600" w:firstLine="408"/>
        <w:spacing w:after="0" w:line="277" w:lineRule="auto"/>
        <w:tabs>
          <w:tab w:leader="none" w:pos="18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applicable, that payment of the redemption price and performance of the Company’s obligations with respect to such redemption is to be performed by another Person and the identity of such other Person.</w:t>
      </w:r>
    </w:p>
    <w:p>
      <w:pPr>
        <w:spacing w:after="0" w:line="170"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At the Company’s request, the Trustee will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three Business Days prior to the date that the notice of redemption is to be delivered to Holders, an Officer’s Certificate requesting that the Trustee give such notice and setting forth the information to be stated in such notice as provided in the preceding paragraph.</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Once notice of redemption is mailed in accordance with Section 3.03 hereof, Notes called for redemption become due and payable on the redemption date at the redemption price stated in such notice, provided, that any redemption pursuant to Paragraph 5 of the Notes may, at the Company’s discretion, be subject to the satisfaction of one or more conditions precedent.</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11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No later than 10 a.m. New York time one Business Days prior to the redemption or purchase date, the Company will deposit with the Trustee or with the Paying Agent money sufficient to pay the redemption or purchase price of and accrued interest and Additional Amounts,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Additional Amounts, if any, on all Notes to be redeemed or purchased.</w:t>
      </w:r>
    </w:p>
    <w:p>
      <w:pPr>
        <w:spacing w:after="0" w:line="188"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254" w:name="page255"/>
    <w:bookmarkEnd w:id="254"/>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117"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In the case of Definitive Notes, 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117" w:lineRule="exact"/>
        <w:rPr>
          <w:sz w:val="20"/>
          <w:szCs w:val="20"/>
          <w:color w:val="auto"/>
        </w:rPr>
      </w:pPr>
    </w:p>
    <w:p>
      <w:pPr>
        <w:ind w:right="80" w:firstLine="987"/>
        <w:spacing w:after="0" w:line="259" w:lineRule="auto"/>
        <w:tabs>
          <w:tab w:leader="none" w:pos="136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At any time prior to July 15, 2022, the Company may on any one or more occasions redeem up to 35% of the aggregate principal amount of the Notes at a redemption price of 106.000% of the principal amount thereof, plus accrued and unpaid interest,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980" w:right="340" w:firstLine="408"/>
        <w:spacing w:after="0" w:line="308" w:lineRule="auto"/>
        <w:tabs>
          <w:tab w:leader="none" w:pos="1771" w:val="left"/>
        </w:tabs>
        <w:numPr>
          <w:ilvl w:val="1"/>
          <w:numId w:val="233"/>
        </w:numPr>
        <w:rPr>
          <w:rFonts w:ascii="Arial" w:cs="Arial" w:eastAsia="Arial" w:hAnsi="Arial"/>
          <w:sz w:val="17"/>
          <w:szCs w:val="17"/>
          <w:color w:val="auto"/>
        </w:rPr>
      </w:pPr>
      <w:r>
        <w:rPr>
          <w:rFonts w:ascii="Arial" w:cs="Arial" w:eastAsia="Arial" w:hAnsi="Arial"/>
          <w:sz w:val="17"/>
          <w:szCs w:val="17"/>
          <w:color w:val="auto"/>
        </w:rPr>
        <w:t>at least 65% of the aggregate principal amount of Notes originally issued under this Indenture (excluding Notes held by the Company and its Subsidiaries) remains outstanding immediately after the occurrence of such redemption; and</w:t>
      </w:r>
    </w:p>
    <w:p>
      <w:pPr>
        <w:spacing w:after="0" w:line="38" w:lineRule="exact"/>
        <w:rPr>
          <w:rFonts w:ascii="Arial" w:cs="Arial" w:eastAsia="Arial" w:hAnsi="Arial"/>
          <w:sz w:val="17"/>
          <w:szCs w:val="17"/>
          <w:color w:val="auto"/>
        </w:rPr>
      </w:pPr>
    </w:p>
    <w:p>
      <w:pPr>
        <w:ind w:left="1780" w:hanging="392"/>
        <w:spacing w:after="0"/>
        <w:tabs>
          <w:tab w:leader="none" w:pos="17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redemption occurs within 45 days of the date of the closing of such Equity Offering.</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Any redemption notice given in respect of the redemption referred to in the preceding paragraph may be given prior to completion of the related Equity Offering, and any such redemption or notice may, at the discretion of the Company, be subject to the satisfaction of one or more conditions precedent, including the completion of the Equity Offering.</w:t>
      </w:r>
    </w:p>
    <w:p>
      <w:pPr>
        <w:spacing w:after="0" w:line="184" w:lineRule="exact"/>
        <w:rPr>
          <w:sz w:val="20"/>
          <w:szCs w:val="20"/>
          <w:color w:val="auto"/>
        </w:rPr>
      </w:pPr>
    </w:p>
    <w:p>
      <w:pPr>
        <w:ind w:right="60" w:firstLine="987"/>
        <w:spacing w:after="0" w:line="301" w:lineRule="auto"/>
        <w:tabs>
          <w:tab w:leader="none" w:pos="137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At any time prior to July 15, 2022, the Company may redeem all or a part of the Notes, upon not less than 30 nor more than 60 days’ notice, at a redemption price equal to 100% of the principal amount of the Notes redeemed plus the Applicable Premium as of, and accrued and unpaid interest to, the date of redemption, subject to the rights of Holders on the relevant record date to receive interest due on the relevant interest payment date. Any such redemption and notice may, at the discretion of the Company, be subject to satisfaction of one or more conditions precedent.</w:t>
      </w:r>
    </w:p>
    <w:p>
      <w:pPr>
        <w:spacing w:after="0" w:line="157" w:lineRule="exact"/>
        <w:rPr>
          <w:rFonts w:ascii="Arial" w:cs="Arial" w:eastAsia="Arial" w:hAnsi="Arial"/>
          <w:sz w:val="16"/>
          <w:szCs w:val="16"/>
          <w:color w:val="auto"/>
        </w:rPr>
      </w:pPr>
    </w:p>
    <w:p>
      <w:pPr>
        <w:ind w:firstLine="987"/>
        <w:spacing w:after="0" w:line="277" w:lineRule="auto"/>
        <w:tabs>
          <w:tab w:leader="none" w:pos="137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Except pursuant to the two preceding paragraphs and the provisions under Section 3.10 and Section 3.11 hereof, the Notes will not be redeemable at the Company’s option prior to July 15, 2022.</w:t>
      </w:r>
    </w:p>
    <w:p>
      <w:pPr>
        <w:spacing w:after="0" w:line="170" w:lineRule="exact"/>
        <w:rPr>
          <w:rFonts w:ascii="Arial" w:cs="Arial" w:eastAsia="Arial" w:hAnsi="Arial"/>
          <w:sz w:val="18"/>
          <w:szCs w:val="18"/>
          <w:color w:val="auto"/>
        </w:rPr>
      </w:pPr>
    </w:p>
    <w:p>
      <w:pPr>
        <w:ind w:firstLine="987"/>
        <w:spacing w:after="0" w:line="259" w:lineRule="auto"/>
        <w:tabs>
          <w:tab w:leader="none" w:pos="138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On or after July 15, 2022, the Company may redeem all or a part of the Notes upon not less than 30 nor more than 60 days’ notice, at the redemption prices (expressed as percentages of the principal amount) set forth below plus accrued and unpaid interest, if any, on the Notes redeemed, to the applicable redemption date, if redeemed during the periods indicated below, subject to the rights of holders of the Notes on the relevant record date to receive interest on the relevant interest payment date:</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6100" w:type="dxa"/>
            <w:vAlign w:val="bottom"/>
            <w:vMerge w:val="restart"/>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6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Twelve-month period on or after July15, 2022</w:t>
            </w: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gridSpan w:val="2"/>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Twelve-month period on or after July 15, 2023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101.500%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July 15, 2024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255" w:name="page256"/>
    <w:bookmarkEnd w:id="255"/>
    <w:p>
      <w:pPr>
        <w:ind w:firstLine="987"/>
        <w:spacing w:after="0" w:line="271" w:lineRule="auto"/>
        <w:tabs>
          <w:tab w:leader="none" w:pos="1361" w:val="left"/>
        </w:tabs>
        <w:numPr>
          <w:ilvl w:val="0"/>
          <w:numId w:val="2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redemption pursuant to this Section 3.07 shall be made pursuant to the provisions of Section 3.01 through Section 3.06 hereof and 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with respect to such redemption may be performed by another Person.</w:t>
      </w:r>
    </w:p>
    <w:p>
      <w:pPr>
        <w:spacing w:after="0" w:line="28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117"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The Company is not required to make mandatory redemption or sinking fund payments with respect to the Notes. However, under certain circumstances, the Company may be required to offer to purchase Notes as described in Section 4.15 and Section 4.10 hereof. The Company may at any time and from time to time purchase Notes in the open market or otherwise.</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i w:val="1"/>
          <w:iCs w:val="1"/>
          <w:color w:val="auto"/>
        </w:rPr>
        <w:t>Offer to Purchase by Application of Excess Proceeds.</w:t>
      </w:r>
    </w:p>
    <w:p>
      <w:pPr>
        <w:spacing w:after="0" w:line="117"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In the event that, pursuant to Section 4.10 hereof, the Company is required to commence an offer to all Holders to purchase Notes (an “</w:t>
      </w:r>
      <w:r>
        <w:rPr>
          <w:rFonts w:ascii="Arial" w:cs="Arial" w:eastAsia="Arial" w:hAnsi="Arial"/>
          <w:sz w:val="18"/>
          <w:szCs w:val="18"/>
          <w:i w:val="1"/>
          <w:iCs w:val="1"/>
          <w:color w:val="auto"/>
        </w:rPr>
        <w:t>Asset Sale Offer</w:t>
      </w:r>
      <w:r>
        <w:rPr>
          <w:rFonts w:ascii="Arial" w:cs="Arial" w:eastAsia="Arial" w:hAnsi="Arial"/>
          <w:sz w:val="18"/>
          <w:szCs w:val="18"/>
          <w:color w:val="auto"/>
        </w:rPr>
        <w:t>”), it will follow the procedures specified below.</w:t>
      </w:r>
    </w:p>
    <w:p>
      <w:pPr>
        <w:spacing w:after="0" w:line="170"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The Asset Sale Offer shall be made to all Holders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this Indenture with respect to offers to purchase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6"/>
          <w:szCs w:val="16"/>
          <w:i w:val="1"/>
          <w:iCs w:val="1"/>
          <w:color w:val="auto"/>
        </w:rPr>
        <w:t>Offer Period</w:t>
      </w:r>
      <w:r>
        <w:rPr>
          <w:rFonts w:ascii="Arial" w:cs="Arial" w:eastAsia="Arial" w:hAnsi="Arial"/>
          <w:sz w:val="16"/>
          <w:szCs w:val="16"/>
          <w:color w:val="auto"/>
        </w:rPr>
        <w:t>”). No later than five Business Days after the termination of the Offer Period (the “</w:t>
      </w:r>
      <w:r>
        <w:rPr>
          <w:rFonts w:ascii="Arial" w:cs="Arial" w:eastAsia="Arial" w:hAnsi="Arial"/>
          <w:sz w:val="16"/>
          <w:szCs w:val="16"/>
          <w:i w:val="1"/>
          <w:iCs w:val="1"/>
          <w:color w:val="auto"/>
        </w:rPr>
        <w:t>Purchase Date</w:t>
      </w:r>
      <w:r>
        <w:rPr>
          <w:rFonts w:ascii="Arial" w:cs="Arial" w:eastAsia="Arial" w:hAnsi="Arial"/>
          <w:sz w:val="16"/>
          <w:szCs w:val="16"/>
          <w:color w:val="auto"/>
        </w:rPr>
        <w:t>”), the Company will apply all Excess Proceeds (the “</w:t>
      </w:r>
      <w:r>
        <w:rPr>
          <w:rFonts w:ascii="Arial" w:cs="Arial" w:eastAsia="Arial" w:hAnsi="Arial"/>
          <w:sz w:val="16"/>
          <w:szCs w:val="16"/>
          <w:i w:val="1"/>
          <w:iCs w:val="1"/>
          <w:color w:val="auto"/>
        </w:rPr>
        <w:t>Offer Amount</w:t>
      </w:r>
      <w:r>
        <w:rPr>
          <w:rFonts w:ascii="Arial" w:cs="Arial" w:eastAsia="Arial" w:hAnsi="Arial"/>
          <w:sz w:val="16"/>
          <w:szCs w:val="16"/>
          <w:color w:val="auto"/>
        </w:rPr>
        <w:t xml:space="preserve">”) to the purchase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if applicable) or, if less than the Offer Amount has been tendered, all Notes and other Indebtedness tendered in response to the Asset Sale Offer. Payment for any Notes so purchased will be made in the same manner as interest payments are made.</w:t>
      </w:r>
    </w:p>
    <w:p>
      <w:pPr>
        <w:spacing w:after="0" w:line="166"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and Additional Amounts, if any, will be paid to the Person in whose name a Note is registered at the close of business on such record date, and no additional interest will be payable to Holders who tender Notes pursuant to the Asset Sale Offer.</w:t>
      </w:r>
    </w:p>
    <w:p>
      <w:pPr>
        <w:spacing w:after="0" w:line="18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Upon the commencement of an Asset Sale Offer, the Company will send, by first class mail, a notice to the Trustee and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76" w:lineRule="exact"/>
        <w:rPr>
          <w:sz w:val="20"/>
          <w:szCs w:val="20"/>
          <w:color w:val="auto"/>
        </w:rPr>
      </w:pPr>
    </w:p>
    <w:p>
      <w:pPr>
        <w:ind w:left="980" w:right="200" w:firstLine="408"/>
        <w:spacing w:after="0" w:line="277" w:lineRule="auto"/>
        <w:tabs>
          <w:tab w:leader="none" w:pos="177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3.09 and Section 4.10 hereof and the length of time the Asset Sale Offer will remain open;</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 interest;</w:t>
      </w:r>
    </w:p>
    <w:p>
      <w:pPr>
        <w:spacing w:after="0" w:line="117" w:lineRule="exact"/>
        <w:rPr>
          <w:rFonts w:ascii="Arial" w:cs="Arial" w:eastAsia="Arial" w:hAnsi="Arial"/>
          <w:sz w:val="18"/>
          <w:szCs w:val="18"/>
          <w:color w:val="auto"/>
        </w:rPr>
      </w:pPr>
    </w:p>
    <w:p>
      <w:pPr>
        <w:ind w:left="980" w:right="280" w:firstLine="408"/>
        <w:spacing w:after="0" w:line="277" w:lineRule="auto"/>
        <w:tabs>
          <w:tab w:leader="none" w:pos="177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any Note accepted for payment pursuant to the Asset Sale Offer will cease to accrue interest after the Purchase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256" w:name="page257"/>
    <w:bookmarkEnd w:id="256"/>
    <w:p>
      <w:pPr>
        <w:ind w:left="980" w:right="220" w:firstLine="408"/>
        <w:spacing w:after="0" w:line="277" w:lineRule="auto"/>
        <w:tabs>
          <w:tab w:leader="none" w:pos="1771"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Holders electing to have a Note purchased pursuant to an Asset Sale Offer may elect to have Notes purchased in integral multiples of US$200,000 and integral multiples of US$1,000 in excess thereof only;</w:t>
      </w:r>
    </w:p>
    <w:p>
      <w:pPr>
        <w:spacing w:after="0" w:line="62" w:lineRule="exact"/>
        <w:rPr>
          <w:rFonts w:ascii="Arial" w:cs="Arial" w:eastAsia="Arial" w:hAnsi="Arial"/>
          <w:sz w:val="18"/>
          <w:szCs w:val="18"/>
          <w:color w:val="auto"/>
        </w:rPr>
      </w:pPr>
    </w:p>
    <w:p>
      <w:pPr>
        <w:jc w:val="both"/>
        <w:ind w:left="980" w:right="80" w:firstLine="408"/>
        <w:spacing w:after="0" w:line="259" w:lineRule="auto"/>
        <w:tabs>
          <w:tab w:leader="none" w:pos="177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w:t>
      </w:r>
    </w:p>
    <w:p>
      <w:pPr>
        <w:spacing w:after="0" w:line="78" w:lineRule="exact"/>
        <w:rPr>
          <w:rFonts w:ascii="Arial" w:cs="Arial" w:eastAsia="Arial" w:hAnsi="Arial"/>
          <w:sz w:val="18"/>
          <w:szCs w:val="18"/>
          <w:color w:val="auto"/>
        </w:rPr>
      </w:pPr>
    </w:p>
    <w:p>
      <w:pPr>
        <w:ind w:left="980" w:right="40" w:firstLine="408"/>
        <w:spacing w:after="0" w:line="259" w:lineRule="auto"/>
        <w:tabs>
          <w:tab w:leader="none" w:pos="177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that Holders will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w:t>
      </w:r>
    </w:p>
    <w:p>
      <w:pPr>
        <w:spacing w:after="0" w:line="78" w:lineRule="exact"/>
        <w:rPr>
          <w:rFonts w:ascii="Arial" w:cs="Arial" w:eastAsia="Arial" w:hAnsi="Arial"/>
          <w:sz w:val="18"/>
          <w:szCs w:val="18"/>
          <w:color w:val="auto"/>
        </w:rPr>
      </w:pPr>
    </w:p>
    <w:p>
      <w:pPr>
        <w:ind w:left="980" w:right="20" w:firstLine="408"/>
        <w:spacing w:after="0" w:line="257" w:lineRule="auto"/>
        <w:tabs>
          <w:tab w:leader="none" w:pos="177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that, if the aggregate principal amount of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by holders thereof exceeds the Offer Amount, the Company will select the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to be purchased in accordance with Section 3.02 based on the principal amount of Notes and such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(with such adjustments as may be deemed appropriate by the Company so that only Notes in denominations of US$200,000, or integral multiples of US$1,000 in excess thereof, will be purchased); and</w:t>
      </w:r>
    </w:p>
    <w:p>
      <w:pPr>
        <w:spacing w:after="0" w:line="79" w:lineRule="exact"/>
        <w:rPr>
          <w:rFonts w:ascii="Arial" w:cs="Arial" w:eastAsia="Arial" w:hAnsi="Arial"/>
          <w:sz w:val="18"/>
          <w:szCs w:val="18"/>
          <w:color w:val="auto"/>
        </w:rPr>
      </w:pPr>
    </w:p>
    <w:p>
      <w:pPr>
        <w:ind w:left="980" w:right="160" w:firstLine="408"/>
        <w:spacing w:after="0" w:line="263" w:lineRule="auto"/>
        <w:tabs>
          <w:tab w:leader="none" w:pos="177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that Holders whose Notes were purchased only in part will be issued new Notes equal in principal amount to the unpurchased portion of the Notes surrendered (or transferred by book-entry transfer),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has a minimum denomination of US$200,000.</w:t>
      </w:r>
    </w:p>
    <w:p>
      <w:pPr>
        <w:spacing w:after="0" w:line="184"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On or before the Purchase Date, the Company will, to the extent lawful, accept for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necessary (but subject to Section 3.02), the Offer Amount of Notes or portions thereof tendered pursuant to the Asset Sale Offer, or if less than the Offer Amount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(but in any case not later than five days after the Purchase Date)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unpurchased portion has a minimum denomination of US$200,000. Any Note not so accepted shall be promptly mailed or delivered by the Company to the Holder thereof. The Company will publicly announce the results of the Asset Sale Offer on the Purchase Date.</w:t>
      </w:r>
    </w:p>
    <w:p>
      <w:pPr>
        <w:spacing w:after="0" w:line="168"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Other than as specifically provided in this Section 3.09, any purchase pursuant to this Section 3.09 shall be made pursuant to the provisions of Section 3.01 through Section 3.06 hereof.</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5"/>
          <w:szCs w:val="15"/>
          <w:i w:val="1"/>
          <w:iCs w:val="1"/>
          <w:color w:val="auto"/>
        </w:rPr>
        <w:t>Redemption for Taxation Reasons.</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Notes may be redeemed, at the option of the Company, as a whole but not in part, upon giving not less than 30 days’ nor more than 60 days’ notice to Holders (which notice will be irrevocable), at a redemption price equal to 100% of the principal amount thereof, together with accrued and unpaid interest (including any Additional Amounts), if any, to the date fixed by the Company for redemption (the “</w:t>
      </w:r>
      <w:r>
        <w:rPr>
          <w:rFonts w:ascii="Arial" w:cs="Arial" w:eastAsia="Arial" w:hAnsi="Arial"/>
          <w:sz w:val="18"/>
          <w:szCs w:val="18"/>
          <w:i w:val="1"/>
          <w:iCs w:val="1"/>
          <w:color w:val="auto"/>
        </w:rPr>
        <w:t>Tax Redemption Date</w:t>
      </w:r>
      <w:r>
        <w:rPr>
          <w:rFonts w:ascii="Arial" w:cs="Arial" w:eastAsia="Arial" w:hAnsi="Arial"/>
          <w:sz w:val="18"/>
          <w:szCs w:val="18"/>
          <w:color w:val="auto"/>
        </w:rPr>
        <w:t>”) if, as a result of:</w:t>
      </w:r>
    </w:p>
    <w:p>
      <w:pPr>
        <w:spacing w:after="0" w:line="79" w:lineRule="exact"/>
        <w:rPr>
          <w:sz w:val="20"/>
          <w:szCs w:val="20"/>
          <w:color w:val="auto"/>
        </w:rPr>
      </w:pPr>
    </w:p>
    <w:p>
      <w:pPr>
        <w:ind w:left="980" w:right="340" w:firstLine="408"/>
        <w:spacing w:after="0" w:line="277" w:lineRule="auto"/>
        <w:tabs>
          <w:tab w:leader="none" w:pos="177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change in, or amendment to, the laws (or any regulations or rulings promulgated thereunder) of a Relevant Jurisdiction affecting taxation;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257" w:name="page258"/>
    <w:bookmarkEnd w:id="257"/>
    <w:p>
      <w:pPr>
        <w:ind w:left="980" w:right="340" w:firstLine="408"/>
        <w:spacing w:after="0" w:line="277" w:lineRule="auto"/>
        <w:tabs>
          <w:tab w:leader="none" w:pos="1771" w:val="left"/>
        </w:tabs>
        <w:numPr>
          <w:ilvl w:val="0"/>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change in, or amendment to, an official position regarding the application or interpretation of such laws, regulations or rulings (including a holding, judgment or order by a court of competent jurisdiction),</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which change or amendment becomes effective on or after the date of this Indenture with respect to any payment due or to become due under the Notes, this Indenture or a Note Guarantee, the Company or a Subsidiary Guarantor, as the case may be, is, or on the next Interest Payment Date would be, required to pay Additional Amounts, and such requirement cannot be avoided by the Company or a Subsidiary Guarantor, as the case may be, taking reasonable measures available to it;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the avoidance of doubt, changing the jurisdiction of the Company or a Subsidiary Guarantor is not a reasonable measure for the purposes of this Section 3.10;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notice of redemption will be given earlier than 90 days prior to the earliest date on which the Company or a Subsidiary Guarantor, as the case may be, would be obligated to pay such Additional Amounts if a payment in respect of the Notes were then due.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Prior to the mailing of any notice of redemption of the Notes pursuant to the foregoing, the Company will deliver to the Trustee:</w:t>
      </w:r>
    </w:p>
    <w:p>
      <w:pPr>
        <w:spacing w:after="0" w:line="129" w:lineRule="exact"/>
        <w:rPr>
          <w:sz w:val="20"/>
          <w:szCs w:val="20"/>
          <w:color w:val="auto"/>
        </w:rPr>
      </w:pPr>
    </w:p>
    <w:p>
      <w:pPr>
        <w:ind w:left="980" w:right="160" w:firstLine="408"/>
        <w:spacing w:after="0" w:line="263" w:lineRule="auto"/>
        <w:tabs>
          <w:tab w:leader="none" w:pos="177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 Officer’s Certificate stating that such change or amendment referred to in the prior paragraph has occurred, and describing the facts related thereto and stating that such requirement cannot be avoided by the Company or such Subsidiary Guarantor, as the case may be, taking reasonable measures available to it; and</w:t>
      </w:r>
    </w:p>
    <w:p>
      <w:pPr>
        <w:spacing w:after="0" w:line="75" w:lineRule="exact"/>
        <w:rPr>
          <w:rFonts w:ascii="Arial" w:cs="Arial" w:eastAsia="Arial" w:hAnsi="Arial"/>
          <w:sz w:val="18"/>
          <w:szCs w:val="18"/>
          <w:color w:val="auto"/>
        </w:rPr>
      </w:pPr>
    </w:p>
    <w:p>
      <w:pPr>
        <w:ind w:left="980" w:right="20" w:firstLine="408"/>
        <w:spacing w:after="0" w:line="277" w:lineRule="auto"/>
        <w:tabs>
          <w:tab w:leader="none" w:pos="177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 Opinion of Counsel or an opinion of a tax consultant of recognized international standing stating that the requirement to pay such Additional Amounts results from such change or amendment referred to in the prior paragraph.</w:t>
      </w:r>
    </w:p>
    <w:p>
      <w:pPr>
        <w:spacing w:after="0" w:line="170"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or opinion of tax consultant as sufficient evidence of the satisfaction of the conditions precedent described above, in which event it will be conclusive and binding on the Holders.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Any Notes that are redeemed pursuant to this Section 3.10 will be cancelled.</w:t>
      </w:r>
    </w:p>
    <w:p>
      <w:pPr>
        <w:spacing w:after="0" w:line="333"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i w:val="1"/>
          <w:iCs w:val="1"/>
          <w:color w:val="auto"/>
        </w:rPr>
        <w:t>Gaming Redemption.</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Each Holder, by accepting a Note, shall be deemed to have agreed that if the Gaming Authority of any jurisdiction in which the Company or any of its Affiliates (including Melco Resorts Macau) conducts or proposes to conduct gaming requires that a person who is a holder or the beneficial owner of Notes be licensed, qualified or found suitable under applicable Gaming Laws, such holder or beneficial owner, as the case may be, shall apply for a license, qualification or a finding of suitability within the required time period. If such Person fails to apply or become licensed or qualified or is found unsuitable, the Company shall have the right, at its option:</w:t>
      </w:r>
    </w:p>
    <w:p>
      <w:pPr>
        <w:spacing w:after="0" w:line="80" w:lineRule="exact"/>
        <w:rPr>
          <w:sz w:val="20"/>
          <w:szCs w:val="20"/>
          <w:color w:val="auto"/>
        </w:rPr>
      </w:pPr>
    </w:p>
    <w:p>
      <w:pPr>
        <w:ind w:left="980" w:right="20" w:firstLine="408"/>
        <w:spacing w:after="0" w:line="277" w:lineRule="auto"/>
        <w:tabs>
          <w:tab w:leader="none" w:pos="177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require such Person to dispose of its Notes or beneficial interest therein within 30 days of receipt of notice of the Company’s election or such earlier date as may be requested or prescribed by such Gaming Authority; or</w:t>
      </w:r>
    </w:p>
    <w:p>
      <w:pPr>
        <w:spacing w:after="0" w:line="62" w:lineRule="exact"/>
        <w:rPr>
          <w:rFonts w:ascii="Arial" w:cs="Arial" w:eastAsia="Arial" w:hAnsi="Arial"/>
          <w:sz w:val="18"/>
          <w:szCs w:val="18"/>
          <w:color w:val="auto"/>
        </w:rPr>
      </w:pPr>
    </w:p>
    <w:p>
      <w:pPr>
        <w:ind w:left="980" w:right="560" w:firstLine="408"/>
        <w:spacing w:after="0" w:line="277" w:lineRule="auto"/>
        <w:tabs>
          <w:tab w:leader="none" w:pos="177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redeem such Notes, which redemption may be less than 30 days following the notice of redemption if so requested or prescribed by the applicable gaming authority, at a redemption price equal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258" w:name="page259"/>
    <w:bookmarkEnd w:id="258"/>
    <w:p>
      <w:pPr>
        <w:ind w:left="2240" w:hanging="429"/>
        <w:spacing w:after="0"/>
        <w:tabs>
          <w:tab w:leader="none" w:pos="22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lesser of:</w:t>
      </w:r>
    </w:p>
    <w:p>
      <w:pPr>
        <w:spacing w:after="0" w:line="130" w:lineRule="exact"/>
        <w:rPr>
          <w:rFonts w:ascii="Arial" w:cs="Arial" w:eastAsia="Arial" w:hAnsi="Arial"/>
          <w:sz w:val="18"/>
          <w:szCs w:val="18"/>
          <w:color w:val="auto"/>
        </w:rPr>
      </w:pPr>
    </w:p>
    <w:p>
      <w:pPr>
        <w:ind w:left="2840" w:right="80" w:hanging="536"/>
        <w:spacing w:after="0" w:line="277" w:lineRule="auto"/>
        <w:tabs>
          <w:tab w:leader="none" w:pos="28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Person’s cost, plus accrued and unpaid interest, if any, to the earlier of the redemption date or the date of the finding of unsuitability or failure to comply; and</w:t>
      </w:r>
    </w:p>
    <w:p>
      <w:pPr>
        <w:spacing w:after="0" w:line="75" w:lineRule="exact"/>
        <w:rPr>
          <w:rFonts w:ascii="Arial" w:cs="Arial" w:eastAsia="Arial" w:hAnsi="Arial"/>
          <w:sz w:val="18"/>
          <w:szCs w:val="18"/>
          <w:color w:val="auto"/>
        </w:rPr>
      </w:pPr>
    </w:p>
    <w:p>
      <w:pPr>
        <w:ind w:left="2840" w:right="180" w:hanging="536"/>
        <w:spacing w:after="0" w:line="277" w:lineRule="auto"/>
        <w:tabs>
          <w:tab w:leader="none" w:pos="28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100% of the principal amount thereof, plus accrued and unpaid interest, if any, to the earlier of the redemption date or the date of the finding of unsuitability or failure to comply; or</w:t>
      </w:r>
    </w:p>
    <w:p>
      <w:pPr>
        <w:spacing w:after="0" w:line="62" w:lineRule="exact"/>
        <w:rPr>
          <w:rFonts w:ascii="Arial" w:cs="Arial" w:eastAsia="Arial" w:hAnsi="Arial"/>
          <w:sz w:val="18"/>
          <w:szCs w:val="18"/>
          <w:color w:val="auto"/>
        </w:rPr>
      </w:pPr>
    </w:p>
    <w:p>
      <w:pPr>
        <w:ind w:left="2240" w:hanging="429"/>
        <w:spacing w:after="0"/>
        <w:tabs>
          <w:tab w:leader="none" w:pos="22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such other amount as may be required by applicable law or order of the applicable Gaming Authority.</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Company shall notify the Trustee in writing of any such redemption as soon as practicable. Neither the Company nor the Trustee shall be responsible for any costs or expenses any Holder may incur in connection with such Holder’s application for a license, qualification or a finding of suitability.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40" w:top="274" w:right="499" w:bottom="1440" w:gutter="0" w:footer="0" w:header="0"/>
        </w:sectPr>
      </w:pPr>
    </w:p>
    <w:bookmarkStart w:id="259" w:name="page260"/>
    <w:bookmarkEnd w:id="25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Payment of Notes.</w:t>
      </w:r>
    </w:p>
    <w:p>
      <w:pPr>
        <w:spacing w:after="0" w:line="117"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The Company will pay or cause to be paid the principal of, premium, if any, and interest and Additional Amounts, if any, on, the Notes on the dates and in the manner provided in the Notes. Principal, premium, if any, and interest and Additional Amounts, if any, will be considered paid on the date due if the Paying Agent, if other than the Company or a Subsidiary thereof, holds as of 10:00 a.m. New York Time two Business Days prior to the due date money deposited by the Company in immediately available funds and designated for and sufficient to pay all principal, premium, if any, interest and Additional Amounts, if any, then due. All the funds provided to the Paying Agent must be in U.S. Dollars.</w:t>
      </w:r>
    </w:p>
    <w:p>
      <w:pPr>
        <w:spacing w:after="0" w:line="161"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92"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designation or rescission will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The Company hereby designates Deutsche Bank Trust Company Americas as one such office or agency of the Company in accordance with Section 2.03 hereof.</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117" w:lineRule="exact"/>
        <w:rPr>
          <w:sz w:val="20"/>
          <w:szCs w:val="20"/>
          <w:color w:val="auto"/>
        </w:rPr>
      </w:pPr>
    </w:p>
    <w:p>
      <w:pPr>
        <w:ind w:left="1360" w:hanging="373"/>
        <w:spacing w:after="0"/>
        <w:tabs>
          <w:tab w:leader="none" w:pos="13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 will provide to the Trustee and the Holders and make available to potential investors:</w:t>
      </w:r>
    </w:p>
    <w:p>
      <w:pPr>
        <w:spacing w:after="0" w:line="117" w:lineRule="exact"/>
        <w:rPr>
          <w:rFonts w:ascii="Arial" w:cs="Arial" w:eastAsia="Arial" w:hAnsi="Arial"/>
          <w:sz w:val="18"/>
          <w:szCs w:val="18"/>
          <w:color w:val="auto"/>
        </w:rPr>
      </w:pPr>
    </w:p>
    <w:p>
      <w:pPr>
        <w:ind w:left="980" w:firstLine="408"/>
        <w:spacing w:after="0" w:line="286" w:lineRule="auto"/>
        <w:tabs>
          <w:tab w:leader="none" w:pos="177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 xml:space="preserve">within 120 days after the end of the Company’s fiscal year, annual reports of the Company containing: (a) information with a level of detail that is substantially comparable to the sections in the Offering Memorandum entitled “Selected Consolidated Financial and Operational Data,” “Business,” “Management,” “Related Party Transactions” and “Description of Other Material Indebtedness;” (b) the Company’s audited consolidated (i) balance sheet as of the end of the two most recent fiscal years and (ii) income statement and statement of cash flow for the two most recent fiscal years, in each case prepared in accordance with U.S. GAAP and including complete footnotes to such financial statements and the report of the independent auditors on the financial statements; (c) an operating and financial review of the two most recent fiscal years for the Company and its Restricted Subsidiaries, including a discussion of (i) the financial condition and results of operations of the Company on a consolidated basis and any material changes between such two fiscal years and (ii) any material developments in the business of the Company and its Restricted Subsidiaries; and (d)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income statement and balance sheet information of the Company, together with explanatory footnotes, for any Change of Control or material acquisitions, dispositions or recapitalizations that have occurred since the beginning of the most recently completed fiscal year, unless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has been provided in a previous report pursuant to paragraph (2)(c) below;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shall be required to be provided for any material acquisitions or dispositions relating solely to the Phase II Project;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440" w:top="270" w:right="499" w:bottom="1440" w:gutter="0" w:footer="0" w:header="0"/>
        </w:sectPr>
      </w:pPr>
    </w:p>
    <w:bookmarkStart w:id="260" w:name="page261"/>
    <w:bookmarkEnd w:id="260"/>
    <w:p>
      <w:pPr>
        <w:ind w:left="984" w:right="40" w:firstLine="408"/>
        <w:spacing w:after="0" w:line="269" w:lineRule="auto"/>
        <w:tabs>
          <w:tab w:leader="none" w:pos="1775" w:val="left"/>
        </w:tabs>
        <w:numPr>
          <w:ilvl w:val="1"/>
          <w:numId w:val="2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60 days after the end of each day of the first three fiscal quarters in each fiscal year of the Company, quarterly reports containing: (a) the Company’s unaudited condensed consolidated (i) balance sheet as of the end of such quarter and (ii) statement of income and cash flow for the quarterly and year to date periods ending on the most recent balance sheet date, and the comparable prior year periods, in each case prepared in accordance with U.S. GAAP; (b) an operating and financial review of such periods for the Company and its Restricted Subsidiaries including a discussion of (i) the financial condition and results of operations of the Company on a consolidated basis and material changes between the current period and the period of the prior year and (ii) any material developments in the business of the Company and its Restricted Subsidiaries; (c)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income statement and balance sheet information of the Company, together with explanatory footnotes, for any Change of Control or material acquisitions, dispositions or recapitalizations that have occurred since the beginning of the most recently completed fiscal quarter,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pro forma information shall be required to be provided for any material acquisitions or dispositions relating solely to the Phase II Project,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Company may provide any such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information relating to a material acquisition within 75 days following such quarterly report in the form of a report provided pursuant to clause (3) below; and</w:t>
      </w:r>
    </w:p>
    <w:p>
      <w:pPr>
        <w:spacing w:after="0" w:line="70" w:lineRule="exact"/>
        <w:rPr>
          <w:rFonts w:ascii="Arial" w:cs="Arial" w:eastAsia="Arial" w:hAnsi="Arial"/>
          <w:sz w:val="17"/>
          <w:szCs w:val="17"/>
          <w:color w:val="auto"/>
        </w:rPr>
      </w:pPr>
    </w:p>
    <w:p>
      <w:pPr>
        <w:ind w:left="984" w:right="20" w:firstLine="408"/>
        <w:spacing w:after="0" w:line="287" w:lineRule="auto"/>
        <w:tabs>
          <w:tab w:leader="none" w:pos="1775" w:val="left"/>
        </w:tabs>
        <w:numPr>
          <w:ilvl w:val="1"/>
          <w:numId w:val="244"/>
        </w:numPr>
        <w:rPr>
          <w:rFonts w:ascii="Arial" w:cs="Arial" w:eastAsia="Arial" w:hAnsi="Arial"/>
          <w:sz w:val="16"/>
          <w:szCs w:val="16"/>
          <w:color w:val="auto"/>
        </w:rPr>
      </w:pPr>
      <w:r>
        <w:rPr>
          <w:rFonts w:ascii="Arial" w:cs="Arial" w:eastAsia="Arial" w:hAnsi="Arial"/>
          <w:sz w:val="16"/>
          <w:szCs w:val="16"/>
          <w:color w:val="auto"/>
        </w:rPr>
        <w:t>promptly from time to time after the occurrence of any of the events listed in (a)to (d) of this clause (3) information with respect to (a) any change in the independent accountants of the Company or any of the Significant Subsidiaries of the Company, (b) any material acquisition or disposition, (c) any material event that the Company or any Restricted Subsidiary of the Company announces publicly and</w:t>
      </w:r>
    </w:p>
    <w:p>
      <w:pPr>
        <w:spacing w:after="0" w:line="2" w:lineRule="exact"/>
        <w:rPr>
          <w:rFonts w:ascii="Arial" w:cs="Arial" w:eastAsia="Arial" w:hAnsi="Arial"/>
          <w:sz w:val="16"/>
          <w:szCs w:val="16"/>
          <w:color w:val="auto"/>
        </w:rPr>
      </w:pPr>
    </w:p>
    <w:p>
      <w:pPr>
        <w:ind w:left="984" w:right="720" w:firstLine="7"/>
        <w:spacing w:after="0" w:line="260" w:lineRule="auto"/>
        <w:tabs>
          <w:tab w:leader="none" w:pos="123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information that the Company is required to make publicly available under the requirements of the SGX-ST or such other exchanges on which the securities of the Company or its Subsidiaries are then listed.</w:t>
      </w:r>
    </w:p>
    <w:p>
      <w:pPr>
        <w:spacing w:after="0" w:line="185" w:lineRule="exact"/>
        <w:rPr>
          <w:sz w:val="20"/>
          <w:szCs w:val="20"/>
          <w:color w:val="auto"/>
        </w:rPr>
      </w:pPr>
    </w:p>
    <w:p>
      <w:pPr>
        <w:ind w:left="4" w:firstLine="987"/>
        <w:spacing w:after="0" w:line="301" w:lineRule="auto"/>
        <w:tabs>
          <w:tab w:leader="none" w:pos="1385" w:val="left"/>
        </w:tabs>
        <w:numPr>
          <w:ilvl w:val="1"/>
          <w:numId w:val="246"/>
        </w:numPr>
        <w:rPr>
          <w:rFonts w:ascii="Arial" w:cs="Arial" w:eastAsia="Arial" w:hAnsi="Arial"/>
          <w:sz w:val="16"/>
          <w:szCs w:val="16"/>
          <w:color w:val="auto"/>
        </w:rPr>
      </w:pPr>
      <w:r>
        <w:rPr>
          <w:rFonts w:ascii="Arial" w:cs="Arial" w:eastAsia="Arial" w:hAnsi="Arial"/>
          <w:sz w:val="16"/>
          <w:szCs w:val="16"/>
          <w:color w:val="auto"/>
        </w:rPr>
        <w:t>If the Company has designated any of its Subsidiaries as Unrestricted Subsidiaries and any such Unrestricted Subsidiary or group of Unrestricted Subsidiaries constitute Significant Subsidiaries of the Company, then the annual and quarterly information required by the paragraphs (a)(1) and (a)(2) hereof shall include a reasonably detailed presentation of the financial condition and results of operations of the Company and its Restricted Subsidiaries separate from the financial condition and results of operations of such Unrestricted Subsidiaries of the Company.</w:t>
      </w:r>
    </w:p>
    <w:p>
      <w:pPr>
        <w:spacing w:after="0" w:line="157" w:lineRule="exact"/>
        <w:rPr>
          <w:rFonts w:ascii="Arial" w:cs="Arial" w:eastAsia="Arial" w:hAnsi="Arial"/>
          <w:sz w:val="16"/>
          <w:szCs w:val="16"/>
          <w:color w:val="auto"/>
        </w:rPr>
      </w:pPr>
    </w:p>
    <w:p>
      <w:pPr>
        <w:ind w:left="4" w:right="180" w:firstLine="987"/>
        <w:spacing w:after="0" w:line="287" w:lineRule="auto"/>
        <w:tabs>
          <w:tab w:leader="none" w:pos="1375" w:val="left"/>
        </w:tabs>
        <w:numPr>
          <w:ilvl w:val="1"/>
          <w:numId w:val="246"/>
        </w:numPr>
        <w:rPr>
          <w:rFonts w:ascii="Arial" w:cs="Arial" w:eastAsia="Arial" w:hAnsi="Arial"/>
          <w:sz w:val="16"/>
          <w:szCs w:val="16"/>
          <w:color w:val="auto"/>
        </w:rPr>
      </w:pPr>
      <w:r>
        <w:rPr>
          <w:rFonts w:ascii="Arial" w:cs="Arial" w:eastAsia="Arial" w:hAnsi="Arial"/>
          <w:sz w:val="16"/>
          <w:szCs w:val="16"/>
          <w:color w:val="auto"/>
        </w:rPr>
        <w:t>In addition, so long as the Notes are “restricted securities” within the meaning of Rule 144(a)(3) of the Securities Act and in any period during which the Company is not subject to Section 13 or 15(d) of the Exchange Act nor exempt therefrom pursuant to Rule 12g3-2(b), the Company shall furnish to the holders of the Notes, securities analysts and prospective investors, upon their request, any information that Rule 144A(d)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under the Securities Act would require the Company to provide to such parties.</w:t>
      </w:r>
    </w:p>
    <w:p>
      <w:pPr>
        <w:spacing w:after="0" w:line="210" w:lineRule="exact"/>
        <w:rPr>
          <w:rFonts w:ascii="Arial" w:cs="Arial" w:eastAsia="Arial" w:hAnsi="Arial"/>
          <w:sz w:val="18"/>
          <w:szCs w:val="18"/>
          <w:color w:val="auto"/>
        </w:rPr>
      </w:pPr>
    </w:p>
    <w:p>
      <w:pPr>
        <w:ind w:left="4" w:right="100" w:firstLine="987"/>
        <w:spacing w:after="0" w:line="272" w:lineRule="auto"/>
        <w:tabs>
          <w:tab w:leader="none" w:pos="1382" w:val="left"/>
        </w:tabs>
        <w:numPr>
          <w:ilvl w:val="1"/>
          <w:numId w:val="247"/>
        </w:numPr>
        <w:rPr>
          <w:rFonts w:ascii="Arial" w:cs="Arial" w:eastAsia="Arial" w:hAnsi="Arial"/>
          <w:sz w:val="17"/>
          <w:szCs w:val="17"/>
          <w:color w:val="auto"/>
        </w:rPr>
      </w:pPr>
      <w:r>
        <w:rPr>
          <w:rFonts w:ascii="Arial" w:cs="Arial" w:eastAsia="Arial" w:hAnsi="Arial"/>
          <w:sz w:val="17"/>
          <w:szCs w:val="17"/>
          <w:color w:val="auto"/>
        </w:rPr>
        <w:t xml:space="preserve">The Company may elect to satisfy its obligations under this Section 4.03 with respect to all such financial information relating to the Company by furnishing, or making available on the SEC’s website,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shall have no responsibility whatsoever to determine whether such filing has occurred, such financial information relating to Studio City International, or by furnishing or making available on the SGX’s website such financial information relating to Studio City Company Limited; provided that the same is accompanied by consolidating information that explains in reasonable detail the differences between the information relating to Studio City International or Studio City Company Limited (as the case may be), on the one hand, and the information relating to the Company and its Restricted Subsidiaries on a stand-alone basis, on the other hand; provided further that the Company shall make no more than two such elections.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4"/>
          </w:cols>
          <w:pgMar w:left="436" w:top="274" w:right="439" w:bottom="1440" w:gutter="0" w:footer="0" w:header="0"/>
        </w:sectPr>
      </w:pPr>
    </w:p>
    <w:bookmarkStart w:id="261" w:name="page262"/>
    <w:bookmarkEnd w:id="261"/>
    <w:p>
      <w:pPr>
        <w:ind w:left="4" w:right="420" w:firstLine="987"/>
        <w:spacing w:after="0" w:line="342" w:lineRule="auto"/>
        <w:tabs>
          <w:tab w:leader="none" w:pos="1365" w:val="left"/>
        </w:tabs>
        <w:numPr>
          <w:ilvl w:val="0"/>
          <w:numId w:val="2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financial statement information required under this covenant shall be prepared on a consistent basis in accordance with U.S. GAAP. In addition, all financial statement information and all reports required under this covenant shall be presented in the English language.</w:t>
      </w:r>
    </w:p>
    <w:p>
      <w:pPr>
        <w:spacing w:after="0" w:line="123" w:lineRule="exact"/>
        <w:rPr>
          <w:rFonts w:ascii="Arial" w:cs="Arial" w:eastAsia="Arial" w:hAnsi="Arial"/>
          <w:sz w:val="16"/>
          <w:szCs w:val="16"/>
          <w:color w:val="auto"/>
        </w:rPr>
      </w:pPr>
    </w:p>
    <w:p>
      <w:pPr>
        <w:ind w:left="1344" w:hanging="353"/>
        <w:spacing w:after="0"/>
        <w:tabs>
          <w:tab w:leader="none" w:pos="1344"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[Intentionally Omitted].</w:t>
      </w:r>
    </w:p>
    <w:p>
      <w:pPr>
        <w:spacing w:after="0" w:line="225" w:lineRule="exact"/>
        <w:rPr>
          <w:rFonts w:ascii="Arial" w:cs="Arial" w:eastAsia="Arial" w:hAnsi="Arial"/>
          <w:sz w:val="18"/>
          <w:szCs w:val="18"/>
          <w:color w:val="auto"/>
        </w:rPr>
      </w:pPr>
    </w:p>
    <w:p>
      <w:pPr>
        <w:ind w:left="4" w:right="220" w:firstLine="987"/>
        <w:spacing w:after="0" w:line="259" w:lineRule="auto"/>
        <w:tabs>
          <w:tab w:leader="none" w:pos="138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the Officer’s Certificates).</w:t>
      </w:r>
    </w:p>
    <w:p>
      <w:pPr>
        <w:spacing w:after="0" w:line="295"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117" w:lineRule="exact"/>
        <w:rPr>
          <w:sz w:val="20"/>
          <w:szCs w:val="20"/>
          <w:color w:val="auto"/>
        </w:rPr>
      </w:pPr>
    </w:p>
    <w:p>
      <w:pPr>
        <w:ind w:left="4" w:firstLine="987"/>
        <w:spacing w:after="0" w:line="289" w:lineRule="auto"/>
        <w:tabs>
          <w:tab w:leader="none" w:pos="1372" w:val="left"/>
        </w:tabs>
        <w:numPr>
          <w:ilvl w:val="1"/>
          <w:numId w:val="249"/>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166" w:lineRule="exact"/>
        <w:rPr>
          <w:rFonts w:ascii="Arial" w:cs="Arial" w:eastAsia="Arial" w:hAnsi="Arial"/>
          <w:sz w:val="16"/>
          <w:szCs w:val="16"/>
          <w:color w:val="auto"/>
        </w:rPr>
      </w:pPr>
    </w:p>
    <w:p>
      <w:pPr>
        <w:ind w:left="1384" w:hanging="393"/>
        <w:spacing w:after="0"/>
        <w:tabs>
          <w:tab w:leader="none" w:pos="1384"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364" w:hanging="373"/>
        <w:spacing w:after="0"/>
        <w:tabs>
          <w:tab w:leader="none" w:pos="1364" w:val="left"/>
        </w:tabs>
        <w:numPr>
          <w:ilvl w:val="1"/>
          <w:numId w:val="249"/>
        </w:numPr>
        <w:rPr>
          <w:rFonts w:ascii="Arial" w:cs="Arial" w:eastAsia="Arial" w:hAnsi="Arial"/>
          <w:sz w:val="16"/>
          <w:szCs w:val="16"/>
          <w:color w:val="auto"/>
        </w:rPr>
      </w:pPr>
      <w:r>
        <w:rPr>
          <w:rFonts w:ascii="Arial" w:cs="Arial" w:eastAsia="Arial" w:hAnsi="Arial"/>
          <w:sz w:val="16"/>
          <w:szCs w:val="16"/>
          <w:color w:val="auto"/>
        </w:rPr>
        <w:t>So long as any of the Notes are outstanding, the Company will deliver to the Trustee, as soon as possible and in any event within five</w:t>
      </w:r>
    </w:p>
    <w:p>
      <w:pPr>
        <w:spacing w:after="0" w:line="46" w:lineRule="exact"/>
        <w:rPr>
          <w:rFonts w:ascii="Arial" w:cs="Arial" w:eastAsia="Arial" w:hAnsi="Arial"/>
          <w:sz w:val="16"/>
          <w:szCs w:val="16"/>
          <w:color w:val="auto"/>
        </w:rPr>
      </w:pPr>
    </w:p>
    <w:p>
      <w:pPr>
        <w:ind w:left="4" w:right="120" w:hanging="4"/>
        <w:spacing w:after="0" w:line="253" w:lineRule="auto"/>
        <w:tabs>
          <w:tab w:leader="none" w:pos="25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Business Days after the Company becomes aware of any Default or Event of Default, an Officer’s Certificate specifying such Default or Event of Default and what action the Company is taking or proposes to take with respect thereto. The Trustee shall not be deemed to have a duty to monitor compliance by the Company, nor to have knowledge of a Default or an Event of Default (other than a payment default on a scheduled interest payment date) unless a Responsible Officer of the Trustee receives written notice thereof, stating that it is a notice of default and referencing the applicable section of this Indenture.</w:t>
      </w:r>
    </w:p>
    <w:p>
      <w:pPr>
        <w:spacing w:after="0" w:line="299"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3"/>
          <w:szCs w:val="13"/>
          <w:i w:val="1"/>
          <w:iCs w:val="1"/>
          <w:color w:val="auto"/>
        </w:rPr>
        <w:t>Taxes.</w:t>
      </w:r>
    </w:p>
    <w:p>
      <w:pPr>
        <w:spacing w:after="0" w:line="117"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required to be paid by the Company or such Subsidiaries except such as are contested in good faith and by appropriate proceedings or where the failure to effect such payment is not adverse in any material respect to the Holders.</w:t>
      </w:r>
    </w:p>
    <w:p>
      <w:pPr>
        <w:spacing w:after="0" w:line="292"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117" w:lineRule="exact"/>
        <w:rPr>
          <w:sz w:val="20"/>
          <w:szCs w:val="20"/>
          <w:color w:val="auto"/>
        </w:rPr>
      </w:pPr>
    </w:p>
    <w:p>
      <w:pPr>
        <w:ind w:left="4" w:right="20" w:firstLine="991"/>
        <w:spacing w:after="0" w:line="275"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4" w:right="479" w:bottom="1440" w:gutter="0" w:footer="0" w:header="0"/>
        </w:sectPr>
      </w:pPr>
    </w:p>
    <w:bookmarkStart w:id="262" w:name="page263"/>
    <w:bookmarkEnd w:id="262"/>
    <w:p>
      <w:pPr>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4.07</w:t>
      </w:r>
      <w:r>
        <w:rPr>
          <w:sz w:val="20"/>
          <w:szCs w:val="20"/>
          <w:color w:val="auto"/>
        </w:rPr>
        <w:tab/>
      </w:r>
      <w:r>
        <w:rPr>
          <w:rFonts w:ascii="Arial" w:cs="Arial" w:eastAsia="Arial" w:hAnsi="Arial"/>
          <w:sz w:val="16"/>
          <w:szCs w:val="16"/>
          <w:i w:val="1"/>
          <w:iCs w:val="1"/>
          <w:color w:val="auto"/>
        </w:rPr>
        <w:t>Limitation on Restricted Payments.</w:t>
      </w:r>
    </w:p>
    <w:p>
      <w:pPr>
        <w:spacing w:after="0" w:line="117" w:lineRule="exact"/>
        <w:rPr>
          <w:sz w:val="20"/>
          <w:szCs w:val="20"/>
          <w:color w:val="auto"/>
        </w:rPr>
      </w:pPr>
    </w:p>
    <w:p>
      <w:pPr>
        <w:ind w:left="920" w:hanging="373"/>
        <w:spacing w:after="0"/>
        <w:tabs>
          <w:tab w:leader="none" w:pos="9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117" w:lineRule="exact"/>
        <w:rPr>
          <w:rFonts w:ascii="Arial" w:cs="Arial" w:eastAsia="Arial" w:hAnsi="Arial"/>
          <w:sz w:val="18"/>
          <w:szCs w:val="18"/>
          <w:color w:val="auto"/>
        </w:rPr>
      </w:pPr>
    </w:p>
    <w:p>
      <w:pPr>
        <w:jc w:val="both"/>
        <w:ind w:left="540" w:right="140" w:firstLine="408"/>
        <w:spacing w:after="0" w:line="296" w:lineRule="auto"/>
        <w:tabs>
          <w:tab w:leader="none" w:pos="1331" w:val="left"/>
        </w:tabs>
        <w:numPr>
          <w:ilvl w:val="1"/>
          <w:numId w:val="251"/>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(other than dividends or distributions payable in Equity Interests (other than Disqualified Stock) of the Company and other than dividends or distributions payable to the Company or a Restricted Subsidiary of the Company);</w:t>
      </w:r>
    </w:p>
    <w:p>
      <w:pPr>
        <w:spacing w:after="0" w:line="53" w:lineRule="exact"/>
        <w:rPr>
          <w:rFonts w:ascii="Arial" w:cs="Arial" w:eastAsia="Arial" w:hAnsi="Arial"/>
          <w:sz w:val="16"/>
          <w:szCs w:val="16"/>
          <w:color w:val="auto"/>
        </w:rPr>
      </w:pPr>
    </w:p>
    <w:p>
      <w:pPr>
        <w:ind w:left="540" w:right="500" w:firstLine="408"/>
        <w:spacing w:after="0" w:line="308" w:lineRule="auto"/>
        <w:tabs>
          <w:tab w:leader="none" w:pos="1331" w:val="left"/>
        </w:tabs>
        <w:numPr>
          <w:ilvl w:val="1"/>
          <w:numId w:val="251"/>
        </w:numPr>
        <w:rPr>
          <w:rFonts w:ascii="Arial" w:cs="Arial" w:eastAsia="Arial" w:hAnsi="Arial"/>
          <w:sz w:val="17"/>
          <w:szCs w:val="17"/>
          <w:color w:val="auto"/>
        </w:rPr>
      </w:pPr>
      <w:r>
        <w:rPr>
          <w:rFonts w:ascii="Arial" w:cs="Arial" w:eastAsia="Arial" w:hAnsi="Arial"/>
          <w:sz w:val="17"/>
          <w:szCs w:val="17"/>
          <w:color w:val="auto"/>
        </w:rPr>
        <w:t>purchase, redeem or otherwise acquire or retire for value (including, without limitation, in connection with any merger or consolidation involving the Company) any Equity Interests of the Company or any of its direct or indirect parents;</w:t>
      </w:r>
    </w:p>
    <w:p>
      <w:pPr>
        <w:spacing w:after="0" w:line="38" w:lineRule="exact"/>
        <w:rPr>
          <w:rFonts w:ascii="Arial" w:cs="Arial" w:eastAsia="Arial" w:hAnsi="Arial"/>
          <w:sz w:val="17"/>
          <w:szCs w:val="17"/>
          <w:color w:val="auto"/>
        </w:rPr>
      </w:pPr>
    </w:p>
    <w:p>
      <w:pPr>
        <w:ind w:left="540" w:right="40" w:firstLine="408"/>
        <w:spacing w:after="0" w:line="311" w:lineRule="auto"/>
        <w:tabs>
          <w:tab w:leader="none" w:pos="1331" w:val="left"/>
        </w:tabs>
        <w:numPr>
          <w:ilvl w:val="1"/>
          <w:numId w:val="251"/>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Subordinated Indebtedness of the Company or any Subsidiary Guarantor (excluding any intercompany Indebtedness between or among the Company and any of its Restricted Subsidiaries), except a payment of interest or principal at the Stated Maturity thereof; or</w:t>
      </w:r>
    </w:p>
    <w:p>
      <w:pPr>
        <w:spacing w:after="0" w:line="40" w:lineRule="exact"/>
        <w:rPr>
          <w:rFonts w:ascii="Arial" w:cs="Arial" w:eastAsia="Arial" w:hAnsi="Arial"/>
          <w:sz w:val="16"/>
          <w:szCs w:val="16"/>
          <w:color w:val="auto"/>
        </w:rPr>
      </w:pPr>
    </w:p>
    <w:p>
      <w:pPr>
        <w:ind w:left="1340" w:hanging="392"/>
        <w:spacing w:after="0"/>
        <w:tabs>
          <w:tab w:leader="none" w:pos="13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25" w:lineRule="exact"/>
        <w:rPr>
          <w:sz w:val="20"/>
          <w:szCs w:val="20"/>
          <w:color w:val="auto"/>
        </w:rPr>
      </w:pPr>
    </w:p>
    <w:p>
      <w:pPr>
        <w:ind w:left="540" w:right="300"/>
        <w:spacing w:after="0" w:line="375" w:lineRule="auto"/>
        <w:rPr>
          <w:sz w:val="20"/>
          <w:szCs w:val="20"/>
          <w:color w:val="auto"/>
        </w:rPr>
      </w:pPr>
      <w:r>
        <w:rPr>
          <w:rFonts w:ascii="Arial" w:cs="Arial" w:eastAsia="Arial" w:hAnsi="Arial"/>
          <w:sz w:val="18"/>
          <w:szCs w:val="18"/>
          <w:color w:val="auto"/>
        </w:rPr>
        <w:t>(all such payments and other actions set forth in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and after giving effect to such Restricted Payment:</w:t>
      </w:r>
    </w:p>
    <w:p>
      <w:pPr>
        <w:spacing w:after="0" w:line="1" w:lineRule="exact"/>
        <w:rPr>
          <w:sz w:val="20"/>
          <w:szCs w:val="20"/>
          <w:color w:val="auto"/>
        </w:rPr>
      </w:pPr>
    </w:p>
    <w:p>
      <w:pPr>
        <w:ind w:left="1800" w:hanging="429"/>
        <w:spacing w:after="0"/>
        <w:tabs>
          <w:tab w:leader="none" w:pos="18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or would occur as a consequence thereof;</w:t>
      </w:r>
    </w:p>
    <w:p>
      <w:pPr>
        <w:spacing w:after="0" w:line="128" w:lineRule="exact"/>
        <w:rPr>
          <w:rFonts w:ascii="Arial" w:cs="Arial" w:eastAsia="Arial" w:hAnsi="Arial"/>
          <w:sz w:val="17"/>
          <w:szCs w:val="17"/>
          <w:color w:val="auto"/>
        </w:rPr>
      </w:pPr>
    </w:p>
    <w:p>
      <w:pPr>
        <w:ind w:left="980" w:firstLine="391"/>
        <w:spacing w:after="0" w:line="286" w:lineRule="auto"/>
        <w:tabs>
          <w:tab w:leader="none" w:pos="1783"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the Company would, at the time of such Restricted Payment and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as if such Restricted Payment had been made at the beginning of the applicable four-quarter period, have been permitted to Incur at least US$1.00 of additional Indebtedness pursuant to the Fixed Charge Coverage Ratio test set forth in Section 4.09(a) hereof; and</w:t>
      </w:r>
    </w:p>
    <w:p>
      <w:pPr>
        <w:spacing w:after="0" w:line="57" w:lineRule="exact"/>
        <w:rPr>
          <w:rFonts w:ascii="Arial" w:cs="Arial" w:eastAsia="Arial" w:hAnsi="Arial"/>
          <w:sz w:val="17"/>
          <w:szCs w:val="17"/>
          <w:color w:val="auto"/>
        </w:rPr>
      </w:pPr>
    </w:p>
    <w:p>
      <w:pPr>
        <w:ind w:left="980" w:right="20" w:firstLine="391"/>
        <w:spacing w:after="0" w:line="263" w:lineRule="auto"/>
        <w:tabs>
          <w:tab w:leader="none" w:pos="178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since the Measurement Date (excluding Restricted Payments permitted by clauses (2) through (12) of Section 4.07(b)) pursuant to this Indenture, is less than the sum of:</w:t>
      </w:r>
    </w:p>
    <w:p>
      <w:pPr>
        <w:spacing w:after="0" w:line="75" w:lineRule="exact"/>
        <w:rPr>
          <w:rFonts w:ascii="Arial" w:cs="Arial" w:eastAsia="Arial" w:hAnsi="Arial"/>
          <w:sz w:val="18"/>
          <w:szCs w:val="18"/>
          <w:color w:val="auto"/>
        </w:rPr>
      </w:pPr>
    </w:p>
    <w:p>
      <w:pPr>
        <w:ind w:left="1540" w:firstLine="360"/>
        <w:spacing w:after="0" w:line="259" w:lineRule="auto"/>
        <w:tabs>
          <w:tab w:leader="none" w:pos="225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75% of the EBITDA of the Company </w:t>
      </w:r>
      <w:r>
        <w:rPr>
          <w:rFonts w:ascii="Arial" w:cs="Arial" w:eastAsia="Arial" w:hAnsi="Arial"/>
          <w:sz w:val="18"/>
          <w:szCs w:val="18"/>
          <w:i w:val="1"/>
          <w:iCs w:val="1"/>
          <w:color w:val="auto"/>
        </w:rPr>
        <w:t>less</w:t>
      </w:r>
      <w:r>
        <w:rPr>
          <w:rFonts w:ascii="Arial" w:cs="Arial" w:eastAsia="Arial" w:hAnsi="Arial"/>
          <w:sz w:val="18"/>
          <w:szCs w:val="18"/>
          <w:color w:val="auto"/>
        </w:rPr>
        <w:t xml:space="preserve"> 2.00 times Fixed Charges for the period (taken as one accounting period) from January 1, 2019 to the end of the Company’s most recently ended fiscal quarter for which internal financial statements are available at the time of such Restricted Payment (or, if such EBITDA for such period is a deficit, </w:t>
      </w:r>
      <w:r>
        <w:rPr>
          <w:rFonts w:ascii="Arial" w:cs="Arial" w:eastAsia="Arial" w:hAnsi="Arial"/>
          <w:sz w:val="18"/>
          <w:szCs w:val="18"/>
          <w:i w:val="1"/>
          <w:iCs w:val="1"/>
          <w:color w:val="auto"/>
        </w:rPr>
        <w:t>minus</w:t>
      </w:r>
      <w:r>
        <w:rPr>
          <w:rFonts w:ascii="Arial" w:cs="Arial" w:eastAsia="Arial" w:hAnsi="Arial"/>
          <w:sz w:val="18"/>
          <w:szCs w:val="18"/>
          <w:color w:val="auto"/>
        </w:rPr>
        <w:t xml:space="preserve"> 100% of such deficit);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ind w:left="1540" w:right="40" w:firstLine="360"/>
        <w:spacing w:after="0" w:line="255" w:lineRule="auto"/>
        <w:tabs>
          <w:tab w:leader="none" w:pos="230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100% of the aggregate net cash proceeds received by the Company since the Measurement Date as a contribution to its common equity capital or from the issue or sale of Equity Interests (other than Disqualified Stock) of the Company (in each case, other than in connection with any Excluded Contribution) or from the issue or sale of convertible or exchangeable Disqualified Stock or convertible or exchangeable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60"/>
          </w:cols>
          <w:pgMar w:left="880" w:top="274" w:right="459" w:bottom="1440" w:gutter="0" w:footer="0" w:header="0"/>
        </w:sectPr>
      </w:pPr>
    </w:p>
    <w:bookmarkStart w:id="263" w:name="page264"/>
    <w:bookmarkEnd w:id="263"/>
    <w:p>
      <w:pPr>
        <w:ind w:left="993" w:right="160" w:firstLine="360"/>
        <w:spacing w:after="0" w:line="263" w:lineRule="auto"/>
        <w:tabs>
          <w:tab w:leader="none" w:pos="1803"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Restricted Investment that was made after the Measurement Date (x) is reduced as a result of payments of dividends to the Company or a Restricted Subsidiary of the Company or (y) is sold for cash or otherwise liquidated or repaid for cash, (in the case of sub-clauses</w:t>
      </w:r>
    </w:p>
    <w:p>
      <w:pPr>
        <w:spacing w:after="0" w:line="76" w:lineRule="exact"/>
        <w:rPr>
          <w:sz w:val="20"/>
          <w:szCs w:val="20"/>
          <w:color w:val="auto"/>
        </w:rPr>
      </w:pPr>
    </w:p>
    <w:p>
      <w:pPr>
        <w:ind w:left="993" w:right="100" w:firstLine="360"/>
        <w:spacing w:after="0" w:line="257" w:lineRule="auto"/>
        <w:tabs>
          <w:tab w:leader="none" w:pos="1743"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and (y)) the lesser of (i) the cash return of capital with respect to such Restricted Investment (less the cost of disposition, if any) and (ii) the initial amount of such Restricted Investment or (z) is reduced upon the release of a Note Guarantee granted by the Company or a Restricted Subsidiary of the Company that constituted a Restricted Investment, to the extent that the initial granting of such Note Guarantee reduced the restricted payments capacity under Section 4.07(a)(4) (C); </w:t>
      </w:r>
      <w:r>
        <w:rPr>
          <w:rFonts w:ascii="Arial" w:cs="Arial" w:eastAsia="Arial" w:hAnsi="Arial"/>
          <w:sz w:val="18"/>
          <w:szCs w:val="18"/>
          <w:i w:val="1"/>
          <w:iCs w:val="1"/>
          <w:color w:val="auto"/>
        </w:rPr>
        <w:t>plus</w:t>
      </w:r>
    </w:p>
    <w:p>
      <w:pPr>
        <w:spacing w:after="0" w:line="80" w:lineRule="exact"/>
        <w:rPr>
          <w:sz w:val="20"/>
          <w:szCs w:val="20"/>
          <w:color w:val="auto"/>
        </w:rPr>
      </w:pPr>
    </w:p>
    <w:p>
      <w:pPr>
        <w:ind w:left="993" w:right="20" w:firstLine="360"/>
        <w:spacing w:after="0" w:line="255" w:lineRule="auto"/>
        <w:tabs>
          <w:tab w:leader="none" w:pos="1793" w:val="left"/>
        </w:tabs>
        <w:numPr>
          <w:ilvl w:val="2"/>
          <w:numId w:val="255"/>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the Company designated as such after the Measurement Date is re- designated as a Restricted Subsidiary after the Measurement Date, the lesser of (i) the Fair Market Value of the Company’s Restricted Investment in such Subsidiary as of the date of such re-designation or (ii) the Fair Market Value of the net aggregate Investments made by the Company or a Restricted Subsidiary of the Company in such Unrestricted Subsidiary from the date such entity was originally designated as an Unrestricted Subsidiary through the date of such re-designation;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jc w:val="both"/>
        <w:ind w:left="993" w:right="80" w:firstLine="360"/>
        <w:spacing w:after="0" w:line="263" w:lineRule="auto"/>
        <w:tabs>
          <w:tab w:leader="none" w:pos="1743" w:val="left"/>
        </w:tabs>
        <w:numPr>
          <w:ilvl w:val="2"/>
          <w:numId w:val="255"/>
        </w:numPr>
        <w:rPr>
          <w:rFonts w:ascii="Arial" w:cs="Arial" w:eastAsia="Arial" w:hAnsi="Arial"/>
          <w:sz w:val="18"/>
          <w:szCs w:val="18"/>
          <w:color w:val="auto"/>
        </w:rPr>
      </w:pPr>
      <w:r>
        <w:rPr>
          <w:rFonts w:ascii="Arial" w:cs="Arial" w:eastAsia="Arial" w:hAnsi="Arial"/>
          <w:sz w:val="18"/>
          <w:szCs w:val="18"/>
          <w:color w:val="auto"/>
        </w:rPr>
        <w:t>100% of the aggregate amount received from the sale of the stock of any Unrestricted Subsidiary of the Company after the Measurement Date or 100% of any dividends received by the Company or a Restricted Subsidiary of the Company after the Measurement Date from an Unrestricted Subsidiary of the Company.</w:t>
      </w:r>
    </w:p>
    <w:p>
      <w:pPr>
        <w:spacing w:after="0" w:line="183" w:lineRule="exact"/>
        <w:rPr>
          <w:rFonts w:ascii="Arial" w:cs="Arial" w:eastAsia="Arial" w:hAnsi="Arial"/>
          <w:sz w:val="18"/>
          <w:szCs w:val="18"/>
          <w:color w:val="auto"/>
        </w:rPr>
      </w:pPr>
    </w:p>
    <w:p>
      <w:pPr>
        <w:ind w:left="393" w:hanging="393"/>
        <w:spacing w:after="0"/>
        <w:tabs>
          <w:tab w:leader="none" w:pos="39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provisions of Section 4.07(a) hereof will not prohibit:</w:t>
      </w:r>
    </w:p>
    <w:p>
      <w:pPr>
        <w:spacing w:after="0" w:line="117" w:lineRule="exact"/>
        <w:rPr>
          <w:rFonts w:ascii="Arial" w:cs="Arial" w:eastAsia="Arial" w:hAnsi="Arial"/>
          <w:sz w:val="18"/>
          <w:szCs w:val="18"/>
          <w:color w:val="auto"/>
        </w:rPr>
      </w:pPr>
    </w:p>
    <w:p>
      <w:pPr>
        <w:ind w:left="-7" w:right="60" w:firstLine="408"/>
        <w:spacing w:after="0" w:line="263" w:lineRule="auto"/>
        <w:tabs>
          <w:tab w:leader="none" w:pos="78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75" w:lineRule="exact"/>
        <w:rPr>
          <w:rFonts w:ascii="Arial" w:cs="Arial" w:eastAsia="Arial" w:hAnsi="Arial"/>
          <w:sz w:val="18"/>
          <w:szCs w:val="18"/>
          <w:color w:val="auto"/>
        </w:rPr>
      </w:pPr>
    </w:p>
    <w:p>
      <w:pPr>
        <w:ind w:left="-7" w:firstLine="408"/>
        <w:spacing w:after="0" w:line="257" w:lineRule="auto"/>
        <w:tabs>
          <w:tab w:leader="none" w:pos="78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of the substantially concurrent sale (other than to a Subsidiary of the Company) of, Equity Interests of the Company (other than Disqualified Stock) or from the substantially concurrent contribution of common equity capital to the Company (in each case, other than in connection with any Excluded Contribution);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net cash proceeds that are utilized for any such Restricted Payment will be excluded from Section 4.07(a)(4)(C)(ii) hereof;</w:t>
      </w:r>
    </w:p>
    <w:p>
      <w:pPr>
        <w:spacing w:after="0" w:line="79" w:lineRule="exact"/>
        <w:rPr>
          <w:rFonts w:ascii="Arial" w:cs="Arial" w:eastAsia="Arial" w:hAnsi="Arial"/>
          <w:sz w:val="18"/>
          <w:szCs w:val="18"/>
          <w:color w:val="auto"/>
        </w:rPr>
      </w:pPr>
    </w:p>
    <w:p>
      <w:pPr>
        <w:ind w:left="-7" w:right="320" w:firstLine="408"/>
        <w:spacing w:after="0" w:line="263" w:lineRule="auto"/>
        <w:tabs>
          <w:tab w:leader="none" w:pos="78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Subordinated Indebtedness of the Company or any Subsidiary Guarantor with the net cash proceeds from a substantially concurrent Incurrence of Permitted Refinancing Indebtedness;</w:t>
      </w:r>
    </w:p>
    <w:p>
      <w:pPr>
        <w:spacing w:after="0" w:line="75" w:lineRule="exact"/>
        <w:rPr>
          <w:rFonts w:ascii="Arial" w:cs="Arial" w:eastAsia="Arial" w:hAnsi="Arial"/>
          <w:sz w:val="18"/>
          <w:szCs w:val="18"/>
          <w:color w:val="auto"/>
        </w:rPr>
      </w:pPr>
    </w:p>
    <w:p>
      <w:pPr>
        <w:ind w:left="-7" w:right="480" w:firstLine="408"/>
        <w:spacing w:after="0" w:line="277" w:lineRule="auto"/>
        <w:tabs>
          <w:tab w:leader="none" w:pos="78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the payment of any dividend (or, in the case of any partnership or limited liability company, any similar distribution) by a Restricted Subsidiary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103"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13"/>
          </w:cols>
          <w:pgMar w:left="1427" w:top="274" w:right="459" w:bottom="1440" w:gutter="0" w:footer="0" w:header="0"/>
        </w:sectPr>
      </w:pPr>
    </w:p>
    <w:bookmarkStart w:id="264" w:name="page265"/>
    <w:bookmarkEnd w:id="264"/>
    <w:p>
      <w:pPr>
        <w:ind w:firstLine="408"/>
        <w:spacing w:after="0" w:line="286" w:lineRule="auto"/>
        <w:tabs>
          <w:tab w:leader="none" w:pos="791" w:val="left"/>
        </w:tabs>
        <w:numPr>
          <w:ilvl w:val="0"/>
          <w:numId w:val="2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repurchase, redemption or other acquisition or retirement for value of any Equity Interests of the Company or any Restricted Subsidiary of the Company held by any current or former officer, director or employee of the Company or any of its Restricted Subsidiaries pursuant to any equity subscription agreement, stock option agreement, shareholders’ agreement or similar agreement;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the aggregate price paid for all such repurchased, redeemed, acquired or retired Equity Interests may not exceed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US$1.0 million in any twelve-month period;</w:t>
      </w:r>
    </w:p>
    <w:p>
      <w:pPr>
        <w:spacing w:after="0" w:line="102" w:lineRule="exact"/>
        <w:rPr>
          <w:rFonts w:ascii="Arial" w:cs="Arial" w:eastAsia="Arial" w:hAnsi="Arial"/>
          <w:sz w:val="16"/>
          <w:szCs w:val="16"/>
          <w:color w:val="auto"/>
        </w:rPr>
      </w:pPr>
    </w:p>
    <w:p>
      <w:pPr>
        <w:ind w:right="580" w:firstLine="408"/>
        <w:spacing w:after="0" w:line="277" w:lineRule="auto"/>
        <w:tabs>
          <w:tab w:leader="none" w:pos="7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62" w:lineRule="exact"/>
        <w:rPr>
          <w:rFonts w:ascii="Arial" w:cs="Arial" w:eastAsia="Arial" w:hAnsi="Arial"/>
          <w:sz w:val="18"/>
          <w:szCs w:val="18"/>
          <w:color w:val="auto"/>
        </w:rPr>
      </w:pPr>
    </w:p>
    <w:p>
      <w:pPr>
        <w:ind w:right="100" w:firstLine="408"/>
        <w:spacing w:after="0" w:line="263" w:lineRule="auto"/>
        <w:tabs>
          <w:tab w:leader="none" w:pos="7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the Company or any Restricted Subsidiary of the Company issued on or after the Issue Date in accordance with the Fixed Charge Coverage Ratio test described in Section 4.09(a) hereof;</w:t>
      </w:r>
    </w:p>
    <w:p>
      <w:pPr>
        <w:spacing w:after="0" w:line="75" w:lineRule="exact"/>
        <w:rPr>
          <w:rFonts w:ascii="Arial" w:cs="Arial" w:eastAsia="Arial" w:hAnsi="Arial"/>
          <w:sz w:val="18"/>
          <w:szCs w:val="18"/>
          <w:color w:val="auto"/>
        </w:rPr>
      </w:pPr>
    </w:p>
    <w:p>
      <w:pPr>
        <w:ind w:right="600" w:firstLine="408"/>
        <w:spacing w:after="0" w:line="308" w:lineRule="auto"/>
        <w:tabs>
          <w:tab w:leader="none" w:pos="79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any Restricted Payment made or deemed to be made by the Company or a Restricted Subsidiary of the Company under, pursuant to or in connection with the Services and Right to Use Agreement, the Reinvestment Agreement or the MSA;</w:t>
      </w:r>
    </w:p>
    <w:p>
      <w:pPr>
        <w:spacing w:after="0" w:line="38" w:lineRule="exact"/>
        <w:rPr>
          <w:rFonts w:ascii="Arial" w:cs="Arial" w:eastAsia="Arial" w:hAnsi="Arial"/>
          <w:sz w:val="17"/>
          <w:szCs w:val="17"/>
          <w:color w:val="auto"/>
        </w:rPr>
      </w:pPr>
    </w:p>
    <w:p>
      <w:pPr>
        <w:ind w:left="800" w:hanging="392"/>
        <w:spacing w:after="0"/>
        <w:tabs>
          <w:tab w:leader="none" w:pos="8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880" w:hanging="472"/>
        <w:spacing w:after="0"/>
        <w:tabs>
          <w:tab w:leader="none" w:pos="8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117" w:lineRule="exact"/>
        <w:rPr>
          <w:rFonts w:ascii="Arial" w:cs="Arial" w:eastAsia="Arial" w:hAnsi="Arial"/>
          <w:sz w:val="18"/>
          <w:szCs w:val="18"/>
          <w:color w:val="auto"/>
        </w:rPr>
      </w:pPr>
    </w:p>
    <w:p>
      <w:pPr>
        <w:ind w:firstLine="408"/>
        <w:spacing w:after="0" w:line="263" w:lineRule="auto"/>
        <w:tabs>
          <w:tab w:leader="none" w:pos="87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payments to any parent entity in respect of directors’ fees, remuneration and expenses (including director and officer insurance (including premiums therefore)) to the extent relating to the Company and its Subsidiaries, in an aggregate amount not to exceed US$2.0 million per annum;</w:t>
      </w:r>
    </w:p>
    <w:p>
      <w:pPr>
        <w:spacing w:after="0" w:line="75" w:lineRule="exact"/>
        <w:rPr>
          <w:rFonts w:ascii="Arial" w:cs="Arial" w:eastAsia="Arial" w:hAnsi="Arial"/>
          <w:sz w:val="18"/>
          <w:szCs w:val="18"/>
          <w:color w:val="auto"/>
        </w:rPr>
      </w:pPr>
    </w:p>
    <w:p>
      <w:pPr>
        <w:ind w:left="880" w:hanging="472"/>
        <w:spacing w:after="0"/>
        <w:tabs>
          <w:tab w:leader="none" w:pos="8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making of Restricted Payments, if applicable:</w:t>
      </w:r>
    </w:p>
    <w:p>
      <w:pPr>
        <w:spacing w:after="0" w:line="117" w:lineRule="exact"/>
        <w:rPr>
          <w:rFonts w:ascii="Arial" w:cs="Arial" w:eastAsia="Arial" w:hAnsi="Arial"/>
          <w:sz w:val="18"/>
          <w:szCs w:val="18"/>
          <w:color w:val="auto"/>
        </w:rPr>
      </w:pPr>
    </w:p>
    <w:p>
      <w:pPr>
        <w:ind w:left="440" w:right="80" w:firstLine="391"/>
        <w:spacing w:after="0" w:line="285" w:lineRule="auto"/>
        <w:tabs>
          <w:tab w:leader="none" w:pos="1253" w:val="left"/>
        </w:tabs>
        <w:numPr>
          <w:ilvl w:val="1"/>
          <w:numId w:val="257"/>
        </w:numPr>
        <w:rPr>
          <w:rFonts w:ascii="Arial" w:cs="Arial" w:eastAsia="Arial" w:hAnsi="Arial"/>
          <w:sz w:val="16"/>
          <w:szCs w:val="16"/>
          <w:color w:val="auto"/>
        </w:rPr>
      </w:pPr>
      <w:r>
        <w:rPr>
          <w:rFonts w:ascii="Arial" w:cs="Arial" w:eastAsia="Arial" w:hAnsi="Arial"/>
          <w:sz w:val="16"/>
          <w:szCs w:val="16"/>
          <w:color w:val="auto"/>
        </w:rPr>
        <w:t>in amounts required for any direct or indirect parent of the Company to pay fees and expenses (including franchise or similar taxes) required to maintain its corporate existence, customary salary, bonus and other benefits payable to, and indemnities provided on behalf of, officers and employees of any direct or indirect parent of the Company and general corporate operating and overhead expenses of any direct or indirect parent of the Company in each case to the extent such fees and expenses are attributable to the ownership or operation of the Company, if applicable, and its Subsidiaries, in an aggregate amount not to exceed</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US$2.0 million per annum;</w:t>
      </w:r>
    </w:p>
    <w:p>
      <w:pPr>
        <w:spacing w:after="0" w:line="102" w:lineRule="exact"/>
        <w:rPr>
          <w:rFonts w:ascii="Arial" w:cs="Arial" w:eastAsia="Arial" w:hAnsi="Arial"/>
          <w:sz w:val="16"/>
          <w:szCs w:val="16"/>
          <w:color w:val="auto"/>
        </w:rPr>
      </w:pPr>
    </w:p>
    <w:p>
      <w:pPr>
        <w:jc w:val="both"/>
        <w:ind w:left="440" w:right="300" w:firstLine="391"/>
        <w:spacing w:after="0" w:line="301" w:lineRule="auto"/>
        <w:tabs>
          <w:tab w:leader="none" w:pos="1243"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in amounts required for any direct or indirect parent of the Company, if applicable, to pay interest and/or principal on Indebtedness the proceeds of which have been contributed to the Company or any of its Restricted Subsidiaries prior to the Issue Date and that has been guaranteed by, or is otherwise considered Indebtedness of, the Company Incurred in accordance with Section 4.09;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amount of any such proceeds will be excluded from Section 4.07(a)(4)(C)(ii);</w:t>
      </w:r>
    </w:p>
    <w:p>
      <w:pPr>
        <w:spacing w:after="0" w:line="49" w:lineRule="exact"/>
        <w:rPr>
          <w:rFonts w:ascii="Arial" w:cs="Arial" w:eastAsia="Arial" w:hAnsi="Arial"/>
          <w:sz w:val="16"/>
          <w:szCs w:val="16"/>
          <w:color w:val="auto"/>
        </w:rPr>
      </w:pPr>
    </w:p>
    <w:p>
      <w:pPr>
        <w:ind w:left="440" w:right="80" w:firstLine="391"/>
        <w:spacing w:after="0" w:line="277" w:lineRule="auto"/>
        <w:tabs>
          <w:tab w:leader="none" w:pos="124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in amounts required for any direct or indirect parent of the Company to pay fees and expenses, other than to Affiliates of the Company, related to any unsuccessful equity or debt offering of such parent; and</w:t>
      </w:r>
    </w:p>
    <w:p>
      <w:pPr>
        <w:spacing w:after="0" w:line="62" w:lineRule="exact"/>
        <w:rPr>
          <w:rFonts w:ascii="Arial" w:cs="Arial" w:eastAsia="Arial" w:hAnsi="Arial"/>
          <w:sz w:val="18"/>
          <w:szCs w:val="18"/>
          <w:color w:val="auto"/>
        </w:rPr>
      </w:pPr>
    </w:p>
    <w:p>
      <w:pPr>
        <w:ind w:left="440" w:right="680" w:firstLine="391"/>
        <w:spacing w:after="0" w:line="277" w:lineRule="auto"/>
        <w:tabs>
          <w:tab w:leader="none" w:pos="125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payments for services under any Revenue Sharing Agreement that would constitute or be deemed to constitute a Restricted Payment;</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020"/>
          </w:cols>
          <w:pgMar w:left="1420" w:top="274" w:right="459" w:bottom="1440" w:gutter="0" w:footer="0" w:header="0"/>
        </w:sectPr>
      </w:pPr>
    </w:p>
    <w:bookmarkStart w:id="265" w:name="page266"/>
    <w:bookmarkEnd w:id="265"/>
    <w:p>
      <w:pPr>
        <w:ind w:left="980" w:right="20" w:firstLine="408"/>
        <w:spacing w:after="0" w:line="275" w:lineRule="auto"/>
        <w:tabs>
          <w:tab w:leader="none" w:pos="18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Restricted Payment used to fund the Transactions and the payment of fees and expenses incurred in connection with the Transactions or owed by the Company or any direct or indirect parent of the Company or its Restricted Subsidiaries to Affiliates, and any other payments made, including any such payments made to any direct or indirect parent of the Company to enable it to make payments, in connection with the consummation of the Transactions, whether payable on the Issue Date or thereafter, in each case on terms described in the Offering Memorandum under “Use of Proceeds” and to the extent permitted by Section 4.11;</w:t>
      </w:r>
    </w:p>
    <w:p>
      <w:pPr>
        <w:spacing w:after="0" w:line="68" w:lineRule="exact"/>
        <w:rPr>
          <w:rFonts w:ascii="Arial" w:cs="Arial" w:eastAsia="Arial" w:hAnsi="Arial"/>
          <w:sz w:val="17"/>
          <w:szCs w:val="17"/>
          <w:color w:val="auto"/>
        </w:rPr>
      </w:pPr>
    </w:p>
    <w:p>
      <w:pPr>
        <w:ind w:left="980" w:right="40" w:firstLine="408"/>
        <w:spacing w:after="0" w:line="277" w:lineRule="auto"/>
        <w:tabs>
          <w:tab w:leader="none" w:pos="18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Restricted Payments, to the extent required to be made by any Gaming Authority having jurisdiction over the Company or any of its Restricted Subsidiaries or Melco Resorts Macau (or any other operator of the Studio City Casino);</w:t>
      </w:r>
    </w:p>
    <w:p>
      <w:pPr>
        <w:spacing w:after="0" w:line="62" w:lineRule="exact"/>
        <w:rPr>
          <w:rFonts w:ascii="Arial" w:cs="Arial" w:eastAsia="Arial" w:hAnsi="Arial"/>
          <w:sz w:val="18"/>
          <w:szCs w:val="18"/>
          <w:color w:val="auto"/>
        </w:rPr>
      </w:pPr>
    </w:p>
    <w:p>
      <w:pPr>
        <w:ind w:left="980" w:right="300" w:firstLine="408"/>
        <w:spacing w:after="0" w:line="263" w:lineRule="auto"/>
        <w:tabs>
          <w:tab w:leader="none" w:pos="18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cash payments in lieu of the issuance of fractional shares in connection with the exercise of warrants, options or other securities convertible into or exchangeable for Capital Stock of the Company or any Restricted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cash payment shall not be for the purpose of evading the limitation of this Section 4.07;</w:t>
      </w:r>
    </w:p>
    <w:p>
      <w:pPr>
        <w:spacing w:after="0" w:line="75" w:lineRule="exact"/>
        <w:rPr>
          <w:rFonts w:ascii="Arial" w:cs="Arial" w:eastAsia="Arial" w:hAnsi="Arial"/>
          <w:sz w:val="18"/>
          <w:szCs w:val="18"/>
          <w:color w:val="auto"/>
        </w:rPr>
      </w:pPr>
    </w:p>
    <w:p>
      <w:pPr>
        <w:ind w:left="980" w:right="60" w:firstLine="408"/>
        <w:spacing w:after="0" w:line="311" w:lineRule="auto"/>
        <w:tabs>
          <w:tab w:leader="none" w:pos="18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Subordinated Indebtedness of the Company or any Subsidiary Guarantor pursuant to provisions similar to those described under Section 4.15,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all Notes tendered by holders of the Notes in connection with a Change of Control Offer have been repurchased, redeemed or acquired for value;</w:t>
      </w:r>
    </w:p>
    <w:p>
      <w:pPr>
        <w:spacing w:after="0" w:line="40" w:lineRule="exact"/>
        <w:rPr>
          <w:rFonts w:ascii="Arial" w:cs="Arial" w:eastAsia="Arial" w:hAnsi="Arial"/>
          <w:sz w:val="16"/>
          <w:szCs w:val="16"/>
          <w:color w:val="auto"/>
        </w:rPr>
      </w:pPr>
    </w:p>
    <w:p>
      <w:pPr>
        <w:ind w:left="980" w:firstLine="408"/>
        <w:spacing w:after="0" w:line="275" w:lineRule="auto"/>
        <w:tabs>
          <w:tab w:leader="none" w:pos="18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payments or distributions to dissenting stockholders of Capital Stock of the Company pursuant to applicable law in connection with a consolidation, merger or transfer of all or substantially all of the assets of the Company and its Restricted Subsidiaries, taken as a whole, that complies with Section 5.01;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as a result of such consolidation, merger or transfer of assets, the Company shall have made a Change of Control Offer (if required by this Indenture) and that all Notes tendered by holders in connection with such Change of Control Offer have been repurchased, redeemed or acquired for value; and</w:t>
      </w:r>
    </w:p>
    <w:p>
      <w:pPr>
        <w:spacing w:after="0" w:line="68" w:lineRule="exact"/>
        <w:rPr>
          <w:rFonts w:ascii="Arial" w:cs="Arial" w:eastAsia="Arial" w:hAnsi="Arial"/>
          <w:sz w:val="17"/>
          <w:szCs w:val="17"/>
          <w:color w:val="auto"/>
        </w:rPr>
      </w:pPr>
    </w:p>
    <w:p>
      <w:pPr>
        <w:ind w:left="1860" w:hanging="472"/>
        <w:spacing w:after="0"/>
        <w:tabs>
          <w:tab w:leader="none" w:pos="18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US$15.0 million since the Issue Date,</w:t>
      </w:r>
    </w:p>
    <w:p>
      <w:pPr>
        <w:spacing w:after="0" w:line="22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at the time of, and after giving effect to, any Restricted Payment permitted under clauses (12), (13) and (18)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4.07(b), no Default shall have occurred and be continuing or would occur as a consequence thereof.</w:t>
      </w:r>
    </w:p>
    <w:p>
      <w:pPr>
        <w:spacing w:after="0" w:line="170"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The amount of all Restricted Payments (other than cash) will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4.07 will be determined by the Board of Directors of the Company whose resolution with respect thereto will be delivered to the Trustee as set forth in an Officer’s Certificate of the Company. The Company’s Board of Directors’ determination must be based upon an opinion or appraisal issued by an accounting, appraisal or investment banking firm of international standing (an “</w:t>
      </w:r>
      <w:r>
        <w:rPr>
          <w:rFonts w:ascii="Arial" w:cs="Arial" w:eastAsia="Arial" w:hAnsi="Arial"/>
          <w:sz w:val="17"/>
          <w:szCs w:val="17"/>
          <w:i w:val="1"/>
          <w:iCs w:val="1"/>
          <w:color w:val="auto"/>
        </w:rPr>
        <w:t>Independent Financial Advisor</w:t>
      </w:r>
      <w:r>
        <w:rPr>
          <w:rFonts w:ascii="Arial" w:cs="Arial" w:eastAsia="Arial" w:hAnsi="Arial"/>
          <w:sz w:val="17"/>
          <w:szCs w:val="17"/>
          <w:color w:val="auto"/>
        </w:rPr>
        <w:t>”) if the Fair Market Value exceeds US$45.0 million.</w:t>
      </w:r>
    </w:p>
    <w:p>
      <w:pPr>
        <w:spacing w:after="0" w:line="28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Dividend and Other Payment Restrictions Affecting Subsidiaries.</w:t>
      </w:r>
    </w:p>
    <w:p>
      <w:pPr>
        <w:spacing w:after="0" w:line="117" w:lineRule="exact"/>
        <w:rPr>
          <w:sz w:val="20"/>
          <w:szCs w:val="20"/>
          <w:color w:val="auto"/>
        </w:rPr>
      </w:pPr>
    </w:p>
    <w:p>
      <w:pPr>
        <w:ind w:right="460" w:firstLine="987"/>
        <w:spacing w:after="0" w:line="308" w:lineRule="auto"/>
        <w:tabs>
          <w:tab w:leader="none" w:pos="1368"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Company will not, and will not permit any of its Restricted Subsidiaries to, directly or indirectly, create or otherwise cause, permit or suffer to exist or become effective any consensual encumbrance or restriction on the ability of any Restricted Subsidiary to:</w:t>
      </w:r>
    </w:p>
    <w:p>
      <w:pPr>
        <w:spacing w:after="0" w:line="38" w:lineRule="exact"/>
        <w:rPr>
          <w:rFonts w:ascii="Arial" w:cs="Arial" w:eastAsia="Arial" w:hAnsi="Arial"/>
          <w:sz w:val="17"/>
          <w:szCs w:val="17"/>
          <w:color w:val="auto"/>
        </w:rPr>
      </w:pPr>
    </w:p>
    <w:p>
      <w:pPr>
        <w:ind w:left="980" w:right="80" w:firstLine="408"/>
        <w:spacing w:after="0" w:line="263" w:lineRule="auto"/>
        <w:tabs>
          <w:tab w:leader="none" w:pos="1771" w:val="left"/>
        </w:tabs>
        <w:numPr>
          <w:ilvl w:val="1"/>
          <w:numId w:val="259"/>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266" w:name="page267"/>
    <w:bookmarkEnd w:id="266"/>
    <w:p>
      <w:pPr>
        <w:ind w:left="793" w:hanging="392"/>
        <w:spacing w:after="0"/>
        <w:tabs>
          <w:tab w:leader="none" w:pos="793" w:val="left"/>
        </w:tabs>
        <w:numPr>
          <w:ilvl w:val="1"/>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loans or advances to the Company or any of its Restricted Subsidiaries; or</w:t>
      </w:r>
    </w:p>
    <w:p>
      <w:pPr>
        <w:spacing w:after="0" w:line="117" w:lineRule="exact"/>
        <w:rPr>
          <w:rFonts w:ascii="Arial" w:cs="Arial" w:eastAsia="Arial" w:hAnsi="Arial"/>
          <w:sz w:val="18"/>
          <w:szCs w:val="18"/>
          <w:color w:val="auto"/>
        </w:rPr>
      </w:pPr>
    </w:p>
    <w:p>
      <w:pPr>
        <w:ind w:left="793" w:hanging="392"/>
        <w:spacing w:after="0"/>
        <w:tabs>
          <w:tab w:leader="none" w:pos="79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Company or any of its Restricted Subsidiaries.</w:t>
      </w:r>
    </w:p>
    <w:p>
      <w:pPr>
        <w:spacing w:after="0" w:line="225" w:lineRule="exact"/>
        <w:rPr>
          <w:rFonts w:ascii="Arial" w:cs="Arial" w:eastAsia="Arial" w:hAnsi="Arial"/>
          <w:sz w:val="18"/>
          <w:szCs w:val="18"/>
          <w:color w:val="auto"/>
        </w:rPr>
      </w:pPr>
    </w:p>
    <w:p>
      <w:pPr>
        <w:ind w:left="393" w:hanging="393"/>
        <w:spacing w:after="0"/>
        <w:tabs>
          <w:tab w:leader="none" w:pos="39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restrictions in Section 4.08(a) hereof will not apply to encumbrances or restrictions existing under or by reason of:</w:t>
      </w:r>
    </w:p>
    <w:p>
      <w:pPr>
        <w:spacing w:after="0" w:line="117" w:lineRule="exact"/>
        <w:rPr>
          <w:rFonts w:ascii="Arial" w:cs="Arial" w:eastAsia="Arial" w:hAnsi="Arial"/>
          <w:sz w:val="18"/>
          <w:szCs w:val="18"/>
          <w:color w:val="auto"/>
        </w:rPr>
      </w:pPr>
    </w:p>
    <w:p>
      <w:pPr>
        <w:ind w:left="-7" w:right="60" w:firstLine="408"/>
        <w:spacing w:after="0" w:line="257" w:lineRule="auto"/>
        <w:tabs>
          <w:tab w:leader="none" w:pos="78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agreements governing Indebtedness or any other agreements in existence on the Issue Date as in effect on the Issue Date and any amendments, restatements, modifications, renewals, supplements, refundings, replacements or refinancings of those agreements;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the amendments, restatements, modifications, renewals, supplements, refundings, replacements or refinancings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more restrictive, taken as a whole, with respect to such dividend and other restrictions than those contained in those agreements on the Issue Date;</w:t>
      </w:r>
    </w:p>
    <w:p>
      <w:pPr>
        <w:spacing w:after="0" w:line="79" w:lineRule="exact"/>
        <w:rPr>
          <w:rFonts w:ascii="Arial" w:cs="Arial" w:eastAsia="Arial" w:hAnsi="Arial"/>
          <w:sz w:val="18"/>
          <w:szCs w:val="18"/>
          <w:color w:val="auto"/>
        </w:rPr>
      </w:pPr>
    </w:p>
    <w:p>
      <w:pPr>
        <w:ind w:left="-7" w:right="20" w:firstLine="408"/>
        <w:spacing w:after="0" w:line="257" w:lineRule="auto"/>
        <w:tabs>
          <w:tab w:leader="none" w:pos="78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the Credit Facilities Documents (other than the Senior Secured Credit Facilities), and any amendments, restatements, modifications, renewals, supplements, refundings, replacements or refinancings of those agreements;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Credit Facilities Documents and the amendments, restatements, modifications, renewals, supplements, refundings, replacements or refinancings thereof are not materially more restrictive, taken as a whole, with respect to such dividend and the other restrictions than those contained in the Senior Secured Credit Facilities;</w:t>
      </w:r>
    </w:p>
    <w:p>
      <w:pPr>
        <w:spacing w:after="0" w:line="79" w:lineRule="exact"/>
        <w:rPr>
          <w:rFonts w:ascii="Arial" w:cs="Arial" w:eastAsia="Arial" w:hAnsi="Arial"/>
          <w:sz w:val="18"/>
          <w:szCs w:val="18"/>
          <w:color w:val="auto"/>
        </w:rPr>
      </w:pPr>
    </w:p>
    <w:p>
      <w:pPr>
        <w:ind w:left="793" w:hanging="392"/>
        <w:spacing w:after="0"/>
        <w:tabs>
          <w:tab w:leader="none" w:pos="79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Indenture, the Notes and the Note Guarantees;</w:t>
      </w:r>
    </w:p>
    <w:p>
      <w:pPr>
        <w:spacing w:after="0" w:line="117" w:lineRule="exact"/>
        <w:rPr>
          <w:rFonts w:ascii="Arial" w:cs="Arial" w:eastAsia="Arial" w:hAnsi="Arial"/>
          <w:sz w:val="18"/>
          <w:szCs w:val="18"/>
          <w:color w:val="auto"/>
        </w:rPr>
      </w:pPr>
    </w:p>
    <w:p>
      <w:pPr>
        <w:ind w:left="793" w:hanging="392"/>
        <w:spacing w:after="0"/>
        <w:tabs>
          <w:tab w:leader="none" w:pos="79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applicable law, rule, regulation or order, or governmental license, permit or concession;</w:t>
      </w:r>
    </w:p>
    <w:p>
      <w:pPr>
        <w:spacing w:after="0" w:line="117" w:lineRule="exact"/>
        <w:rPr>
          <w:rFonts w:ascii="Arial" w:cs="Arial" w:eastAsia="Arial" w:hAnsi="Arial"/>
          <w:sz w:val="18"/>
          <w:szCs w:val="18"/>
          <w:color w:val="auto"/>
        </w:rPr>
      </w:pPr>
    </w:p>
    <w:p>
      <w:pPr>
        <w:ind w:left="-7" w:firstLine="408"/>
        <w:spacing w:after="0" w:line="270" w:lineRule="auto"/>
        <w:tabs>
          <w:tab w:leader="none" w:pos="783" w:val="left"/>
        </w:tabs>
        <w:numPr>
          <w:ilvl w:val="1"/>
          <w:numId w:val="261"/>
        </w:numPr>
        <w:rPr>
          <w:rFonts w:ascii="Arial" w:cs="Arial" w:eastAsia="Arial" w:hAnsi="Arial"/>
          <w:sz w:val="17"/>
          <w:szCs w:val="17"/>
          <w:color w:val="auto"/>
        </w:rPr>
      </w:pPr>
      <w:r>
        <w:rPr>
          <w:rFonts w:ascii="Arial" w:cs="Arial" w:eastAsia="Arial" w:hAnsi="Arial"/>
          <w:sz w:val="17"/>
          <w:szCs w:val="17"/>
          <w:color w:val="auto"/>
        </w:rPr>
        <w:t xml:space="preserve">any agreement or instrument governing Indebtedness or Capital Stock of a Person or assets acquired by the Company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(and any amendments, restatements, modifications, renewals, supplements, refundings, replacements or refinancings of those agreements or instruments;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w:t>
      </w:r>
      <w:r>
        <w:rPr>
          <w:rFonts w:ascii="Arial" w:cs="Arial" w:eastAsia="Arial" w:hAnsi="Arial"/>
          <w:sz w:val="17"/>
          <w:szCs w:val="17"/>
          <w:color w:val="auto"/>
        </w:rPr>
        <w:t>the amendments, restatements, modifications, renewals, supplements, refundings, replacements or refinancings are not materially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more restrictive, taken as a whole, with respect to such dividend and other restrictions than those contained in those agreements or instruments at the time of such acquisition); </w:t>
      </w:r>
      <w:r>
        <w:rPr>
          <w:rFonts w:ascii="Arial" w:cs="Arial" w:eastAsia="Arial" w:hAnsi="Arial"/>
          <w:sz w:val="17"/>
          <w:szCs w:val="17"/>
          <w:i w:val="1"/>
          <w:iCs w:val="1"/>
          <w:color w:val="auto"/>
        </w:rPr>
        <w:t>provided further, that</w:t>
      </w:r>
      <w:r>
        <w:rPr>
          <w:rFonts w:ascii="Arial" w:cs="Arial" w:eastAsia="Arial" w:hAnsi="Arial"/>
          <w:sz w:val="17"/>
          <w:szCs w:val="17"/>
          <w:color w:val="auto"/>
        </w:rPr>
        <w:t>, in the case of Indebtedness, such Indebtedness was permitted by the terms of this Indenture to be Incurred;</w:t>
      </w:r>
    </w:p>
    <w:p>
      <w:pPr>
        <w:spacing w:after="0" w:line="72" w:lineRule="exact"/>
        <w:rPr>
          <w:rFonts w:ascii="Arial" w:cs="Arial" w:eastAsia="Arial" w:hAnsi="Arial"/>
          <w:sz w:val="17"/>
          <w:szCs w:val="17"/>
          <w:color w:val="auto"/>
        </w:rPr>
      </w:pPr>
    </w:p>
    <w:p>
      <w:pPr>
        <w:ind w:left="-7" w:right="280" w:firstLine="408"/>
        <w:spacing w:after="0" w:line="277" w:lineRule="auto"/>
        <w:tabs>
          <w:tab w:leader="none" w:pos="78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including, without limitation, with respect to any intellectual property, entered into in the ordinary course of business;</w:t>
      </w:r>
    </w:p>
    <w:p>
      <w:pPr>
        <w:spacing w:after="0" w:line="62" w:lineRule="exact"/>
        <w:rPr>
          <w:rFonts w:ascii="Arial" w:cs="Arial" w:eastAsia="Arial" w:hAnsi="Arial"/>
          <w:sz w:val="18"/>
          <w:szCs w:val="18"/>
          <w:color w:val="auto"/>
        </w:rPr>
      </w:pPr>
    </w:p>
    <w:p>
      <w:pPr>
        <w:ind w:left="-7" w:right="60" w:firstLine="408"/>
        <w:spacing w:after="0" w:line="277" w:lineRule="auto"/>
        <w:tabs>
          <w:tab w:leader="none" w:pos="78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Section 4.08(a)(3);</w:t>
      </w:r>
    </w:p>
    <w:p>
      <w:pPr>
        <w:spacing w:after="0" w:line="62" w:lineRule="exact"/>
        <w:rPr>
          <w:rFonts w:ascii="Arial" w:cs="Arial" w:eastAsia="Arial" w:hAnsi="Arial"/>
          <w:sz w:val="18"/>
          <w:szCs w:val="18"/>
          <w:color w:val="auto"/>
        </w:rPr>
      </w:pPr>
    </w:p>
    <w:p>
      <w:pPr>
        <w:ind w:left="-7" w:right="160" w:firstLine="408"/>
        <w:spacing w:after="0" w:line="277" w:lineRule="auto"/>
        <w:tabs>
          <w:tab w:leader="none" w:pos="78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Equity Interests or property or assets of a Restricted Subsidiary that restricts distributions by that Restricted Subsidiary pending the sale or other disposition;</w:t>
      </w:r>
    </w:p>
    <w:p>
      <w:pPr>
        <w:spacing w:after="0" w:line="62" w:lineRule="exact"/>
        <w:rPr>
          <w:rFonts w:ascii="Arial" w:cs="Arial" w:eastAsia="Arial" w:hAnsi="Arial"/>
          <w:sz w:val="18"/>
          <w:szCs w:val="18"/>
          <w:color w:val="auto"/>
        </w:rPr>
      </w:pPr>
    </w:p>
    <w:p>
      <w:pPr>
        <w:jc w:val="both"/>
        <w:ind w:left="-7" w:right="440" w:firstLine="408"/>
        <w:spacing w:after="0" w:line="263" w:lineRule="auto"/>
        <w:tabs>
          <w:tab w:leader="none" w:pos="78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restrictions contained in the agreements governing such Permitted Refinancing Indebtedness are not materially more restrictive, taken as a whole, than those contained in the agreements governing the Indebtedness being refinanced;</w:t>
      </w:r>
    </w:p>
    <w:p>
      <w:pPr>
        <w:spacing w:after="0" w:line="116"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013"/>
          </w:cols>
          <w:pgMar w:left="1427" w:top="274" w:right="459" w:bottom="1440" w:gutter="0" w:footer="0" w:header="0"/>
        </w:sectPr>
      </w:pPr>
    </w:p>
    <w:bookmarkStart w:id="267" w:name="page268"/>
    <w:bookmarkEnd w:id="267"/>
    <w:p>
      <w:pPr>
        <w:ind w:left="960" w:right="260" w:firstLine="408"/>
        <w:spacing w:after="0" w:line="277" w:lineRule="auto"/>
        <w:tabs>
          <w:tab w:leader="none" w:pos="18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permitted to be incurred under the provisions of Section 4.12 hereof that limit the right of the debtor to dispose of the assets subject to such Liens;</w:t>
      </w:r>
    </w:p>
    <w:p>
      <w:pPr>
        <w:spacing w:after="0" w:line="62" w:lineRule="exact"/>
        <w:rPr>
          <w:rFonts w:ascii="Arial" w:cs="Arial" w:eastAsia="Arial" w:hAnsi="Arial"/>
          <w:sz w:val="18"/>
          <w:szCs w:val="18"/>
          <w:color w:val="auto"/>
        </w:rPr>
      </w:pPr>
    </w:p>
    <w:p>
      <w:pPr>
        <w:ind w:left="960" w:right="60" w:firstLine="408"/>
        <w:spacing w:after="0" w:line="259" w:lineRule="auto"/>
        <w:tabs>
          <w:tab w:leader="none" w:pos="183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provisions limiting dividends or the disposition or distribution of assets, property or Equity Interests in joint venture or operating agreements, asset sale agreements, sale-leaseback agreements, stock sale agreements, merger agreements and other similar agreements entered into with the approval of the Company’s Board of Directors, which limitation is applicable only to the assets, property or Equity Interests that are the subject of such agreements;</w:t>
      </w:r>
    </w:p>
    <w:p>
      <w:pPr>
        <w:spacing w:after="0" w:line="78" w:lineRule="exact"/>
        <w:rPr>
          <w:rFonts w:ascii="Arial" w:cs="Arial" w:eastAsia="Arial" w:hAnsi="Arial"/>
          <w:sz w:val="18"/>
          <w:szCs w:val="18"/>
          <w:color w:val="auto"/>
        </w:rPr>
      </w:pPr>
    </w:p>
    <w:p>
      <w:pPr>
        <w:ind w:left="960" w:right="540" w:firstLine="408"/>
        <w:spacing w:after="0" w:line="277" w:lineRule="auto"/>
        <w:tabs>
          <w:tab w:leader="none" w:pos="18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or suppliers under contracts entered into in the ordinary course of business; and</w:t>
      </w:r>
    </w:p>
    <w:p>
      <w:pPr>
        <w:spacing w:after="0" w:line="62" w:lineRule="exact"/>
        <w:rPr>
          <w:rFonts w:ascii="Arial" w:cs="Arial" w:eastAsia="Arial" w:hAnsi="Arial"/>
          <w:sz w:val="18"/>
          <w:szCs w:val="18"/>
          <w:color w:val="auto"/>
        </w:rPr>
      </w:pPr>
    </w:p>
    <w:p>
      <w:pPr>
        <w:ind w:left="960" w:firstLine="408"/>
        <w:spacing w:after="0" w:line="271" w:lineRule="auto"/>
        <w:tabs>
          <w:tab w:leader="none" w:pos="184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any agreement or instrument with respect to any Unrestricted Subsidiary or the property or assets of such Unrestricted Subsidiary that is designated as a Restricted Subsidiary in accordance with the terms of this Indenture at the time of such designation and not incurred in contemplation of such designation, which encumbrances or restrictions are not applicable to any Person or the property or assets of any Person other than such Subsidiary or its subsidiaries or the property or assets of such Subsidiary or its subsidiaries, and any extensions, refinancing, renewals, supplements or amendments or replacements thereof;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encumbrances and restrictions in any such extension, refinancing, renewal, supplement, amendment or replacement, taken as a whole, are no more restrictive in any material respect than those encumbrances or restrictions that are then in effect and that are being extended, refinanced, renewed, supplemented, amended or replaced.</w:t>
      </w:r>
    </w:p>
    <w:p>
      <w:pPr>
        <w:spacing w:after="0" w:line="286" w:lineRule="exact"/>
        <w:rPr>
          <w:sz w:val="20"/>
          <w:szCs w:val="20"/>
          <w:color w:val="auto"/>
        </w:rPr>
      </w:pPr>
    </w:p>
    <w:p>
      <w:pPr>
        <w:ind w:left="420"/>
        <w:spacing w:after="0"/>
        <w:tabs>
          <w:tab w:leader="none" w:pos="148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Limitation on Incurrence of Indebtedness and Issuance of Disqualified Stock and Preferred Stock.</w:t>
      </w:r>
    </w:p>
    <w:p>
      <w:pPr>
        <w:spacing w:after="0" w:line="117" w:lineRule="exact"/>
        <w:rPr>
          <w:sz w:val="20"/>
          <w:szCs w:val="20"/>
          <w:color w:val="auto"/>
        </w:rPr>
      </w:pPr>
    </w:p>
    <w:p>
      <w:pPr>
        <w:ind w:left="-20" w:right="120" w:firstLine="987"/>
        <w:spacing w:after="0" w:line="289" w:lineRule="auto"/>
        <w:tabs>
          <w:tab w:leader="none" w:pos="134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The Company will not, and will not permit any of its Restricted Subsidiaries to, directly or indirectly, Incur any Indebtedness (including Acquired Indebtedness) and the Company will not issue any shares of Disqualified Stock and the Company will not, and the Company will not permit any of its Restricted Subsidiaries, to issue any shares of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Incur Indebtedness (including Acquired Indebtedness) or issue Disqualified Stock, and the Company or any Subsidiary Guarantor may Incur Indebtedness (including Acquired Indebtedness) or issue Preferred Stock, if the Fixed Charge Coverage Ratio of the Company for the most recently ended four full fiscal quarters for which internal financial statements are available immediately preceding the date on which such additional Indebtedness is Incurred or such Disqualified Stock or Preferred Stock is issued, as the case may be, would have been at least 2.00 to 1.00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spacing w:after="0" w:line="166" w:lineRule="exact"/>
        <w:rPr>
          <w:rFonts w:ascii="Arial" w:cs="Arial" w:eastAsia="Arial" w:hAnsi="Arial"/>
          <w:sz w:val="16"/>
          <w:szCs w:val="16"/>
          <w:color w:val="auto"/>
        </w:rPr>
      </w:pPr>
    </w:p>
    <w:p>
      <w:pPr>
        <w:ind w:left="1360" w:hanging="393"/>
        <w:spacing w:after="0"/>
        <w:tabs>
          <w:tab w:leader="none" w:pos="13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provisions of Section 4.09(a) hereof do not apply to the following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60" w:right="20" w:firstLine="408"/>
        <w:spacing w:after="0" w:line="271" w:lineRule="auto"/>
        <w:tabs>
          <w:tab w:leader="none" w:pos="1751" w:val="left"/>
        </w:tabs>
        <w:numPr>
          <w:ilvl w:val="1"/>
          <w:numId w:val="263"/>
        </w:numPr>
        <w:rPr>
          <w:rFonts w:ascii="Arial" w:cs="Arial" w:eastAsia="Arial" w:hAnsi="Arial"/>
          <w:sz w:val="17"/>
          <w:szCs w:val="17"/>
          <w:color w:val="auto"/>
        </w:rPr>
      </w:pPr>
      <w:r>
        <w:rPr>
          <w:rFonts w:ascii="Arial" w:cs="Arial" w:eastAsia="Arial" w:hAnsi="Arial"/>
          <w:sz w:val="17"/>
          <w:szCs w:val="17"/>
          <w:color w:val="auto"/>
        </w:rPr>
        <w:t xml:space="preserve">the Incurrence by the Company and the Subsidiary Guarantors of Indebtedness under Credit Facilities;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 the date of the Incurrence of any such Indebtedness and after giving effect thereto, the aggregate principal amount outstanding of all such Indebtedness Incurred pursuant to this clause (1) (together with any refinancing thereof) does not exceed the sum of: (i)(x)</w:t>
      </w:r>
    </w:p>
    <w:p>
      <w:pPr>
        <w:ind w:left="960" w:right="8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US$35.0 million; plus (y) US$100.0 million Incurred in respect of the Phase II Project;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in the case of clause (i)(y), the aggregate amount of all Net Proceeds of Asset Sales applied since the Issue Date to repay any term Indebtedness Incurred pursuant to this clause (1) (i)(y) or to repay any revolving credit indebtedness Incurred under this clause (1)(i)(y) and effect a corresponding commitment reduction thereunder pursuant to Section 4.10 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60" w:top="274" w:right="459" w:bottom="1440" w:gutter="0" w:footer="0" w:header="0"/>
        </w:sectPr>
      </w:pPr>
    </w:p>
    <w:bookmarkStart w:id="268" w:name="page269"/>
    <w:bookmarkEnd w:id="268"/>
    <w:p>
      <w:pPr>
        <w:ind w:left="-20" w:right="320" w:firstLine="408"/>
        <w:spacing w:after="0" w:line="277" w:lineRule="auto"/>
        <w:tabs>
          <w:tab w:leader="none" w:pos="771"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Incurrence of Indebtedness represented by the Notes (other than Additional Notes) and the Note Guarantees (other than Note Guarantees for Additional Notes) and the Intercompany Note Proceeds Loans;</w:t>
      </w:r>
    </w:p>
    <w:p>
      <w:pPr>
        <w:spacing w:after="0" w:line="62" w:lineRule="exact"/>
        <w:rPr>
          <w:rFonts w:ascii="Arial" w:cs="Arial" w:eastAsia="Arial" w:hAnsi="Arial"/>
          <w:sz w:val="18"/>
          <w:szCs w:val="18"/>
          <w:color w:val="auto"/>
        </w:rPr>
      </w:pPr>
    </w:p>
    <w:p>
      <w:pPr>
        <w:ind w:left="-20" w:right="100" w:firstLine="408"/>
        <w:spacing w:after="0" w:line="273" w:lineRule="auto"/>
        <w:tabs>
          <w:tab w:leader="none" w:pos="771"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 the Incurrence by the Company or the Subsidiary Guarantors of Indebtedness in an aggregate principal amount at any time outstanding, including all Permitted Refinancing Indebtedness Incurred to renew, refund, refinance, replace, defease or discharge any Indebtedness Incurred pursuant to this clause (3)(a), not to exceed the greater of (x) an amount equal to 3.5 times the EBITDA of the Company for the most recently ended four full fiscal quarters for which internal financial statements are available immediately preceding the relevant time of determination and (y) US$1,200,000,000, and (b) Indebtedness existing on the Issue Date (other than the Existing Studio City Company Notes and Indebtedness described in clauses (1) and (2));</w:t>
      </w:r>
    </w:p>
    <w:p>
      <w:pPr>
        <w:spacing w:after="0" w:line="69" w:lineRule="exact"/>
        <w:rPr>
          <w:rFonts w:ascii="Arial" w:cs="Arial" w:eastAsia="Arial" w:hAnsi="Arial"/>
          <w:sz w:val="17"/>
          <w:szCs w:val="17"/>
          <w:color w:val="auto"/>
        </w:rPr>
      </w:pPr>
    </w:p>
    <w:p>
      <w:pPr>
        <w:ind w:left="-20" w:firstLine="408"/>
        <w:spacing w:after="0" w:line="291" w:lineRule="auto"/>
        <w:tabs>
          <w:tab w:leader="none" w:pos="771"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Incurrence of Indebtedness of the Company or any of its Restricted Subsidiaries represented by Capital Lease Obligations, mortgage financings or purchase money obligations, in each case, Incurred for the purpose of financing all or any part of the purchase price or cost of design, construction, installation or improvement of property, plant or other assets (including through the acquisition of Capital Stock of any person that owns property, plant or other assets which will, upon acquisition, become a Restricted Subsidiary) used in the business of the Company or any of its Restricted Subsidiaries, in an aggregate principal amount, including all Permitted Refinancing Indebtedness Incurred to renew, refund, refinance, replace, defease or discharge any Indebtedness Incurred pursuant to this clause (4), not to exceed the greater of (x) US$50.0 million and (y) 2.0% of Total Assets at any time outstanding;</w:t>
      </w:r>
    </w:p>
    <w:p>
      <w:pPr>
        <w:spacing w:after="0" w:line="58" w:lineRule="exact"/>
        <w:rPr>
          <w:rFonts w:ascii="Arial" w:cs="Arial" w:eastAsia="Arial" w:hAnsi="Arial"/>
          <w:sz w:val="16"/>
          <w:szCs w:val="16"/>
          <w:color w:val="auto"/>
        </w:rPr>
      </w:pPr>
    </w:p>
    <w:p>
      <w:pPr>
        <w:ind w:left="-20" w:right="60" w:firstLine="408"/>
        <w:spacing w:after="0" w:line="259" w:lineRule="auto"/>
        <w:tabs>
          <w:tab w:leader="none" w:pos="77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Permitted Refinancing Indebtedness in exchange for, or the net proceeds of which are used to renew, refund, refinance, replace, defease or discharge Indebtedness (other than intercompany Indebtedness) that was permitted by this Indenture to be Incurred under Section 4.09(a) or clauses (2), (3)(b), (4), (5) or (15) of this Section 4.09(b);</w:t>
      </w:r>
    </w:p>
    <w:p>
      <w:pPr>
        <w:spacing w:after="0" w:line="78" w:lineRule="exact"/>
        <w:rPr>
          <w:rFonts w:ascii="Arial" w:cs="Arial" w:eastAsia="Arial" w:hAnsi="Arial"/>
          <w:sz w:val="18"/>
          <w:szCs w:val="18"/>
          <w:color w:val="auto"/>
        </w:rPr>
      </w:pPr>
    </w:p>
    <w:p>
      <w:pPr>
        <w:ind w:left="-20" w:firstLine="408"/>
        <w:spacing w:after="0" w:line="293" w:lineRule="auto"/>
        <w:tabs>
          <w:tab w:leader="none" w:pos="771"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 Obligations in respect of workers’ compensation claims, self-insurance obligations, bankers’ acceptances, performance, bid, appeal and surety bonds and completion or performance guarantees (including the guarantee of any land grant) provided by the Company or any Restricted Subsidiary in connection with the Property or in the ordinary course of business and (b) Indebtedness constituting reimbursement obligations with respect to letters of credit or trade or bank guarantees (including for land grants) issued in the ordinary course of business to the extent that such letters of credit, trade or bank guarantees (including for land grants) are not drawn upon or, if drawn upon, to the extent such drawing is reimbursed no later than thirty (30) days following receipt of a demand for reimbursement;</w:t>
      </w:r>
    </w:p>
    <w:p>
      <w:pPr>
        <w:spacing w:after="0" w:line="56" w:lineRule="exact"/>
        <w:rPr>
          <w:rFonts w:ascii="Arial" w:cs="Arial" w:eastAsia="Arial" w:hAnsi="Arial"/>
          <w:sz w:val="16"/>
          <w:szCs w:val="16"/>
          <w:color w:val="auto"/>
        </w:rPr>
      </w:pPr>
    </w:p>
    <w:p>
      <w:pPr>
        <w:ind w:left="-20" w:right="460" w:firstLine="408"/>
        <w:spacing w:after="0" w:line="277" w:lineRule="auto"/>
        <w:tabs>
          <w:tab w:leader="none" w:pos="77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intercompany Indebtedness between or among the Company or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jc w:val="both"/>
        <w:ind w:left="420" w:right="80" w:firstLine="391"/>
        <w:spacing w:after="0" w:line="311" w:lineRule="auto"/>
        <w:tabs>
          <w:tab w:leader="none" w:pos="1233" w:val="left"/>
        </w:tabs>
        <w:numPr>
          <w:ilvl w:val="1"/>
          <w:numId w:val="264"/>
        </w:numPr>
        <w:rPr>
          <w:rFonts w:ascii="Arial" w:cs="Arial" w:eastAsia="Arial" w:hAnsi="Arial"/>
          <w:sz w:val="16"/>
          <w:szCs w:val="16"/>
          <w:color w:val="auto"/>
        </w:rPr>
      </w:pPr>
      <w:r>
        <w:rPr>
          <w:rFonts w:ascii="Arial" w:cs="Arial" w:eastAsia="Arial" w:hAnsi="Arial"/>
          <w:sz w:val="16"/>
          <w:szCs w:val="16"/>
          <w:color w:val="auto"/>
        </w:rPr>
        <w:t>if the Company or any Subsidiary Guarantor is the obligor on such Indebtedness and the payee is not the Company or a Subsidiary Guarantor, such Indebtedness must be expressly subordinated to the prior payment in full in cash of all Obligations then due with respect to the Notes, in the case of the Company, or the Note Guarantee, in the case of a Subsidiary Guarantor; and</w:t>
      </w:r>
    </w:p>
    <w:p>
      <w:pPr>
        <w:spacing w:after="0" w:line="40" w:lineRule="exact"/>
        <w:rPr>
          <w:rFonts w:ascii="Arial" w:cs="Arial" w:eastAsia="Arial" w:hAnsi="Arial"/>
          <w:sz w:val="16"/>
          <w:szCs w:val="16"/>
          <w:color w:val="auto"/>
        </w:rPr>
      </w:pPr>
    </w:p>
    <w:p>
      <w:pPr>
        <w:ind w:left="420" w:right="20" w:firstLine="391"/>
        <w:spacing w:after="0" w:line="301" w:lineRule="auto"/>
        <w:tabs>
          <w:tab w:leader="none" w:pos="1223" w:val="left"/>
        </w:tabs>
        <w:numPr>
          <w:ilvl w:val="1"/>
          <w:numId w:val="264"/>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the Company or a Restricted Subsidiary of the Company and (ii) any sale or other transfer of any such Indebtedness to a Person that is not the Company or a Restricted Subsidiary of the Company, will be deemed, in each case, to constitute an Incurrence of such Indebtedness by the Company or such Restricted Subsidiary, as the case may be, that was not permitted by this clause (7);</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9960"/>
          </w:cols>
          <w:pgMar w:left="1440" w:top="274" w:right="499" w:bottom="1440" w:gutter="0" w:footer="0" w:header="0"/>
        </w:sectPr>
      </w:pPr>
    </w:p>
    <w:bookmarkStart w:id="269" w:name="page270"/>
    <w:bookmarkEnd w:id="269"/>
    <w:p>
      <w:pPr>
        <w:ind w:left="-7" w:right="120" w:firstLine="408"/>
        <w:spacing w:after="0" w:line="277" w:lineRule="auto"/>
        <w:tabs>
          <w:tab w:leader="none" w:pos="783" w:val="left"/>
        </w:tabs>
        <w:numPr>
          <w:ilvl w:val="1"/>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of Preferred Stock of a Restricted Subsidiary issued to the Company or another Restricted Subsidiary of the Company; </w:t>
      </w:r>
      <w:r>
        <w:rPr>
          <w:rFonts w:ascii="Arial" w:cs="Arial" w:eastAsia="Arial" w:hAnsi="Arial"/>
          <w:sz w:val="18"/>
          <w:szCs w:val="18"/>
          <w:i w:val="1"/>
          <w:iCs w:val="1"/>
          <w:color w:val="auto"/>
        </w:rPr>
        <w:t>provided that</w:t>
      </w:r>
    </w:p>
    <w:p>
      <w:pPr>
        <w:spacing w:after="0" w:line="62" w:lineRule="exact"/>
        <w:rPr>
          <w:rFonts w:ascii="Arial" w:cs="Arial" w:eastAsia="Arial" w:hAnsi="Arial"/>
          <w:sz w:val="18"/>
          <w:szCs w:val="18"/>
          <w:color w:val="auto"/>
        </w:rPr>
      </w:pPr>
    </w:p>
    <w:p>
      <w:pPr>
        <w:ind w:left="433" w:right="220" w:firstLine="391"/>
        <w:spacing w:after="0" w:line="277" w:lineRule="auto"/>
        <w:tabs>
          <w:tab w:leader="none" w:pos="1246" w:val="left"/>
        </w:tabs>
        <w:numPr>
          <w:ilvl w:val="2"/>
          <w:numId w:val="265"/>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Company or a Restricted Subsidiary of the Company; and</w:t>
      </w:r>
    </w:p>
    <w:p>
      <w:pPr>
        <w:spacing w:after="0" w:line="62" w:lineRule="exact"/>
        <w:rPr>
          <w:rFonts w:ascii="Arial" w:cs="Arial" w:eastAsia="Arial" w:hAnsi="Arial"/>
          <w:sz w:val="18"/>
          <w:szCs w:val="18"/>
          <w:color w:val="auto"/>
        </w:rPr>
      </w:pPr>
    </w:p>
    <w:p>
      <w:pPr>
        <w:ind w:left="433" w:firstLine="391"/>
        <w:spacing w:after="0" w:line="263" w:lineRule="auto"/>
        <w:tabs>
          <w:tab w:leader="none" w:pos="1236" w:val="left"/>
        </w:tabs>
        <w:numPr>
          <w:ilvl w:val="2"/>
          <w:numId w:val="265"/>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the Company or a Restricted Subsidiary of the Company, will be deemed, in each case, to constitute an issuance of such Preferred Stock by such Restricted Subsidiary that was not permitted by this clause (8).</w:t>
      </w:r>
    </w:p>
    <w:p>
      <w:pPr>
        <w:spacing w:after="0" w:line="75" w:lineRule="exact"/>
        <w:rPr>
          <w:rFonts w:ascii="Arial" w:cs="Arial" w:eastAsia="Arial" w:hAnsi="Arial"/>
          <w:sz w:val="18"/>
          <w:szCs w:val="18"/>
          <w:color w:val="auto"/>
        </w:rPr>
      </w:pPr>
    </w:p>
    <w:p>
      <w:pPr>
        <w:ind w:left="-7" w:right="80" w:firstLine="408"/>
        <w:spacing w:after="0" w:line="277" w:lineRule="auto"/>
        <w:tabs>
          <w:tab w:leader="none" w:pos="78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Hedging Obligations in the ordinary course of business and not for speculative purposes;</w:t>
      </w:r>
    </w:p>
    <w:p>
      <w:pPr>
        <w:spacing w:after="0" w:line="62" w:lineRule="exact"/>
        <w:rPr>
          <w:rFonts w:ascii="Arial" w:cs="Arial" w:eastAsia="Arial" w:hAnsi="Arial"/>
          <w:sz w:val="18"/>
          <w:szCs w:val="18"/>
          <w:color w:val="auto"/>
        </w:rPr>
      </w:pPr>
    </w:p>
    <w:p>
      <w:pPr>
        <w:jc w:val="both"/>
        <w:ind w:left="-7" w:right="80" w:firstLine="408"/>
        <w:spacing w:after="0" w:line="259" w:lineRule="auto"/>
        <w:tabs>
          <w:tab w:leader="none" w:pos="87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 xml:space="preserve">the guarantee by the Company or any Restricted Subsidiary of the Company of Indebtedness of the Company or a Restricted Subsidiary of the Company that was permitted to be Incurred by another provision of this Section 4.09;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Indebtedness being guaranteed is subordinated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then the guarantee shall be subordinated or </w:t>
      </w:r>
      <w:r>
        <w:rPr>
          <w:rFonts w:ascii="Arial" w:cs="Arial" w:eastAsia="Arial" w:hAnsi="Arial"/>
          <w:sz w:val="18"/>
          <w:szCs w:val="18"/>
          <w:i w:val="1"/>
          <w:iCs w:val="1"/>
          <w:color w:val="auto"/>
        </w:rPr>
        <w:t>pari passu</w:t>
      </w:r>
      <w:r>
        <w:rPr>
          <w:rFonts w:ascii="Arial" w:cs="Arial" w:eastAsia="Arial" w:hAnsi="Arial"/>
          <w:sz w:val="18"/>
          <w:szCs w:val="18"/>
          <w:color w:val="auto"/>
        </w:rPr>
        <w:t>, as applicable, to the same extent as the Indebtedness guaranteed;</w:t>
      </w:r>
    </w:p>
    <w:p>
      <w:pPr>
        <w:spacing w:after="0" w:line="78" w:lineRule="exact"/>
        <w:rPr>
          <w:rFonts w:ascii="Arial" w:cs="Arial" w:eastAsia="Arial" w:hAnsi="Arial"/>
          <w:sz w:val="18"/>
          <w:szCs w:val="18"/>
          <w:color w:val="auto"/>
        </w:rPr>
      </w:pPr>
    </w:p>
    <w:p>
      <w:pPr>
        <w:ind w:left="-7" w:right="680" w:firstLine="408"/>
        <w:spacing w:after="0" w:line="263" w:lineRule="auto"/>
        <w:tabs>
          <w:tab w:leader="none" w:pos="86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inadvertently drawn against insufficient funds, so long as such Indebtedness is extinguished within five (5) Business Days of its Incurrence;</w:t>
      </w:r>
    </w:p>
    <w:p>
      <w:pPr>
        <w:spacing w:after="0" w:line="75" w:lineRule="exact"/>
        <w:rPr>
          <w:rFonts w:ascii="Arial" w:cs="Arial" w:eastAsia="Arial" w:hAnsi="Arial"/>
          <w:sz w:val="18"/>
          <w:szCs w:val="18"/>
          <w:color w:val="auto"/>
        </w:rPr>
      </w:pPr>
    </w:p>
    <w:p>
      <w:pPr>
        <w:ind w:left="-7" w:right="20" w:firstLine="408"/>
        <w:spacing w:after="0" w:line="257" w:lineRule="auto"/>
        <w:tabs>
          <w:tab w:leader="none" w:pos="87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the extent constituting Indebtedness, agreements to pay service fees to professionals (including architects, engineers, contractors and designers) in furtherance of and/or in connection with the Property or agreements to pay fees and expenses or other amounts pursuant to the Services and Right to Use Agreement or the MSA or otherwise arising under the Services and Right to Use Agreement or the MSA in the ordinary course of business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such agreements shall give rise to Indebtedness for borrowed money);</w:t>
      </w:r>
    </w:p>
    <w:p>
      <w:pPr>
        <w:spacing w:after="0" w:line="79" w:lineRule="exact"/>
        <w:rPr>
          <w:rFonts w:ascii="Arial" w:cs="Arial" w:eastAsia="Arial" w:hAnsi="Arial"/>
          <w:sz w:val="18"/>
          <w:szCs w:val="18"/>
          <w:color w:val="auto"/>
        </w:rPr>
      </w:pPr>
    </w:p>
    <w:p>
      <w:pPr>
        <w:ind w:left="-7" w:firstLine="408"/>
        <w:spacing w:after="0" w:line="254" w:lineRule="auto"/>
        <w:tabs>
          <w:tab w:leader="none" w:pos="87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 xml:space="preserve">Indebtedness arising from agreements providing for indemnification, adjustment of purchase price or similar obligations, or from guarantees or letters of credit, surety bonds, or performance bonds securing any obligation of the Company or any Restricted Subsidiary of the Company pursuant to such agreements, in each case, incurred or assumed in connection with the acquisition or disposition of any business, assets or Capital Stock of a Restricted Subsidiary, other than guarantees of Indebtedness incurred by any Person acquiring all or any portion of such business, assets or Subsidiary for the purpose of financing such acquisition;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maximum aggregate liability in respect of all such Indebtedness shall at no time exceed the gross proceeds actually received in connection with such disposition;</w:t>
      </w:r>
    </w:p>
    <w:p>
      <w:pPr>
        <w:spacing w:after="0" w:line="86" w:lineRule="exact"/>
        <w:rPr>
          <w:rFonts w:ascii="Arial" w:cs="Arial" w:eastAsia="Arial" w:hAnsi="Arial"/>
          <w:sz w:val="18"/>
          <w:szCs w:val="18"/>
          <w:color w:val="auto"/>
        </w:rPr>
      </w:pPr>
    </w:p>
    <w:p>
      <w:pPr>
        <w:ind w:left="873" w:hanging="472"/>
        <w:spacing w:after="0"/>
        <w:tabs>
          <w:tab w:leader="none" w:pos="87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Obligations in respect of Shareholder Subordinated Debt;</w:t>
      </w:r>
    </w:p>
    <w:p>
      <w:pPr>
        <w:spacing w:after="0" w:line="117" w:lineRule="exact"/>
        <w:rPr>
          <w:rFonts w:ascii="Arial" w:cs="Arial" w:eastAsia="Arial" w:hAnsi="Arial"/>
          <w:sz w:val="18"/>
          <w:szCs w:val="18"/>
          <w:color w:val="auto"/>
        </w:rPr>
      </w:pPr>
    </w:p>
    <w:p>
      <w:pPr>
        <w:ind w:left="873" w:hanging="472"/>
        <w:spacing w:after="0"/>
        <w:tabs>
          <w:tab w:leader="none" w:pos="87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any guarantees made solely in connection with (and limited in scope to) the giving of a Lien of the type specified in clause</w:t>
      </w:r>
    </w:p>
    <w:p>
      <w:pPr>
        <w:spacing w:after="0" w:line="46" w:lineRule="exact"/>
        <w:rPr>
          <w:rFonts w:ascii="Arial" w:cs="Arial" w:eastAsia="Arial" w:hAnsi="Arial"/>
          <w:sz w:val="16"/>
          <w:szCs w:val="16"/>
          <w:color w:val="auto"/>
        </w:rPr>
      </w:pPr>
    </w:p>
    <w:p>
      <w:pPr>
        <w:ind w:left="-7" w:right="560" w:firstLine="7"/>
        <w:spacing w:after="0" w:line="260" w:lineRule="auto"/>
        <w:tabs>
          <w:tab w:leader="none" w:pos="33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of “Permitted Liens” to secure Indebtedness of an Unrestricted Subsidiary, the only recourse of which to the Company and its Restricted Subsidiaries is to the Equity Interests subject to the Liens;</w:t>
      </w:r>
    </w:p>
    <w:p>
      <w:pPr>
        <w:spacing w:after="0" w:line="77" w:lineRule="exact"/>
        <w:rPr>
          <w:rFonts w:ascii="Arial" w:cs="Arial" w:eastAsia="Arial" w:hAnsi="Arial"/>
          <w:sz w:val="18"/>
          <w:szCs w:val="18"/>
          <w:color w:val="auto"/>
        </w:rPr>
      </w:pPr>
    </w:p>
    <w:p>
      <w:pPr>
        <w:ind w:left="-7" w:right="80" w:firstLine="408"/>
        <w:spacing w:after="0" w:line="311" w:lineRule="auto"/>
        <w:tabs>
          <w:tab w:leader="none" w:pos="873"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Incurrence by the Company or the Subsidiary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(16), not to exceed US$50.0 million; and</w:t>
      </w:r>
    </w:p>
    <w:p>
      <w:pPr>
        <w:spacing w:after="0" w:line="81"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9953"/>
          </w:cols>
          <w:pgMar w:left="1427" w:top="274" w:right="519" w:bottom="1440" w:gutter="0" w:footer="0" w:header="0"/>
        </w:sectPr>
      </w:pPr>
    </w:p>
    <w:bookmarkStart w:id="270" w:name="page271"/>
    <w:bookmarkEnd w:id="270"/>
    <w:p>
      <w:pPr>
        <w:ind w:left="980" w:firstLine="408"/>
        <w:spacing w:after="0" w:line="296" w:lineRule="auto"/>
        <w:tabs>
          <w:tab w:leader="none" w:pos="18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Incurrence by the Company or the Subsidiary Guarantors of additional Indebtedness in respect of the Phase II Project in an aggregate principal amount (or accreted value, as applicable) at any time outstanding, including all Permitted Refinancing Indebtedness Incurred to renew, refund, refinance, replace, defease or discharge any Indebtedness Incurred pursuant to this clause (17), not to exceed the greater of (x) 75% of the EBITDA of the Company for the most recently ended four full fiscal quarters for which internal financial statements are available (which figure shall be based on audited financial information, if for an annual period) and (y) US$350.0 million.</w:t>
      </w:r>
    </w:p>
    <w:p>
      <w:pPr>
        <w:spacing w:after="0" w:line="161"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The Company will not Incur, and will not permit any Subsidiary Guarantor to Incur, any Indebtedness (including Permitted Debt) that is contractually subordinated in right of payment to any other Indebtedness of the Company or such Subsidiary Guarantor unless such Indebtedness is also contractually subordinated in right of payment to the Notes and the applicable Note Guarantee on substantially identical terms;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Indebtedness will be deemed to be contractually subordinated in right of payment to any other Indebtedness of the Company or any Subsidiary Guarantor solely by virtue of being unsecured or by virtue of being secured on a first or junior Lien basis.</w:t>
      </w:r>
    </w:p>
    <w:p>
      <w:pPr>
        <w:spacing w:after="0" w:line="176"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For purposes of determining compliance with this Section 4.09, in the event that an item of proposed Indebtedness meets the criteria of more than one of the categories of Permitted Debt described in clauses (1) through (17) above, or is entitled to be Incurred pursuant to the first paragraph of this covenant, the Company will be permitted to classify such item of Indebtedness on the date of its Incurrence, or later reclassify all or a portion of such item of Indebtedness, in any manner that complies with this Section 4.09. Indebtedness incurred under the Senior Secured Credit Facilities will be deemed to have been incurred in reliance on the exception provided by clause (1)(x) of the definition of Permitted Debt and may not be reclassified and Indebtedness incurred under the Existing Studio City Company Notes will be deemed to have been incurred in reliance on the exception provided by clause (3)(a) of the definition of Permitted Debt and may not be reclassified.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4.09; provided, in each such case, that the amount of any such accrual, accretion or payment is included in Fixed Charges of the Company as accrued. Notwithstanding any other provision of this Section 4.09, the maximum amount of Indebtedness that the Company or any Restricted Subsidiary of the Company may Incur pursuant to this Section 4.09 shall not be deemed to be exceeded solely as a result of fluctuations in exchange rates or currency values.</w:t>
      </w:r>
    </w:p>
    <w:p>
      <w:pPr>
        <w:spacing w:after="0" w:line="184" w:lineRule="exact"/>
        <w:rPr>
          <w:sz w:val="20"/>
          <w:szCs w:val="20"/>
          <w:color w:val="auto"/>
        </w:rPr>
      </w:pPr>
    </w:p>
    <w:p>
      <w:pPr>
        <w:ind w:right="340" w:firstLine="991"/>
        <w:spacing w:after="0" w:line="259" w:lineRule="auto"/>
        <w:rPr>
          <w:sz w:val="20"/>
          <w:szCs w:val="20"/>
          <w:color w:val="auto"/>
        </w:rPr>
      </w:pPr>
      <w:r>
        <w:rPr>
          <w:rFonts w:ascii="Arial" w:cs="Arial" w:eastAsia="Arial" w:hAnsi="Arial"/>
          <w:sz w:val="18"/>
          <w:szCs w:val="18"/>
          <w:color w:val="auto"/>
        </w:rPr>
        <w:t>Further, for purposes of determining compliance with this covenant, to the extent the Company or any of its Restricted Subsidiaries guarantees Indebtedness of a direct or indirect parent entity to the extent otherwise permitted by this covenant, the on-loan by such direct or indirect parent entity to the Company or any of its Restricted Subsidiaries of all or a portion of the principal amount of such Indebtedness will not be double counted.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780" w:hanging="392"/>
        <w:spacing w:after="0"/>
        <w:tabs>
          <w:tab w:leader="none" w:pos="17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271" w:name="page272"/>
    <w:bookmarkEnd w:id="271"/>
    <w:p>
      <w:pPr>
        <w:ind w:left="1780" w:hanging="392"/>
        <w:spacing w:after="0"/>
        <w:tabs>
          <w:tab w:leader="none" w:pos="17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respect of Indebtedness of another Person secured by a Lien on the assets of the specified Person, the lesser of:</w:t>
      </w:r>
    </w:p>
    <w:p>
      <w:pPr>
        <w:spacing w:after="0" w:line="128" w:lineRule="exact"/>
        <w:rPr>
          <w:rFonts w:ascii="Arial" w:cs="Arial" w:eastAsia="Arial" w:hAnsi="Arial"/>
          <w:sz w:val="17"/>
          <w:szCs w:val="17"/>
          <w:color w:val="auto"/>
        </w:rPr>
      </w:pPr>
    </w:p>
    <w:p>
      <w:pPr>
        <w:ind w:left="2240" w:hanging="429"/>
        <w:spacing w:after="0"/>
        <w:tabs>
          <w:tab w:leader="none" w:pos="224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face amount of the Indebtedness of the other Person.</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5"/>
          <w:szCs w:val="15"/>
          <w:i w:val="1"/>
          <w:iCs w:val="1"/>
          <w:color w:val="auto"/>
        </w:rPr>
        <w:t>Asset Sales.</w:t>
      </w:r>
    </w:p>
    <w:p>
      <w:pPr>
        <w:spacing w:after="0" w:line="117"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Company will not, and will not permit any of its Restricted Subsidiaries to, consummate an Asset Sale (other than an Event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unless:</w:t>
      </w:r>
    </w:p>
    <w:p>
      <w:pPr>
        <w:spacing w:after="0" w:line="103" w:lineRule="exact"/>
        <w:rPr>
          <w:sz w:val="20"/>
          <w:szCs w:val="20"/>
          <w:color w:val="auto"/>
        </w:rPr>
      </w:pPr>
    </w:p>
    <w:p>
      <w:pPr>
        <w:ind w:left="980" w:right="340" w:firstLine="408"/>
        <w:spacing w:after="0" w:line="308" w:lineRule="auto"/>
        <w:tabs>
          <w:tab w:leader="none" w:pos="1771"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Company or the Restricted Subsidiary, as the case may be, receives consideration at the time of such Asset Sale at least equal to the Fair Market Value of the assets or Equity Interests issued or sold or otherwise disposed of; and</w:t>
      </w:r>
    </w:p>
    <w:p>
      <w:pPr>
        <w:spacing w:after="0" w:line="38" w:lineRule="exact"/>
        <w:rPr>
          <w:rFonts w:ascii="Arial" w:cs="Arial" w:eastAsia="Arial" w:hAnsi="Arial"/>
          <w:sz w:val="17"/>
          <w:szCs w:val="17"/>
          <w:color w:val="auto"/>
        </w:rPr>
      </w:pPr>
    </w:p>
    <w:p>
      <w:pPr>
        <w:ind w:left="980" w:right="320" w:firstLine="408"/>
        <w:spacing w:after="0" w:line="277" w:lineRule="auto"/>
        <w:tabs>
          <w:tab w:leader="none" w:pos="177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is in the form of cash. For purposes of this provision, each of the following will be deemed to be cash:</w:t>
      </w:r>
    </w:p>
    <w:p>
      <w:pPr>
        <w:spacing w:after="0" w:line="62" w:lineRule="exact"/>
        <w:rPr>
          <w:rFonts w:ascii="Arial" w:cs="Arial" w:eastAsia="Arial" w:hAnsi="Arial"/>
          <w:sz w:val="18"/>
          <w:szCs w:val="18"/>
          <w:color w:val="auto"/>
        </w:rPr>
      </w:pPr>
    </w:p>
    <w:p>
      <w:pPr>
        <w:ind w:left="1420" w:firstLine="391"/>
        <w:spacing w:after="0" w:line="259" w:lineRule="auto"/>
        <w:tabs>
          <w:tab w:leader="none" w:pos="2233" w:val="left"/>
        </w:tabs>
        <w:numPr>
          <w:ilvl w:val="2"/>
          <w:numId w:val="270"/>
        </w:numPr>
        <w:rPr>
          <w:rFonts w:ascii="Arial" w:cs="Arial" w:eastAsia="Arial" w:hAnsi="Arial"/>
          <w:sz w:val="18"/>
          <w:szCs w:val="18"/>
          <w:color w:val="auto"/>
        </w:rPr>
      </w:pPr>
      <w:r>
        <w:rPr>
          <w:rFonts w:ascii="Arial" w:cs="Arial" w:eastAsia="Arial" w:hAnsi="Arial"/>
          <w:sz w:val="18"/>
          <w:szCs w:val="18"/>
          <w:color w:val="auto"/>
        </w:rPr>
        <w:t>any liabilities, as shown on the Company’s most recent consolidated balance sheet, of the Company or any Restricted Subsidiary (other than contingent liabilities and liabilities that are by their terms subordinated to the Notes or any Note Guarantee) that are assumed by the transferee of any such assets pursuant to a customary novation agreement that releases the Company or such Restricted Subsidiary from further liability;</w:t>
      </w:r>
    </w:p>
    <w:p>
      <w:pPr>
        <w:spacing w:after="0" w:line="78" w:lineRule="exact"/>
        <w:rPr>
          <w:rFonts w:ascii="Arial" w:cs="Arial" w:eastAsia="Arial" w:hAnsi="Arial"/>
          <w:sz w:val="18"/>
          <w:szCs w:val="18"/>
          <w:color w:val="auto"/>
        </w:rPr>
      </w:pPr>
    </w:p>
    <w:p>
      <w:pPr>
        <w:ind w:left="1420" w:right="160" w:firstLine="391"/>
        <w:spacing w:after="0" w:line="263" w:lineRule="auto"/>
        <w:tabs>
          <w:tab w:leader="none" w:pos="2223" w:val="left"/>
        </w:tabs>
        <w:numPr>
          <w:ilvl w:val="2"/>
          <w:numId w:val="270"/>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are, within 30 days of the receipt thereof, converted by the Company or such Restricted Subsidiary into cash, to the extent of the cash received in that conversion; and</w:t>
      </w:r>
    </w:p>
    <w:p>
      <w:pPr>
        <w:spacing w:after="0" w:line="75" w:lineRule="exact"/>
        <w:rPr>
          <w:rFonts w:ascii="Arial" w:cs="Arial" w:eastAsia="Arial" w:hAnsi="Arial"/>
          <w:sz w:val="18"/>
          <w:szCs w:val="18"/>
          <w:color w:val="auto"/>
        </w:rPr>
      </w:pPr>
    </w:p>
    <w:p>
      <w:pPr>
        <w:ind w:left="2240" w:hanging="429"/>
        <w:spacing w:after="0"/>
        <w:tabs>
          <w:tab w:leader="none" w:pos="2240" w:val="left"/>
        </w:tabs>
        <w:numPr>
          <w:ilvl w:val="2"/>
          <w:numId w:val="270"/>
        </w:numPr>
        <w:rPr>
          <w:rFonts w:ascii="Arial" w:cs="Arial" w:eastAsia="Arial" w:hAnsi="Arial"/>
          <w:sz w:val="18"/>
          <w:szCs w:val="18"/>
          <w:color w:val="auto"/>
        </w:rPr>
      </w:pPr>
      <w:r>
        <w:rPr>
          <w:rFonts w:ascii="Arial" w:cs="Arial" w:eastAsia="Arial" w:hAnsi="Arial"/>
          <w:sz w:val="18"/>
          <w:szCs w:val="18"/>
          <w:color w:val="auto"/>
        </w:rPr>
        <w:t>any stock or assets of the kind referred to in Section 4.10(b)(2) or Section 4.10(b)(4).</w:t>
      </w:r>
    </w:p>
    <w:p>
      <w:pPr>
        <w:spacing w:after="0" w:line="225" w:lineRule="exact"/>
        <w:rPr>
          <w:rFonts w:ascii="Arial" w:cs="Arial" w:eastAsia="Arial" w:hAnsi="Arial"/>
          <w:sz w:val="18"/>
          <w:szCs w:val="18"/>
          <w:color w:val="auto"/>
        </w:rPr>
      </w:pPr>
    </w:p>
    <w:p>
      <w:pPr>
        <w:ind w:right="660" w:firstLine="987"/>
        <w:spacing w:after="0" w:line="277" w:lineRule="auto"/>
        <w:tabs>
          <w:tab w:leader="none" w:pos="142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Within 360 days after the receipt of any Net Proceeds from an Asset Sale (including an Event of Loss), the Company or the applicable Restricted Subsidiary, as the case may be may apply such Net Proceeds:</w:t>
      </w:r>
    </w:p>
    <w:p>
      <w:pPr>
        <w:spacing w:after="0" w:line="62" w:lineRule="exact"/>
        <w:rPr>
          <w:rFonts w:ascii="Arial" w:cs="Arial" w:eastAsia="Arial" w:hAnsi="Arial"/>
          <w:sz w:val="18"/>
          <w:szCs w:val="18"/>
          <w:color w:val="auto"/>
        </w:rPr>
      </w:pPr>
    </w:p>
    <w:p>
      <w:pPr>
        <w:jc w:val="both"/>
        <w:ind w:left="980" w:right="40" w:firstLine="408"/>
        <w:spacing w:after="0" w:line="301" w:lineRule="auto"/>
        <w:tabs>
          <w:tab w:leader="none" w:pos="1771"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to repay (a) Indebtedness Incurred under Section 4.09(b)(1) and Section 4.09(b)(17), (b) other Indebtedness of the Company or a Subsidiary Guarantor secured by property and assets that are the subject of such Asset Sale, and, in each case, if the Indebtedness repaid is revolving credit Indebtedness, to correspondingly reduce commitments with respect thereto, (c) Indebtedness of a Restricted Subsidiary that is not a Subsidiary Guarantor or (d) the Notes pursuant to the redemption provisions of this Indenture;</w:t>
      </w:r>
    </w:p>
    <w:p>
      <w:pPr>
        <w:spacing w:after="0" w:line="49" w:lineRule="exact"/>
        <w:rPr>
          <w:rFonts w:ascii="Arial" w:cs="Arial" w:eastAsia="Arial" w:hAnsi="Arial"/>
          <w:sz w:val="16"/>
          <w:szCs w:val="16"/>
          <w:color w:val="auto"/>
        </w:rPr>
      </w:pPr>
    </w:p>
    <w:p>
      <w:pPr>
        <w:ind w:left="980" w:firstLine="408"/>
        <w:spacing w:after="0" w:line="254" w:lineRule="auto"/>
        <w:tabs>
          <w:tab w:leader="none" w:pos="177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another Permitted Business, or any Capital Stock of, a Person undertaking another Permitted Business, if, after giving effect to any such acquisition of Capital Stock, the Permitted Business is or becomes a Restricted Subsidiary of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such acquisition funded with any proceeds from an Event of Loss occurs within the date that is 545 days after receipt of the Net Proceeds from the relevant Event of Loss to the extent that a binding agreement to acquire such assets or Capital Stock is entered into on or prior to the date that is 360 days after receipt of the Net Proceeds from the relevant Event of Loss, and (b) if such acquisition is not consummated within the period set forth in clause (a), the Net Proceeds not so applied will be deemed to be Excess Proceeds);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440" w:top="274" w:right="499" w:bottom="1440" w:gutter="0" w:footer="0" w:header="0"/>
        </w:sectPr>
      </w:pPr>
    </w:p>
    <w:bookmarkStart w:id="272" w:name="page273"/>
    <w:bookmarkEnd w:id="272"/>
    <w:p>
      <w:pPr>
        <w:ind w:left="980" w:right="260" w:firstLine="408"/>
        <w:spacing w:after="0" w:line="259" w:lineRule="auto"/>
        <w:tabs>
          <w:tab w:leader="none" w:pos="1771" w:val="left"/>
        </w:tabs>
        <w:numPr>
          <w:ilvl w:val="1"/>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make a capital expenditure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capital expenditure funded with any proceeds from an Event of Loss occurs within the date that is 545 days after receipt of the Net Proceeds from the relevant Event of Loss to the extent that a binding agreement to make such capital expenditure is entered into on or prior to the date that is 360 days after receipt of the Net Proceeds from the relevant Event of Loss); or</w:t>
      </w:r>
    </w:p>
    <w:p>
      <w:pPr>
        <w:spacing w:after="0" w:line="78" w:lineRule="exact"/>
        <w:rPr>
          <w:rFonts w:ascii="Arial" w:cs="Arial" w:eastAsia="Arial" w:hAnsi="Arial"/>
          <w:sz w:val="18"/>
          <w:szCs w:val="18"/>
          <w:color w:val="auto"/>
        </w:rPr>
      </w:pPr>
    </w:p>
    <w:p>
      <w:pPr>
        <w:ind w:left="980" w:right="20" w:firstLine="408"/>
        <w:spacing w:after="0" w:line="296" w:lineRule="auto"/>
        <w:tabs>
          <w:tab w:leader="none" w:pos="177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U.S. GAAP and that are used or useful in a Permitted Business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 such acquisition funded from an Event of Loss occurs within the date that is 545 days after receipt of the Net Proceeds from the relevant Event of Loss to the extent that a binding agreement to acquire such assets is entered into on or prior to the date that is 360 days after receipt of the Net Proceeds from the relevant Event of Loss, and (b) if such acquisition is not consummated within the period set forth in clause (a), the Net Proceeds not so applied will be deemed to be Excess Proceeds); or</w:t>
      </w:r>
    </w:p>
    <w:p>
      <w:pPr>
        <w:spacing w:after="0" w:line="53" w:lineRule="exact"/>
        <w:rPr>
          <w:rFonts w:ascii="Arial" w:cs="Arial" w:eastAsia="Arial" w:hAnsi="Arial"/>
          <w:sz w:val="16"/>
          <w:szCs w:val="16"/>
          <w:color w:val="auto"/>
        </w:rPr>
      </w:pPr>
    </w:p>
    <w:p>
      <w:pPr>
        <w:ind w:left="980" w:right="180" w:firstLine="408"/>
        <w:spacing w:after="0" w:line="285" w:lineRule="auto"/>
        <w:tabs>
          <w:tab w:leader="none" w:pos="177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 xml:space="preserve">enter into a binding commitment regarding clauses (2), (3) or (4) above (in addition to the binding commitments expressly referenced in those clauses);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binding commitment shall be treated as a permitted application of Net Proceeds from the date of such commitment until the earlier of (x) the date on which such acquisition or expenditure is consummated and (y) the 180th day following the expiration of the aforementioned 360-day period. To the extent such acquisition or expenditure is not consummated on or before such 180th day and the Company or such Restricted Subsidiary shall not have applied such Net Proceeds pursuant to clauses (2),</w:t>
      </w:r>
    </w:p>
    <w:p>
      <w:pPr>
        <w:spacing w:after="0" w:line="1" w:lineRule="exact"/>
        <w:rPr>
          <w:rFonts w:ascii="Arial" w:cs="Arial" w:eastAsia="Arial" w:hAnsi="Arial"/>
          <w:sz w:val="16"/>
          <w:szCs w:val="16"/>
          <w:color w:val="auto"/>
        </w:rPr>
      </w:pPr>
    </w:p>
    <w:p>
      <w:pPr>
        <w:ind w:left="980" w:right="100" w:firstLine="7"/>
        <w:spacing w:after="0" w:line="260" w:lineRule="auto"/>
        <w:tabs>
          <w:tab w:leader="none" w:pos="123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or (4) above on or before such 180th day, such commitment shall be deemed not to have been a permitted application of Net Proceeds, and such Net Proceeds will constitute Excess Proceeds.</w:t>
      </w:r>
    </w:p>
    <w:p>
      <w:pPr>
        <w:spacing w:after="0" w:line="185" w:lineRule="exact"/>
        <w:rPr>
          <w:sz w:val="20"/>
          <w:szCs w:val="20"/>
          <w:color w:val="auto"/>
        </w:rPr>
      </w:pPr>
    </w:p>
    <w:p>
      <w:pPr>
        <w:ind w:right="260" w:firstLine="987"/>
        <w:spacing w:after="0" w:line="277" w:lineRule="auto"/>
        <w:tabs>
          <w:tab w:leader="none" w:pos="137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Indenture.</w:t>
      </w:r>
    </w:p>
    <w:p>
      <w:pPr>
        <w:spacing w:after="0" w:line="170" w:lineRule="exact"/>
        <w:rPr>
          <w:rFonts w:ascii="Arial" w:cs="Arial" w:eastAsia="Arial" w:hAnsi="Arial"/>
          <w:sz w:val="18"/>
          <w:szCs w:val="18"/>
          <w:color w:val="auto"/>
        </w:rPr>
      </w:pPr>
    </w:p>
    <w:p>
      <w:pPr>
        <w:ind w:right="80" w:firstLine="987"/>
        <w:spacing w:after="0" w:line="271" w:lineRule="auto"/>
        <w:tabs>
          <w:tab w:leader="none" w:pos="1371"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Any Net Proceeds from Asset Sales that are not applied or invested as provided in the second paragraph of this Section 4.10 will constitute “Excess Proceeds.” When the aggregate amount of Excess Proceeds exceeds US$5.0 million, within ten (10) days thereof, the Company shall make an Asset Sale Offer to all Holders with respect to offers to purchase or redeem with the proceeds of sales of assets to purchase the maximum principal amount of Notes. The offer price in any Asset Sale Offer will be equal to 100% of the principal amount plus accrued and unpaid interest, if any, to the date of purchase, and will be payable in cash. If any Excess Proceeds remain after consummation of an Asset Sale Offer, the Company may use those Excess Proceeds for any purpose not otherwise prohibited by this Indenture. If the aggregate principal amount of Notes tendered into such Asset Sale Offer exceeds the amount of Excess Proceeds, the Company will purchase all tendered Notes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Upon completion of each Asset Sale Offer, the amount of Excess Proceeds will be reset at zero.</w:t>
      </w:r>
    </w:p>
    <w:p>
      <w:pPr>
        <w:spacing w:after="0" w:line="178" w:lineRule="exact"/>
        <w:rPr>
          <w:rFonts w:ascii="Arial" w:cs="Arial" w:eastAsia="Arial" w:hAnsi="Arial"/>
          <w:sz w:val="17"/>
          <w:szCs w:val="17"/>
          <w:color w:val="auto"/>
        </w:rPr>
      </w:pPr>
    </w:p>
    <w:p>
      <w:pPr>
        <w:ind w:firstLine="987"/>
        <w:spacing w:after="0" w:line="257" w:lineRule="auto"/>
        <w:tabs>
          <w:tab w:leader="none" w:pos="136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to the extent such laws or regulations are applicable in connection with the repurchase of the Notes pursuant to an Asset Sale Offer. To the extent that the provisions of any securities laws or regulations conflict with the provisions of Section 3.09 hereof or this Section 4.10, the Company will comply with the applicable securities laws and regulations and shall not be deemed to have breached its obligations under Section 3.09 hereof or this Section 4.10 by virtue thereof.</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273" w:name="page274"/>
    <w:bookmarkEnd w:id="273"/>
    <w:p>
      <w:pPr>
        <w:ind w:left="440"/>
        <w:spacing w:after="0"/>
        <w:tabs>
          <w:tab w:leader="none" w:pos="1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4.11</w:t>
      </w:r>
      <w:r>
        <w:rPr>
          <w:sz w:val="20"/>
          <w:szCs w:val="20"/>
          <w:color w:val="auto"/>
        </w:rPr>
        <w:tab/>
      </w:r>
      <w:r>
        <w:rPr>
          <w:rFonts w:ascii="Arial" w:cs="Arial" w:eastAsia="Arial" w:hAnsi="Arial"/>
          <w:sz w:val="16"/>
          <w:szCs w:val="16"/>
          <w:i w:val="1"/>
          <w:iCs w:val="1"/>
          <w:color w:val="auto"/>
        </w:rPr>
        <w:t>Transactions with Affiliates.</w:t>
      </w:r>
    </w:p>
    <w:p>
      <w:pPr>
        <w:spacing w:after="0" w:line="117" w:lineRule="exact"/>
        <w:rPr>
          <w:sz w:val="20"/>
          <w:szCs w:val="20"/>
          <w:color w:val="auto"/>
        </w:rPr>
      </w:pPr>
    </w:p>
    <w:p>
      <w:pPr>
        <w:ind w:right="80" w:firstLine="987"/>
        <w:spacing w:after="0" w:line="259" w:lineRule="auto"/>
        <w:tabs>
          <w:tab w:leader="none" w:pos="136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w:t>
      </w:r>
      <w:r>
        <w:rPr>
          <w:rFonts w:ascii="Arial" w:cs="Arial" w:eastAsia="Arial" w:hAnsi="Arial"/>
          <w:sz w:val="18"/>
          <w:szCs w:val="18"/>
          <w:color w:val="auto"/>
        </w:rPr>
        <w:t>”), unless:</w:t>
      </w:r>
    </w:p>
    <w:p>
      <w:pPr>
        <w:spacing w:after="0" w:line="78" w:lineRule="exact"/>
        <w:rPr>
          <w:rFonts w:ascii="Arial" w:cs="Arial" w:eastAsia="Arial" w:hAnsi="Arial"/>
          <w:sz w:val="18"/>
          <w:szCs w:val="18"/>
          <w:color w:val="auto"/>
        </w:rPr>
      </w:pPr>
    </w:p>
    <w:p>
      <w:pPr>
        <w:ind w:left="980" w:right="100" w:firstLine="408"/>
        <w:spacing w:after="0" w:line="263" w:lineRule="auto"/>
        <w:tabs>
          <w:tab w:leader="none" w:pos="177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Company or the relevant Restricted Subsidiary than those that would have been obtained in a comparable transaction by the Company or such Restricted Subsidiary with a Person that is not an Affiliate of the Company; and</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117" w:lineRule="exact"/>
        <w:rPr>
          <w:rFonts w:ascii="Arial" w:cs="Arial" w:eastAsia="Arial" w:hAnsi="Arial"/>
          <w:sz w:val="18"/>
          <w:szCs w:val="18"/>
          <w:color w:val="auto"/>
        </w:rPr>
      </w:pPr>
    </w:p>
    <w:p>
      <w:pPr>
        <w:ind w:left="1420" w:right="40" w:firstLine="391"/>
        <w:spacing w:after="0" w:line="255" w:lineRule="auto"/>
        <w:tabs>
          <w:tab w:leader="none" w:pos="2233" w:val="left"/>
        </w:tabs>
        <w:numPr>
          <w:ilvl w:val="2"/>
          <w:numId w:val="275"/>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US$45.0 million, a resolution of the Board of Directors of the Company set forth in an Officer’s Certificate certifying that such Affiliate Transaction complies with this Section 4.11(a) and that such Affiliate Transaction has been approved by a majority of the disinterested members of the Board of Directors of the Company or, if the Board of Directors of the Company has no disinterested directors, approved in good faith by a majority of the members (or in the case of a single member, the sole member) of the Board of Directors of the Company; and</w:t>
      </w:r>
    </w:p>
    <w:p>
      <w:pPr>
        <w:spacing w:after="0" w:line="84" w:lineRule="exact"/>
        <w:rPr>
          <w:rFonts w:ascii="Arial" w:cs="Arial" w:eastAsia="Arial" w:hAnsi="Arial"/>
          <w:sz w:val="18"/>
          <w:szCs w:val="18"/>
          <w:color w:val="auto"/>
        </w:rPr>
      </w:pPr>
    </w:p>
    <w:p>
      <w:pPr>
        <w:ind w:left="1420" w:right="20" w:firstLine="391"/>
        <w:spacing w:after="0" w:line="257" w:lineRule="auto"/>
        <w:tabs>
          <w:tab w:leader="none" w:pos="2223" w:val="left"/>
        </w:tabs>
        <w:numPr>
          <w:ilvl w:val="2"/>
          <w:numId w:val="275"/>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US$60.0 million, an opinion as to the fairness to the Company or such Restricted Subsidiary of such Affiliate Transaction from a financial point of view issued by an accounting, appraisal or investment banking firm of international standing, or other recognized independent expert of national standing with experience appraising the terms and conditions of the type of transaction or series of related transactions.</w:t>
      </w:r>
    </w:p>
    <w:p>
      <w:pPr>
        <w:spacing w:after="0" w:line="187" w:lineRule="exact"/>
        <w:rPr>
          <w:rFonts w:ascii="Arial" w:cs="Arial" w:eastAsia="Arial" w:hAnsi="Arial"/>
          <w:sz w:val="18"/>
          <w:szCs w:val="18"/>
          <w:color w:val="auto"/>
        </w:rPr>
      </w:pPr>
    </w:p>
    <w:p>
      <w:pPr>
        <w:ind w:left="1380" w:hanging="393"/>
        <w:spacing w:after="0"/>
        <w:tabs>
          <w:tab w:leader="none" w:pos="13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following items will not be deemed to be Affiliate Transactions and, therefore, will not be subject to the provisions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4.11(a) hereof:</w:t>
      </w:r>
    </w:p>
    <w:p>
      <w:pPr>
        <w:spacing w:after="0" w:line="103" w:lineRule="exact"/>
        <w:rPr>
          <w:sz w:val="20"/>
          <w:szCs w:val="20"/>
          <w:color w:val="auto"/>
        </w:rPr>
      </w:pPr>
    </w:p>
    <w:p>
      <w:pPr>
        <w:ind w:left="980" w:right="20" w:firstLine="408"/>
        <w:spacing w:after="0" w:line="259" w:lineRule="auto"/>
        <w:tabs>
          <w:tab w:leader="none" w:pos="177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employment agreement, employee benefit plan (including compensation, retirement, disability, severance and other similar plan), officer or director indemnification, stock option or incentive plan or agreement, employee equity subscription agreement or any similar arrangement entered into by the Company or any of its Restricted Subsidiaries in the ordinary course of business and payments pursuant thereto;</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w:t>
      </w:r>
    </w:p>
    <w:p>
      <w:pPr>
        <w:spacing w:after="0" w:line="117" w:lineRule="exact"/>
        <w:rPr>
          <w:rFonts w:ascii="Arial" w:cs="Arial" w:eastAsia="Arial" w:hAnsi="Arial"/>
          <w:sz w:val="18"/>
          <w:szCs w:val="18"/>
          <w:color w:val="auto"/>
        </w:rPr>
      </w:pPr>
    </w:p>
    <w:p>
      <w:pPr>
        <w:ind w:left="980" w:right="540" w:firstLine="408"/>
        <w:spacing w:after="0" w:line="308" w:lineRule="auto"/>
        <w:tabs>
          <w:tab w:leader="none" w:pos="1771"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transactions with a Person (other than an Unrestricted Subsidiary) that is an Affiliate of the Company solely because the Company owns directly or through a Restricted Subsidiary, an Equity Interest in, or controls, such Person;</w:t>
      </w:r>
    </w:p>
    <w:p>
      <w:pPr>
        <w:spacing w:after="0" w:line="38" w:lineRule="exact"/>
        <w:rPr>
          <w:rFonts w:ascii="Arial" w:cs="Arial" w:eastAsia="Arial" w:hAnsi="Arial"/>
          <w:sz w:val="17"/>
          <w:szCs w:val="17"/>
          <w:color w:val="auto"/>
        </w:rPr>
      </w:pPr>
    </w:p>
    <w:p>
      <w:pPr>
        <w:ind w:left="980" w:right="280" w:firstLine="408"/>
        <w:spacing w:after="0" w:line="277" w:lineRule="auto"/>
        <w:tabs>
          <w:tab w:leader="none" w:pos="177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payment of reasonable officers’ and directors’ fees and reimbursement of expenses (including the provision of indemnity to officers and directors) to Persons who are not otherwise Affiliates of the Company;</w:t>
      </w:r>
    </w:p>
    <w:p>
      <w:pPr>
        <w:spacing w:after="0" w:line="62" w:lineRule="exact"/>
        <w:rPr>
          <w:rFonts w:ascii="Arial" w:cs="Arial" w:eastAsia="Arial" w:hAnsi="Arial"/>
          <w:sz w:val="18"/>
          <w:szCs w:val="18"/>
          <w:color w:val="auto"/>
        </w:rPr>
      </w:pPr>
    </w:p>
    <w:p>
      <w:pPr>
        <w:ind w:left="980" w:firstLine="408"/>
        <w:spacing w:after="0" w:line="277" w:lineRule="auto"/>
        <w:tabs>
          <w:tab w:leader="none" w:pos="177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Company to Affiliates of the Company or contribution to the common equity capital of the Company;</w:t>
      </w:r>
    </w:p>
    <w:p>
      <w:pPr>
        <w:spacing w:after="0" w:line="62" w:lineRule="exact"/>
        <w:rPr>
          <w:rFonts w:ascii="Arial" w:cs="Arial" w:eastAsia="Arial" w:hAnsi="Arial"/>
          <w:sz w:val="18"/>
          <w:szCs w:val="18"/>
          <w:color w:val="auto"/>
        </w:rPr>
      </w:pPr>
    </w:p>
    <w:p>
      <w:pPr>
        <w:ind w:left="980" w:right="340" w:firstLine="408"/>
        <w:spacing w:after="0" w:line="277" w:lineRule="auto"/>
        <w:tabs>
          <w:tab w:leader="none" w:pos="177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Restricted Payments (including any payments made under, pursuant to or in connection with the Services and Right to Use Agreement, the Reinvestment Agreement or the MSA) that do not violate Section 4.07 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40" w:top="274" w:right="499" w:bottom="1440" w:gutter="0" w:footer="0" w:header="0"/>
        </w:sectPr>
      </w:pPr>
    </w:p>
    <w:bookmarkStart w:id="274" w:name="page275"/>
    <w:bookmarkEnd w:id="274"/>
    <w:p>
      <w:pPr>
        <w:ind w:left="-7" w:firstLine="408"/>
        <w:spacing w:after="0" w:line="254" w:lineRule="auto"/>
        <w:tabs>
          <w:tab w:leader="none" w:pos="783" w:val="left"/>
        </w:tabs>
        <w:numPr>
          <w:ilvl w:val="1"/>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agreement or arrangement existing on the Issue Date, including any amendments, modifications, supplements, extensions, replacements, terminations or renewals (so long as any such agreement or arrangement together with all such amendments, modifications, supplements, extensions, replacements, terminations and renewals, taken as a whole, is not materially more disadvantageous to the Company and its Restricted Subsidiaries, taken as a whole, than the original agreement or arrangement as in effect on the Issue Date, unless any such amendments, modifications, supplements, extensions, replacements, terminations or renewals are imposed by any Gaming Authority or any other public authority, in each case having jurisdiction over the Studio City Casino, Melco Resorts Macau (or any other operator of the Studio City Casino), the Company or any of its Restricted Subsidiaries, including, but not limited to, the government of the Macau SAR);</w:t>
      </w:r>
    </w:p>
    <w:p>
      <w:pPr>
        <w:spacing w:after="0" w:line="83" w:lineRule="exact"/>
        <w:rPr>
          <w:rFonts w:ascii="Arial" w:cs="Arial" w:eastAsia="Arial" w:hAnsi="Arial"/>
          <w:sz w:val="18"/>
          <w:szCs w:val="18"/>
          <w:color w:val="auto"/>
        </w:rPr>
      </w:pPr>
    </w:p>
    <w:p>
      <w:pPr>
        <w:ind w:left="-7" w:right="20" w:firstLine="408"/>
        <w:spacing w:after="0" w:line="342" w:lineRule="auto"/>
        <w:tabs>
          <w:tab w:leader="none" w:pos="783" w:val="left"/>
        </w:tabs>
        <w:numPr>
          <w:ilvl w:val="1"/>
          <w:numId w:val="277"/>
        </w:numPr>
        <w:rPr>
          <w:rFonts w:ascii="Arial" w:cs="Arial" w:eastAsia="Arial" w:hAnsi="Arial"/>
          <w:sz w:val="16"/>
          <w:szCs w:val="16"/>
          <w:color w:val="auto"/>
        </w:rPr>
      </w:pPr>
      <w:r>
        <w:rPr>
          <w:rFonts w:ascii="Arial" w:cs="Arial" w:eastAsia="Arial" w:hAnsi="Arial"/>
          <w:sz w:val="16"/>
          <w:szCs w:val="16"/>
          <w:color w:val="auto"/>
        </w:rPr>
        <w:t>loans or advances to employees (including personnel who provide services to the Company or any of its Restricted Subsidiaries pursuant to the MSA) in the ordinary course of business not to exceed US$2.0 million in the aggregate at any one time outstanding;</w:t>
      </w:r>
    </w:p>
    <w:p>
      <w:pPr>
        <w:spacing w:after="0" w:line="15" w:lineRule="exact"/>
        <w:rPr>
          <w:rFonts w:ascii="Arial" w:cs="Arial" w:eastAsia="Arial" w:hAnsi="Arial"/>
          <w:sz w:val="16"/>
          <w:szCs w:val="16"/>
          <w:color w:val="auto"/>
        </w:rPr>
      </w:pPr>
    </w:p>
    <w:p>
      <w:pPr>
        <w:ind w:left="793" w:hanging="392"/>
        <w:spacing w:after="0"/>
        <w:tabs>
          <w:tab w:leader="none" w:pos="793" w:val="left"/>
        </w:tabs>
        <w:numPr>
          <w:ilvl w:val="1"/>
          <w:numId w:val="27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 w:firstLine="408"/>
        <w:spacing w:after="0" w:line="284" w:lineRule="auto"/>
        <w:tabs>
          <w:tab w:leader="none" w:pos="873" w:val="left"/>
        </w:tabs>
        <w:numPr>
          <w:ilvl w:val="1"/>
          <w:numId w:val="277"/>
        </w:numPr>
        <w:rPr>
          <w:rFonts w:ascii="Arial" w:cs="Arial" w:eastAsia="Arial" w:hAnsi="Arial"/>
          <w:sz w:val="16"/>
          <w:szCs w:val="16"/>
          <w:color w:val="auto"/>
        </w:rPr>
      </w:pPr>
      <w:r>
        <w:rPr>
          <w:rFonts w:ascii="Arial" w:cs="Arial" w:eastAsia="Arial" w:hAnsi="Arial"/>
          <w:sz w:val="16"/>
          <w:szCs w:val="16"/>
          <w:color w:val="auto"/>
        </w:rPr>
        <w:t>(a) transactions or arrangements under, pursuant to or in connection with the Services and Right to Use Agreement, the Reinvestment Agreement or the MSA, including any amendments, modifications, supplements, extensions, replacements, terminations or renewals thereof (so long as the Services and Right to Use Agreement and the Reinvestment Agreement, taken as a whole, or the MSA, respectively, together with all such amendments, modifications, supplements, extensions, replacements, terminations and renewals, taken as a whole, is not materially more disadvantageous to the Company and its Restricted Subsidiaries, taken as a whole, than the Services and Right to Use Agreement and the Reinvestment Agreement, taken as a whole, or the MSA, respectively, as in effect on the Issue Date or, as determined in good faith by the Board of Directors of the Company, would not materially and adversely affect the Company’s ability to make payments of principal of and interest on the Notes) and (b) other than with respect to transactions or arrangements subject to clause</w:t>
      </w:r>
    </w:p>
    <w:p>
      <w:pPr>
        <w:ind w:left="-7" w:right="20" w:firstLine="7"/>
        <w:spacing w:after="0" w:line="252" w:lineRule="auto"/>
        <w:tabs>
          <w:tab w:leader="none" w:pos="23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above, transactions or arrangements with customers, clients, suppliers or sellers of goods or services in the ordinary course of business, on terms that are fair to the Company or any of its Restricted Subsidiaries, as applicable, or are no less favorable than those that might reasonably have been obtained in a comparable transaction at such time on an arms-length basis from a Person that is not an Affiliate of the Company, in the case of each of (a) and (b), unless any such amendments, modifications, supplements, extensions, replacements, terminations or renewals are imposed by any Gaming Authority or any other public authority having jurisdiction over Melco Resorts Macau (or any other operator of the Studio City Casino), the Company or any of its Restricted Subsidiaries, including, but not limited to, the government of the Macau SAR;</w:t>
      </w:r>
    </w:p>
    <w:p>
      <w:pPr>
        <w:spacing w:after="0" w:line="84" w:lineRule="exact"/>
        <w:rPr>
          <w:rFonts w:ascii="Arial" w:cs="Arial" w:eastAsia="Arial" w:hAnsi="Arial"/>
          <w:sz w:val="18"/>
          <w:szCs w:val="18"/>
          <w:color w:val="auto"/>
        </w:rPr>
      </w:pPr>
    </w:p>
    <w:p>
      <w:pPr>
        <w:ind w:left="-7" w:right="520" w:firstLine="408"/>
        <w:spacing w:after="0" w:line="277" w:lineRule="auto"/>
        <w:tabs>
          <w:tab w:leader="none" w:pos="866"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execution of the Transactions, and the payment of all fees and expenses relating to the Transactions described in the Offering Memorandum;</w:t>
      </w:r>
    </w:p>
    <w:p>
      <w:pPr>
        <w:spacing w:after="0" w:line="62" w:lineRule="exact"/>
        <w:rPr>
          <w:rFonts w:ascii="Arial" w:cs="Arial" w:eastAsia="Arial" w:hAnsi="Arial"/>
          <w:sz w:val="18"/>
          <w:szCs w:val="18"/>
          <w:color w:val="auto"/>
        </w:rPr>
      </w:pPr>
    </w:p>
    <w:p>
      <w:pPr>
        <w:ind w:left="-7" w:right="140" w:firstLine="408"/>
        <w:spacing w:after="0" w:line="259" w:lineRule="auto"/>
        <w:tabs>
          <w:tab w:leader="none" w:pos="87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transactions or arrangements to be entered into in connection with the Property in the ordinary course of business (including, for the avoidance of doubt, transactions or arrangements necessary to conduct a Permitted Business) including any amendments, modifications, supplements, extensions, replacements, terminations or renewals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transactions or arrangements must comply with clauses 4.11(a)(1) and (a)(2)(A) hereof;</w:t>
      </w:r>
    </w:p>
    <w:p>
      <w:pPr>
        <w:spacing w:after="0" w:line="78" w:lineRule="exact"/>
        <w:rPr>
          <w:rFonts w:ascii="Arial" w:cs="Arial" w:eastAsia="Arial" w:hAnsi="Arial"/>
          <w:sz w:val="18"/>
          <w:szCs w:val="18"/>
          <w:color w:val="auto"/>
        </w:rPr>
      </w:pPr>
    </w:p>
    <w:p>
      <w:pPr>
        <w:ind w:left="-7" w:right="180" w:firstLine="408"/>
        <w:spacing w:after="0" w:line="257" w:lineRule="auto"/>
        <w:tabs>
          <w:tab w:leader="none" w:pos="87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transactions or arrangements duly approved by the Audit and Risk Committee of Studio City International so long as Studio City International is listed on the New York Stock Exchange or another internationally recognized stock exchange and the Company delivers to the Trustee a copy of the resolution of the Audit and Risk Committee of Studio City International annexed to an Officer’s Certificate certifying that such Affiliate Transaction complies with this clause (13) and that such Affiliate Transaction has been duly approved by the Audit and Risk Committee of Studio City International;</w:t>
      </w:r>
    </w:p>
    <w:p>
      <w:pPr>
        <w:spacing w:after="0" w:line="120"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9993"/>
          </w:cols>
          <w:pgMar w:left="1427" w:top="274" w:right="479" w:bottom="1440" w:gutter="0" w:footer="0" w:header="0"/>
        </w:sectPr>
      </w:pPr>
    </w:p>
    <w:bookmarkStart w:id="275" w:name="page276"/>
    <w:bookmarkEnd w:id="275"/>
    <w:p>
      <w:pPr>
        <w:ind w:left="980" w:right="420" w:firstLine="408"/>
        <w:spacing w:after="0" w:line="277" w:lineRule="auto"/>
        <w:tabs>
          <w:tab w:leader="none" w:pos="18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delivery and performance of any tax sharing agreement or the formation and maintenance of any consolidated group for tax, accounting or cash pooling or management purposes; and</w:t>
      </w:r>
    </w:p>
    <w:p>
      <w:pPr>
        <w:spacing w:after="0" w:line="62" w:lineRule="exact"/>
        <w:rPr>
          <w:rFonts w:ascii="Arial" w:cs="Arial" w:eastAsia="Arial" w:hAnsi="Arial"/>
          <w:sz w:val="18"/>
          <w:szCs w:val="18"/>
          <w:color w:val="auto"/>
        </w:rPr>
      </w:pPr>
    </w:p>
    <w:p>
      <w:pPr>
        <w:ind w:left="980" w:right="400" w:firstLine="408"/>
        <w:spacing w:after="0" w:line="277" w:lineRule="auto"/>
        <w:tabs>
          <w:tab w:leader="none" w:pos="18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provision by, between, among, to or from Persons who may be deemed Affiliates of group administrative, treasury, legal, accounting and similar services.</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i w:val="1"/>
          <w:iCs w:val="1"/>
          <w:color w:val="auto"/>
        </w:rPr>
        <w:t>Liens.</w:t>
      </w:r>
    </w:p>
    <w:p>
      <w:pPr>
        <w:spacing w:after="0" w:line="117"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The Company will not, and will not permit any of its Restricted Subsidiaries to, directly or indirectly, create, incur, assume or otherwise cause or suffer to exist or become effective any Lien of any kind securing Indebtedness on any asset now owned or hereafter acquired or any proceeds, income or profits therefrom or assign or convey any right to receive income therefrom, except Permitted Liens, or, if such Lien is not a Permitted Lien, unless the Notes and the Note Guarantees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so secured until such time as such obligations are no longer secured by a Lien.</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i w:val="1"/>
          <w:iCs w:val="1"/>
          <w:color w:val="auto"/>
        </w:rPr>
        <w:t>Business Activities.</w:t>
      </w:r>
    </w:p>
    <w:p>
      <w:pPr>
        <w:spacing w:after="0" w:line="117" w:lineRule="exact"/>
        <w:rPr>
          <w:sz w:val="20"/>
          <w:szCs w:val="20"/>
          <w:color w:val="auto"/>
        </w:rPr>
      </w:pPr>
    </w:p>
    <w:p>
      <w:pPr>
        <w:ind w:right="320" w:firstLine="991"/>
        <w:spacing w:after="0" w:line="308" w:lineRule="auto"/>
        <w:rPr>
          <w:sz w:val="20"/>
          <w:szCs w:val="20"/>
          <w:color w:val="auto"/>
        </w:rPr>
      </w:pPr>
      <w:r>
        <w:rPr>
          <w:rFonts w:ascii="Arial" w:cs="Arial" w:eastAsia="Arial" w:hAnsi="Arial"/>
          <w:sz w:val="17"/>
          <w:szCs w:val="17"/>
          <w:color w:val="auto"/>
        </w:rPr>
        <w:t>The Company will not, and will not permit any of its Restricted Subsidiaries to, engage in any business other than Permitted Business, except to such extent as would not be material to the Company and its Restricted Subsidiaries (taken as a whole).</w:t>
      </w:r>
    </w:p>
    <w:p>
      <w:pPr>
        <w:spacing w:after="0" w:line="25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i w:val="1"/>
          <w:iCs w:val="1"/>
          <w:color w:val="auto"/>
        </w:rPr>
        <w:t>Corporate Existence.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Subject to Article 5 hereof, the Company shall do or cause to be done all things necessary to preserve and keep in full force and effect:</w:t>
      </w:r>
    </w:p>
    <w:p>
      <w:pPr>
        <w:spacing w:after="0" w:line="140" w:lineRule="exact"/>
        <w:rPr>
          <w:sz w:val="20"/>
          <w:szCs w:val="20"/>
          <w:color w:val="auto"/>
        </w:rPr>
      </w:pPr>
    </w:p>
    <w:p>
      <w:pPr>
        <w:ind w:left="980" w:right="420" w:firstLine="408"/>
        <w:spacing w:after="0" w:line="342" w:lineRule="auto"/>
        <w:tabs>
          <w:tab w:leader="none" w:pos="1771"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15" w:lineRule="exact"/>
        <w:rPr>
          <w:rFonts w:ascii="Arial" w:cs="Arial" w:eastAsia="Arial" w:hAnsi="Arial"/>
          <w:sz w:val="16"/>
          <w:szCs w:val="16"/>
          <w:color w:val="auto"/>
        </w:rPr>
      </w:pPr>
    </w:p>
    <w:p>
      <w:pPr>
        <w:ind w:left="980" w:right="20" w:firstLine="408"/>
        <w:spacing w:after="0" w:line="301" w:lineRule="auto"/>
        <w:tabs>
          <w:tab w:leader="none" w:pos="1771"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and its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26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i w:val="1"/>
          <w:iCs w:val="1"/>
          <w:color w:val="auto"/>
        </w:rPr>
        <w:t>Offer to Repurchase upon Change of Control.</w:t>
      </w:r>
    </w:p>
    <w:p>
      <w:pPr>
        <w:spacing w:after="0" w:line="117" w:lineRule="exact"/>
        <w:rPr>
          <w:sz w:val="20"/>
          <w:szCs w:val="20"/>
          <w:color w:val="auto"/>
        </w:rPr>
      </w:pPr>
    </w:p>
    <w:p>
      <w:pPr>
        <w:ind w:firstLine="987"/>
        <w:spacing w:after="0" w:line="254" w:lineRule="auto"/>
        <w:tabs>
          <w:tab w:leader="none" w:pos="137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Upon the occurrence of a Change of Control, each Holder will have the right to require the Company to repurchase all or any part of such Holder’s Notes at a purchase price in cash equal to 101% of the principal amount thereof, plus accrued and unpaid interest and Additional Amounts, if any, to the date of repurchase (subject to the right of holders of record on the relevant record date to receive interest due on the relevant interest payment date), except to the extent the Company has previously or concurrently elected to redeem the Notes in full pursuant to Section 3.07 hereof. Within ten (10) days following any Change of Control, except to the extent that the Company has exercised its right to redeem the Notes by delivery of a notice of redemption pursuant to Section 3.03 hereof, the Company shall mail a notice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with a copy to the Trustee stating:</w:t>
      </w:r>
    </w:p>
    <w:p>
      <w:pPr>
        <w:spacing w:after="0" w:line="86" w:lineRule="exact"/>
        <w:rPr>
          <w:rFonts w:ascii="Arial" w:cs="Arial" w:eastAsia="Arial" w:hAnsi="Arial"/>
          <w:sz w:val="18"/>
          <w:szCs w:val="18"/>
          <w:color w:val="auto"/>
        </w:rPr>
      </w:pPr>
    </w:p>
    <w:p>
      <w:pPr>
        <w:ind w:left="980" w:right="60" w:firstLine="408"/>
        <w:spacing w:after="0" w:line="259" w:lineRule="auto"/>
        <w:tabs>
          <w:tab w:leader="none" w:pos="1771"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that a Change of Control has occurred and that such Holder has the right to require the Company to repurchase such Holder’s Notes at a repurchase price in cash equal to 101% of the principal amount thereof, plus accrued and unpaid interest to the date of repurchase (subject to the right of holders of record on a record date to receive interest on the relevant interest payment date (the “</w:t>
      </w:r>
      <w:r>
        <w:rPr>
          <w:rFonts w:ascii="Arial" w:cs="Arial" w:eastAsia="Arial" w:hAnsi="Arial"/>
          <w:sz w:val="18"/>
          <w:szCs w:val="18"/>
          <w:i w:val="1"/>
          <w:iCs w:val="1"/>
          <w:color w:val="auto"/>
        </w:rPr>
        <w:t>Change</w:t>
      </w:r>
      <w:r>
        <w:rPr>
          <w:rFonts w:ascii="Arial" w:cs="Arial" w:eastAsia="Arial" w:hAnsi="Arial"/>
          <w:sz w:val="18"/>
          <w:szCs w:val="18"/>
          <w:color w:val="auto"/>
        </w:rPr>
        <w:t xml:space="preserve"> </w:t>
      </w:r>
      <w:r>
        <w:rPr>
          <w:rFonts w:ascii="Arial" w:cs="Arial" w:eastAsia="Arial" w:hAnsi="Arial"/>
          <w:sz w:val="18"/>
          <w:szCs w:val="18"/>
          <w:i w:val="1"/>
          <w:iCs w:val="1"/>
          <w:color w:val="auto"/>
        </w:rPr>
        <w:t>of Control Payment</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40" w:top="274" w:right="479" w:bottom="1440" w:gutter="0" w:footer="0" w:header="0"/>
        </w:sectPr>
      </w:pPr>
    </w:p>
    <w:bookmarkStart w:id="276" w:name="page277"/>
    <w:bookmarkEnd w:id="276"/>
    <w:p>
      <w:pPr>
        <w:ind w:left="1784" w:hanging="392"/>
        <w:spacing w:after="0"/>
        <w:tabs>
          <w:tab w:leader="none" w:pos="1784" w:val="left"/>
        </w:tabs>
        <w:numPr>
          <w:ilvl w:val="1"/>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circumstances and relevant facts and financial information regarding such Change of Control;</w:t>
      </w:r>
    </w:p>
    <w:p>
      <w:pPr>
        <w:spacing w:after="0" w:line="117" w:lineRule="exact"/>
        <w:rPr>
          <w:rFonts w:ascii="Arial" w:cs="Arial" w:eastAsia="Arial" w:hAnsi="Arial"/>
          <w:sz w:val="18"/>
          <w:szCs w:val="18"/>
          <w:color w:val="auto"/>
        </w:rPr>
      </w:pPr>
    </w:p>
    <w:p>
      <w:pPr>
        <w:ind w:left="984" w:right="460" w:firstLine="408"/>
        <w:spacing w:after="0" w:line="277" w:lineRule="auto"/>
        <w:tabs>
          <w:tab w:leader="none" w:pos="177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repurchase date (which shall be no earlier than 30 days nor later than 60 days from the date such notice is mailed)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784" w:hanging="392"/>
        <w:spacing w:after="0"/>
        <w:tabs>
          <w:tab w:leader="none" w:pos="178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117" w:lineRule="exact"/>
        <w:rPr>
          <w:rFonts w:ascii="Arial" w:cs="Arial" w:eastAsia="Arial" w:hAnsi="Arial"/>
          <w:sz w:val="18"/>
          <w:szCs w:val="18"/>
          <w:color w:val="auto"/>
        </w:rPr>
      </w:pPr>
    </w:p>
    <w:p>
      <w:pPr>
        <w:ind w:left="984" w:right="160" w:firstLine="408"/>
        <w:spacing w:after="0" w:line="277" w:lineRule="auto"/>
        <w:tabs>
          <w:tab w:leader="none" w:pos="177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62" w:lineRule="exact"/>
        <w:rPr>
          <w:rFonts w:ascii="Arial" w:cs="Arial" w:eastAsia="Arial" w:hAnsi="Arial"/>
          <w:sz w:val="18"/>
          <w:szCs w:val="18"/>
          <w:color w:val="auto"/>
        </w:rPr>
      </w:pPr>
    </w:p>
    <w:p>
      <w:pPr>
        <w:ind w:left="984" w:firstLine="408"/>
        <w:spacing w:after="0" w:line="259" w:lineRule="auto"/>
        <w:tabs>
          <w:tab w:leader="none" w:pos="177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78" w:lineRule="exact"/>
        <w:rPr>
          <w:rFonts w:ascii="Arial" w:cs="Arial" w:eastAsia="Arial" w:hAnsi="Arial"/>
          <w:sz w:val="18"/>
          <w:szCs w:val="18"/>
          <w:color w:val="auto"/>
        </w:rPr>
      </w:pPr>
    </w:p>
    <w:p>
      <w:pPr>
        <w:jc w:val="both"/>
        <w:ind w:left="984" w:right="40" w:firstLine="408"/>
        <w:spacing w:after="0" w:line="259" w:lineRule="auto"/>
        <w:tabs>
          <w:tab w:leader="none" w:pos="177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Holders will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the Notes delivered for purchase, and a statement that such Holder is withdrawing his election to have the Notes purchased, and</w:t>
      </w:r>
    </w:p>
    <w:p>
      <w:pPr>
        <w:spacing w:after="0" w:line="78" w:lineRule="exact"/>
        <w:rPr>
          <w:rFonts w:ascii="Arial" w:cs="Arial" w:eastAsia="Arial" w:hAnsi="Arial"/>
          <w:sz w:val="18"/>
          <w:szCs w:val="18"/>
          <w:color w:val="auto"/>
        </w:rPr>
      </w:pPr>
    </w:p>
    <w:p>
      <w:pPr>
        <w:ind w:left="984" w:right="520" w:firstLine="408"/>
        <w:spacing w:after="0" w:line="342" w:lineRule="auto"/>
        <w:tabs>
          <w:tab w:leader="none" w:pos="1775" w:val="left"/>
        </w:tabs>
        <w:numPr>
          <w:ilvl w:val="1"/>
          <w:numId w:val="282"/>
        </w:numPr>
        <w:rPr>
          <w:rFonts w:ascii="Arial" w:cs="Arial" w:eastAsia="Arial" w:hAnsi="Arial"/>
          <w:sz w:val="16"/>
          <w:szCs w:val="16"/>
          <w:color w:val="auto"/>
        </w:rPr>
      </w:pPr>
      <w:r>
        <w:rPr>
          <w:rFonts w:ascii="Arial" w:cs="Arial" w:eastAsia="Arial" w:hAnsi="Arial"/>
          <w:sz w:val="16"/>
          <w:szCs w:val="16"/>
          <w:color w:val="auto"/>
        </w:rPr>
        <w:t xml:space="preserve">that Holders whose Notes are being purchased only in part will be issued new Notes equal in principal amount to the unpurchased portion of the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unpurchased portion has a minimum denomination of US$200,000.</w:t>
      </w:r>
    </w:p>
    <w:p>
      <w:pPr>
        <w:spacing w:after="0" w:line="123" w:lineRule="exact"/>
        <w:rPr>
          <w:rFonts w:ascii="Arial" w:cs="Arial" w:eastAsia="Arial" w:hAnsi="Arial"/>
          <w:sz w:val="16"/>
          <w:szCs w:val="16"/>
          <w:color w:val="auto"/>
        </w:rPr>
      </w:pPr>
    </w:p>
    <w:p>
      <w:pPr>
        <w:ind w:left="1384" w:hanging="393"/>
        <w:spacing w:after="0"/>
        <w:tabs>
          <w:tab w:leader="none" w:pos="138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117" w:lineRule="exact"/>
        <w:rPr>
          <w:rFonts w:ascii="Arial" w:cs="Arial" w:eastAsia="Arial" w:hAnsi="Arial"/>
          <w:sz w:val="18"/>
          <w:szCs w:val="18"/>
          <w:color w:val="auto"/>
        </w:rPr>
      </w:pPr>
    </w:p>
    <w:p>
      <w:pPr>
        <w:ind w:left="1784" w:hanging="392"/>
        <w:spacing w:after="0"/>
        <w:tabs>
          <w:tab w:leader="none" w:pos="178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984" w:right="180" w:firstLine="408"/>
        <w:spacing w:after="0" w:line="277" w:lineRule="auto"/>
        <w:tabs>
          <w:tab w:leader="none" w:pos="177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984" w:right="200" w:firstLine="408"/>
        <w:spacing w:after="0" w:line="308" w:lineRule="auto"/>
        <w:tabs>
          <w:tab w:leader="none" w:pos="1775" w:val="left"/>
        </w:tabs>
        <w:numPr>
          <w:ilvl w:val="1"/>
          <w:numId w:val="283"/>
        </w:numPr>
        <w:rPr>
          <w:rFonts w:ascii="Arial" w:cs="Arial" w:eastAsia="Arial" w:hAnsi="Arial"/>
          <w:sz w:val="17"/>
          <w:szCs w:val="17"/>
          <w:color w:val="auto"/>
        </w:rPr>
      </w:pPr>
      <w:r>
        <w:rPr>
          <w:rFonts w:ascii="Arial" w:cs="Arial" w:eastAsia="Arial" w:hAnsi="Arial"/>
          <w:sz w:val="17"/>
          <w:szCs w:val="17"/>
          <w:color w:val="auto"/>
        </w:rPr>
        <w:t>deliver or cause to be delivered to the Paying Agent the Notes properly accepted together with an Officer’s Certificate stating the aggregate principal amount of Notes or portions of Notes properly tendered and being purchased by the Company.</w:t>
      </w:r>
    </w:p>
    <w:p>
      <w:pPr>
        <w:spacing w:after="0" w:line="146"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 xml:space="preserve">The Paying Agent will promptly mail (but in any case not later than five (5) days after the Change of Control Payment Date) to each Holder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has a minimum denomination of US$200,000. The Company will publicly announce the results of the Change of Control Offer on or as soon as practicable after the Change of Control Payment Date.</w:t>
      </w:r>
    </w:p>
    <w:p>
      <w:pPr>
        <w:spacing w:after="0" w:line="188" w:lineRule="exact"/>
        <w:rPr>
          <w:sz w:val="20"/>
          <w:szCs w:val="20"/>
          <w:color w:val="auto"/>
        </w:rPr>
      </w:pPr>
    </w:p>
    <w:p>
      <w:pPr>
        <w:ind w:left="4" w:right="160" w:firstLine="987"/>
        <w:spacing w:after="0" w:line="287" w:lineRule="auto"/>
        <w:tabs>
          <w:tab w:leader="none" w:pos="1375" w:val="left"/>
        </w:tabs>
        <w:numPr>
          <w:ilvl w:val="1"/>
          <w:numId w:val="28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4.15, the Company will not be required to make a Change of Control Offer upon a Change of Control if (1) a third party makes the Change of Control Offer in the manner, at the times and otherwise in compliance with the requirements set forth in this Section 4.15 hereof and purchases all Notes properly tendered and not withdrawn under the Change of Control Offer, or</w:t>
      </w:r>
    </w:p>
    <w:p>
      <w:pPr>
        <w:spacing w:after="0" w:line="2" w:lineRule="exact"/>
        <w:rPr>
          <w:rFonts w:ascii="Arial" w:cs="Arial" w:eastAsia="Arial" w:hAnsi="Arial"/>
          <w:sz w:val="16"/>
          <w:szCs w:val="16"/>
          <w:color w:val="auto"/>
        </w:rPr>
      </w:pPr>
    </w:p>
    <w:p>
      <w:pPr>
        <w:ind w:left="4" w:right="420" w:hanging="4"/>
        <w:spacing w:after="0" w:line="260" w:lineRule="auto"/>
        <w:tabs>
          <w:tab w:leader="none" w:pos="25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notice of redemption has been given pursuant to Section 3.03 hereof, unless and until there is a default in payment of the applicable redemption price.</w:t>
      </w:r>
    </w:p>
    <w:p>
      <w:pPr>
        <w:spacing w:after="0" w:line="185" w:lineRule="exact"/>
        <w:rPr>
          <w:rFonts w:ascii="Arial" w:cs="Arial" w:eastAsia="Arial" w:hAnsi="Arial"/>
          <w:sz w:val="18"/>
          <w:szCs w:val="18"/>
          <w:color w:val="auto"/>
        </w:rPr>
      </w:pPr>
    </w:p>
    <w:p>
      <w:pPr>
        <w:ind w:left="4" w:right="420" w:firstLine="987"/>
        <w:spacing w:after="0" w:line="277" w:lineRule="auto"/>
        <w:tabs>
          <w:tab w:leader="none" w:pos="137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Change of Control Offer may be made in advance of a Change of Control, and conditioned upon such Change of Control, if a definitive agreement is in place for the Change of Control at the time of making of the Change of Control Offer.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277" w:name="page278"/>
    <w:bookmarkEnd w:id="277"/>
    <w:p>
      <w:pPr>
        <w:ind w:right="20" w:firstLine="987"/>
        <w:spacing w:after="0" w:line="277" w:lineRule="auto"/>
        <w:tabs>
          <w:tab w:leader="none" w:pos="1371"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repurchased by the Company pursuant to a Change of Control Offer will be retired and cancelled at the option of the Company. Notes purchased by a third party pursuant to the preceding paragraph will have the status of Notes issued and outstanding.</w:t>
      </w:r>
    </w:p>
    <w:p>
      <w:pPr>
        <w:spacing w:after="0" w:line="170" w:lineRule="exact"/>
        <w:rPr>
          <w:rFonts w:ascii="Arial" w:cs="Arial" w:eastAsia="Arial" w:hAnsi="Arial"/>
          <w:sz w:val="18"/>
          <w:szCs w:val="18"/>
          <w:color w:val="auto"/>
        </w:rPr>
      </w:pPr>
    </w:p>
    <w:p>
      <w:pPr>
        <w:jc w:val="both"/>
        <w:ind w:right="540" w:firstLine="987"/>
        <w:spacing w:after="0" w:line="301" w:lineRule="auto"/>
        <w:tabs>
          <w:tab w:leader="none" w:pos="1348"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Company will comply, to the extent applicable, with the requirements of Section 14(e) of the Exchange Act and any other securities laws or regulations in connection with the repurchase of the Notes pursuant to this Section 4.15. To the extent that the provisions of any securities laws or regulations conflict with the provisions of this Section 4.15, the Company will comply with the applicable securities laws and regulations and will not be deemed to have breached its obligations under this Section 4.15 by virtue of such compliance.</w:t>
      </w:r>
    </w:p>
    <w:p>
      <w:pPr>
        <w:spacing w:after="0" w:line="26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5"/>
          <w:szCs w:val="15"/>
          <w:i w:val="1"/>
          <w:iCs w:val="1"/>
          <w:color w:val="auto"/>
        </w:rPr>
        <w:t>Payments for Consents.</w:t>
      </w:r>
    </w:p>
    <w:p>
      <w:pPr>
        <w:spacing w:after="0" w:line="117"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The Company will not, and will not permit any of its Restricted Subsidiaries to, directly or indirectly, pay or cause to be paid any consideration to or for the benefit of any Holder for or as an inducement to any consent, waiver or amendment of any of the terms or provisions of this Indenture, the Notes or the Note Guarantees unless such consideration is (1) offered to be paid; and (2) is paid to all Holders that consent, waive or agree to amend within the time frame and on the terms set forth in the solicitation documents relating to such consent, waiver or agreement.</w:t>
      </w:r>
    </w:p>
    <w:p>
      <w:pPr>
        <w:spacing w:after="0" w:line="15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Notwithstanding the foregoing, in any offer or payment of consideration for, or as an inducement to, any consent, waiver or amendment of any of the terms or provisions of this Indenture or the Notes in connection with an exchange offer, the Company and any of the Restricted Subsidiaries may exclude (a) in connection with an exchange offer, holders or beneficial owners of the Notes that are not “qualified institutional buyers” as defined in Rule 144A under the Securities Act, and (b) in connection with any consent, waiver or amendment, holders or beneficial owners of the Notes in any jurisdiction where the inclusion of such holders or beneficial owners would require the Company or any of its Restricted Subsidiaries to (i) file a registration statement, prospectus or similar document or subject the Company or any of its Restricted Subsidiaries to ongoing periodic reporting or similar requirements under any securities laws (including but not limited to, the United States federal securities laws and the laws of the European Union or its member states), (ii) qualify as a foreign corporation or other entity as a dealer in securities in such jurisdiction if it is not otherwise required to so qualify, (iii) generally consent to service of process in any such jurisdiction or (iv) subject the Company or any of its Restricted Subsidiaries to taxation in any such jurisdiction if it is not otherwise so subject, or the solicitation of such consent, waiver or amendment from, or the granting of such consent or waiver, or the approval of such amendment by, holders or beneficial owners in such jurisdiction would be unlawful, in each case as determined by the Company in its sole discretion.</w:t>
      </w:r>
    </w:p>
    <w:p>
      <w:pPr>
        <w:spacing w:after="0" w:line="28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i w:val="1"/>
          <w:iCs w:val="1"/>
          <w:color w:val="auto"/>
        </w:rPr>
        <w:t>Future Subsidiary Guarantors.</w:t>
      </w:r>
    </w:p>
    <w:p>
      <w:pPr>
        <w:spacing w:after="0" w:line="117" w:lineRule="exact"/>
        <w:rPr>
          <w:sz w:val="20"/>
          <w:szCs w:val="20"/>
          <w:color w:val="auto"/>
        </w:rPr>
      </w:pPr>
    </w:p>
    <w:p>
      <w:pPr>
        <w:ind w:right="20" w:firstLine="987"/>
        <w:spacing w:after="0" w:line="259" w:lineRule="auto"/>
        <w:tabs>
          <w:tab w:leader="none" w:pos="137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the Company or any of its Restricted Subsidiaries acquires or creates another Subsidiary after the Issue Date, then the Company shall cause such newly acquired or created Subsidiary to become a Subsidiary Guarantor (in the event that such Subsidiary provides a guarantee of any other Indebtedness of the Company or a Subsidiary Guarantor of the type specified under clauses (1) or (2) of the definition of “Indebtedness”), at which time such Subsidiary shall:</w:t>
      </w:r>
    </w:p>
    <w:p>
      <w:pPr>
        <w:spacing w:after="0" w:line="78" w:lineRule="exact"/>
        <w:rPr>
          <w:rFonts w:ascii="Arial" w:cs="Arial" w:eastAsia="Arial" w:hAnsi="Arial"/>
          <w:sz w:val="18"/>
          <w:szCs w:val="18"/>
          <w:color w:val="auto"/>
        </w:rPr>
      </w:pPr>
    </w:p>
    <w:p>
      <w:pPr>
        <w:ind w:left="980" w:right="100" w:firstLine="408"/>
        <w:spacing w:after="0" w:line="263" w:lineRule="auto"/>
        <w:tabs>
          <w:tab w:leader="none" w:pos="1771" w:val="left"/>
        </w:tabs>
        <w:numPr>
          <w:ilvl w:val="1"/>
          <w:numId w:val="287"/>
        </w:numPr>
        <w:rPr>
          <w:rFonts w:ascii="Arial" w:cs="Arial" w:eastAsia="Arial" w:hAnsi="Arial"/>
          <w:sz w:val="18"/>
          <w:szCs w:val="18"/>
          <w:color w:val="auto"/>
        </w:rPr>
      </w:pPr>
      <w:r>
        <w:rPr>
          <w:rFonts w:ascii="Arial" w:cs="Arial" w:eastAsia="Arial" w:hAnsi="Arial"/>
          <w:sz w:val="18"/>
          <w:szCs w:val="18"/>
          <w:color w:val="auto"/>
        </w:rPr>
        <w:t>execute a supplemental indenture in the form attached as Exhibit D hereto pursuant to which such Subsidiary shall unconditionally guarantee, on a senior basis, all of the Company’s Obligations under this Indenture and the Notes on the terms set forth in this Indenture;</w:t>
      </w:r>
    </w:p>
    <w:p>
      <w:pPr>
        <w:spacing w:after="0" w:line="75" w:lineRule="exact"/>
        <w:rPr>
          <w:rFonts w:ascii="Arial" w:cs="Arial" w:eastAsia="Arial" w:hAnsi="Arial"/>
          <w:sz w:val="18"/>
          <w:szCs w:val="18"/>
          <w:color w:val="auto"/>
        </w:rPr>
      </w:pPr>
    </w:p>
    <w:p>
      <w:pPr>
        <w:ind w:left="980" w:right="60" w:firstLine="408"/>
        <w:spacing w:after="0" w:line="277" w:lineRule="auto"/>
        <w:tabs>
          <w:tab w:leader="none" w:pos="1771"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take such further action and execute and deliver such other documents as otherwise may be reasonably requested by the Trustee to give effect to the foregoing; and</w:t>
      </w:r>
    </w:p>
    <w:p>
      <w:pPr>
        <w:spacing w:after="0" w:line="62" w:lineRule="exact"/>
        <w:rPr>
          <w:rFonts w:ascii="Arial" w:cs="Arial" w:eastAsia="Arial" w:hAnsi="Arial"/>
          <w:sz w:val="18"/>
          <w:szCs w:val="18"/>
          <w:color w:val="auto"/>
        </w:rPr>
      </w:pPr>
    </w:p>
    <w:p>
      <w:pPr>
        <w:jc w:val="both"/>
        <w:ind w:left="980" w:right="500" w:firstLine="408"/>
        <w:spacing w:after="0" w:line="263" w:lineRule="auto"/>
        <w:tabs>
          <w:tab w:leader="none" w:pos="1771"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deliver to the Trustee an Opinion of Counsel that (i) such supplemental indenture and any other documents required to be delivered have been duly authorized, executed and delivered by such Subsidiary and constitute legal, valid, binding and enforceable Obligations of such Subsidiary.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278" w:name="page279"/>
    <w:bookmarkEnd w:id="278"/>
    <w:p>
      <w:pPr>
        <w:ind w:right="100" w:firstLine="987"/>
        <w:spacing w:after="0" w:line="277" w:lineRule="auto"/>
        <w:tabs>
          <w:tab w:leader="none" w:pos="1381"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any Guarantee of the Notes created pursuant to the provisions described in paragraph (a) above may provide by its terms that it will be automatically and unconditionally released and discharged upon:</w:t>
      </w:r>
    </w:p>
    <w:p>
      <w:pPr>
        <w:spacing w:after="0" w:line="62" w:lineRule="exact"/>
        <w:rPr>
          <w:rFonts w:ascii="Arial" w:cs="Arial" w:eastAsia="Arial" w:hAnsi="Arial"/>
          <w:sz w:val="18"/>
          <w:szCs w:val="18"/>
          <w:color w:val="auto"/>
        </w:rPr>
      </w:pPr>
    </w:p>
    <w:p>
      <w:pPr>
        <w:ind w:left="980" w:right="20" w:firstLine="408"/>
        <w:spacing w:after="0" w:line="259" w:lineRule="auto"/>
        <w:tabs>
          <w:tab w:leader="none" w:pos="1771" w:val="left"/>
        </w:tabs>
        <w:numPr>
          <w:ilvl w:val="1"/>
          <w:numId w:val="288"/>
        </w:numPr>
        <w:rPr>
          <w:rFonts w:ascii="Arial" w:cs="Arial" w:eastAsia="Arial" w:hAnsi="Arial"/>
          <w:sz w:val="18"/>
          <w:szCs w:val="18"/>
          <w:color w:val="auto"/>
        </w:rPr>
      </w:pPr>
      <w:r>
        <w:rPr>
          <w:rFonts w:ascii="Arial" w:cs="Arial" w:eastAsia="Arial" w:hAnsi="Arial"/>
          <w:sz w:val="18"/>
          <w:szCs w:val="18"/>
          <w:color w:val="auto"/>
        </w:rPr>
        <w:t>(with respect to any Guarantee created after the date of this Indenture) the release by the holders of the Company’s or the Subsidiary Guarantor’s Indebtedness described in paragraph (a) above, of their guarantee by such Restricted Subsidiary (including any deemed release upon payment in full of all obligations under such Indebtedness other than as a result of payment under such guarantee), at a time when:</w:t>
      </w:r>
    </w:p>
    <w:p>
      <w:pPr>
        <w:spacing w:after="0" w:line="78" w:lineRule="exact"/>
        <w:rPr>
          <w:rFonts w:ascii="Arial" w:cs="Arial" w:eastAsia="Arial" w:hAnsi="Arial"/>
          <w:sz w:val="18"/>
          <w:szCs w:val="18"/>
          <w:color w:val="auto"/>
        </w:rPr>
      </w:pPr>
    </w:p>
    <w:p>
      <w:pPr>
        <w:ind w:left="1420" w:right="540" w:firstLine="391"/>
        <w:spacing w:after="0" w:line="277" w:lineRule="auto"/>
        <w:tabs>
          <w:tab w:leader="none" w:pos="2233" w:val="left"/>
        </w:tabs>
        <w:numPr>
          <w:ilvl w:val="2"/>
          <w:numId w:val="288"/>
        </w:numPr>
        <w:rPr>
          <w:rFonts w:ascii="Arial" w:cs="Arial" w:eastAsia="Arial" w:hAnsi="Arial"/>
          <w:sz w:val="18"/>
          <w:szCs w:val="18"/>
          <w:color w:val="auto"/>
        </w:rPr>
      </w:pPr>
      <w:r>
        <w:rPr>
          <w:rFonts w:ascii="Arial" w:cs="Arial" w:eastAsia="Arial" w:hAnsi="Arial"/>
          <w:sz w:val="18"/>
          <w:szCs w:val="18"/>
          <w:color w:val="auto"/>
        </w:rPr>
        <w:t>no other Indebtedness of either the Company or any Subsidiary Guarantor has been guaranteed by such Restricted Subsidiary; or</w:t>
      </w:r>
    </w:p>
    <w:p>
      <w:pPr>
        <w:spacing w:after="0" w:line="62" w:lineRule="exact"/>
        <w:rPr>
          <w:rFonts w:ascii="Arial" w:cs="Arial" w:eastAsia="Arial" w:hAnsi="Arial"/>
          <w:sz w:val="18"/>
          <w:szCs w:val="18"/>
          <w:color w:val="auto"/>
        </w:rPr>
      </w:pPr>
    </w:p>
    <w:p>
      <w:pPr>
        <w:jc w:val="both"/>
        <w:ind w:left="1420" w:firstLine="391"/>
        <w:spacing w:after="0" w:line="263" w:lineRule="auto"/>
        <w:tabs>
          <w:tab w:leader="none" w:pos="2223" w:val="left"/>
        </w:tabs>
        <w:numPr>
          <w:ilvl w:val="2"/>
          <w:numId w:val="288"/>
        </w:numPr>
        <w:rPr>
          <w:rFonts w:ascii="Arial" w:cs="Arial" w:eastAsia="Arial" w:hAnsi="Arial"/>
          <w:sz w:val="18"/>
          <w:szCs w:val="18"/>
          <w:color w:val="auto"/>
        </w:rPr>
      </w:pPr>
      <w:r>
        <w:rPr>
          <w:rFonts w:ascii="Arial" w:cs="Arial" w:eastAsia="Arial" w:hAnsi="Arial"/>
          <w:sz w:val="18"/>
          <w:szCs w:val="18"/>
          <w:color w:val="auto"/>
        </w:rPr>
        <w:t>the holders of all such other Indebtedness that is guaranteed by such Restricted Subsidiary also release their guarantee by such Restricted Subsidiary (including any deemed release upon payment in full of all obligations under such Indebtedness other than as a result of payment under such guarantee); or</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the release of the Note Guarantees on the terms and conditions and in the circumstances described in Section 11.08 hereof.</w:t>
      </w:r>
    </w:p>
    <w:p>
      <w:pPr>
        <w:spacing w:after="0" w:line="248" w:lineRule="exact"/>
        <w:rPr>
          <w:rFonts w:ascii="Arial" w:cs="Arial" w:eastAsia="Arial" w:hAnsi="Arial"/>
          <w:sz w:val="16"/>
          <w:szCs w:val="16"/>
          <w:color w:val="auto"/>
        </w:rPr>
      </w:pPr>
    </w:p>
    <w:p>
      <w:pPr>
        <w:ind w:right="40" w:firstLine="987"/>
        <w:spacing w:after="0" w:line="291" w:lineRule="auto"/>
        <w:tabs>
          <w:tab w:leader="none" w:pos="137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Each additional Note Guarantee will be limited as necessary to recognize certain defences generally available to guarantors (including those that relate to fraudulent conveyance or transfer, voidable preference, financial assistance, corporate purpose, capital maintenance or similar laws, regulations or defences affecting the rights of creditors generally) or other considerations under applicable law. Notwithstanding Section 4.17(a) hereof, the Company shall not be obligated to cause such Restricted Subsidiary to Guarantee the Notes to the extent that such Guarantee by such Restricted Subsidiary would reasonably be expected to give rise to or result in (i) any liability for the officers, directors or shareholders of such Restricted Subsidiary or (ii) any significant cost, expense, liability or obligation (including with respect of any Taxes, but excluding any reasonable guarantee or similar fee payable to the Company or a Restricted Subsidiary of the Company) other than reasonable out of pocket expenses.</w:t>
      </w:r>
    </w:p>
    <w:p>
      <w:pPr>
        <w:spacing w:after="0" w:line="27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4.18</w:t>
      </w:r>
      <w:r>
        <w:rPr>
          <w:sz w:val="20"/>
          <w:szCs w:val="20"/>
          <w:color w:val="auto"/>
        </w:rPr>
        <w:tab/>
      </w:r>
      <w:r>
        <w:rPr>
          <w:rFonts w:ascii="Arial" w:cs="Arial" w:eastAsia="Arial" w:hAnsi="Arial"/>
          <w:sz w:val="16"/>
          <w:szCs w:val="16"/>
          <w:i w:val="1"/>
          <w:iCs w:val="1"/>
          <w:color w:val="auto"/>
        </w:rPr>
        <w:t>Designation of Restricted and Unrestricted Subsidiaries.</w:t>
      </w:r>
    </w:p>
    <w:p>
      <w:pPr>
        <w:spacing w:after="0" w:line="117" w:lineRule="exact"/>
        <w:rPr>
          <w:sz w:val="20"/>
          <w:szCs w:val="20"/>
          <w:color w:val="auto"/>
        </w:rPr>
      </w:pPr>
    </w:p>
    <w:p>
      <w:pPr>
        <w:ind w:right="180" w:firstLine="991"/>
        <w:spacing w:after="0" w:line="289" w:lineRule="auto"/>
        <w:rPr>
          <w:sz w:val="20"/>
          <w:szCs w:val="20"/>
          <w:color w:val="auto"/>
        </w:rPr>
      </w:pPr>
      <w:r>
        <w:rPr>
          <w:rFonts w:ascii="Arial" w:cs="Arial" w:eastAsia="Arial" w:hAnsi="Arial"/>
          <w:sz w:val="16"/>
          <w:szCs w:val="16"/>
          <w:color w:val="auto"/>
        </w:rPr>
        <w:t xml:space="preserve">The Board of Directors of the Company may designate any Restricted Subsidiary to be an Unrestricted Subsidiary if that designation would not cause a Default;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 no event will the business currently operated by the Company, Studio City Developments Limited, Studio City Entertainment Limited or Studio City Hotels Limited be transferred to or held by an Unrestricted Subsidiary.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Section 4.07 hereof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Board of Directors of the Company may re-designate any Unrestricted Subsidiary to be a Restricted Subsidiary if that re-designation would not cause a Default.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274" w:right="479" w:bottom="1440" w:gutter="0" w:footer="0" w:header="0"/>
        </w:sectPr>
      </w:pPr>
    </w:p>
    <w:bookmarkStart w:id="279" w:name="page280"/>
    <w:bookmarkEnd w:id="279"/>
    <w:p>
      <w:pPr>
        <w:ind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designation of a Subsidiary of the Company as an Unrestricted Subsidiary will be evidenced to the Trustee by filing with the Trustee a certified copy of a resolution of the Board of Directors of the Company giving effect to such designation and an Officer’s Certificate of the Company certifying that such designation complied with the preceding conditions and was permitted by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Section 4.09 hereof, the Company will be in Default of such covenant. The Board of Directors of the Company may at any time designate any Unrestricted Subsidiary to be a Restricted Subsidiary of the Company;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such designation will be deemed to be an Incurrence of Indebtedness by a Restricted Subsidiary of the Company of any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Indebtedness of such Unrestricted Subsidiary, and such designation will only be permitted if (1) such Indebtedness is permitted under Section 4.09 hereof,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designation had occurred at the beginning of the reference period; and (2) no Default or Event of Default would be in existence following such designation. On such designation, the Company shall deliver an Officer’s Certificate of the Company to the Trustee regarding such designation and certifying that such designation complies with the preceding conditions and the relevant covenants under this Indenture.</w:t>
      </w:r>
    </w:p>
    <w:p>
      <w:pPr>
        <w:spacing w:after="0" w:line="29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4.19</w:t>
      </w:r>
      <w:r>
        <w:rPr>
          <w:sz w:val="20"/>
          <w:szCs w:val="20"/>
          <w:color w:val="auto"/>
        </w:rPr>
        <w:tab/>
      </w:r>
      <w:r>
        <w:rPr>
          <w:rFonts w:ascii="Arial" w:cs="Arial" w:eastAsia="Arial" w:hAnsi="Arial"/>
          <w:sz w:val="17"/>
          <w:szCs w:val="17"/>
          <w:i w:val="1"/>
          <w:iCs w:val="1"/>
          <w:color w:val="auto"/>
        </w:rPr>
        <w:t>Listing.</w:t>
      </w:r>
    </w:p>
    <w:p>
      <w:pPr>
        <w:spacing w:after="0" w:line="11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Company will use its commercially reasonable efforts to list and maintain the listing and quotation of the Notes on the Official List of the Singapore Exchange Securities Trading Limited or another comparable exchange.</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6"/>
          <w:szCs w:val="16"/>
          <w:i w:val="1"/>
          <w:iCs w:val="1"/>
          <w:color w:val="auto"/>
        </w:rPr>
        <w:t>Limitations on Use of Proceeds</w:t>
      </w:r>
    </w:p>
    <w:p>
      <w:pPr>
        <w:spacing w:after="0" w:line="11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Company will not, and will not cause or permit any of its Restricted Subsidiaries to, use the net proceeds from the sale of the Notes, in any amount, for any purpose other than as set forth under the caption “Use of Proceeds” in the Offering Memorandum.</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4.21</w:t>
      </w:r>
      <w:r>
        <w:rPr>
          <w:sz w:val="20"/>
          <w:szCs w:val="20"/>
          <w:color w:val="auto"/>
        </w:rPr>
        <w:tab/>
      </w:r>
      <w:r>
        <w:rPr>
          <w:rFonts w:ascii="Arial" w:cs="Arial" w:eastAsia="Arial" w:hAnsi="Arial"/>
          <w:sz w:val="16"/>
          <w:szCs w:val="16"/>
          <w:i w:val="1"/>
          <w:iCs w:val="1"/>
          <w:color w:val="auto"/>
        </w:rPr>
        <w:t>Special Put Option.</w:t>
      </w:r>
    </w:p>
    <w:p>
      <w:pPr>
        <w:spacing w:after="0" w:line="117" w:lineRule="exact"/>
        <w:rPr>
          <w:sz w:val="20"/>
          <w:szCs w:val="20"/>
          <w:color w:val="auto"/>
        </w:rPr>
      </w:pPr>
    </w:p>
    <w:p>
      <w:pPr>
        <w:ind w:firstLine="987"/>
        <w:spacing w:after="0" w:line="255" w:lineRule="auto"/>
        <w:tabs>
          <w:tab w:leader="none" w:pos="137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Upon a Special Put Option Triggering Event, each Holder will have the right to require the Company to repurchase all or any part of such Holder’s Notes pursuant to a Special Put Option Offer (as defined below) on the terms set forth in this Section 4.21. In the Special Put Option Offer, the Company will offer to purchase the Notes at a purchase price in cash equal to 100% of the principal amount thereof, plus accrued and unpaid interest, if any, and Additional Amounts, if any, to but excluding the date of repurchase (subject to the right of Holders of record on the relevant record date to receive interest due on the relevant interest payment date), except to the extent the Company has previously or concurrently elected to redeem the Notes in full as described under Section 3.07 hereof.</w:t>
      </w:r>
    </w:p>
    <w:p>
      <w:pPr>
        <w:spacing w:after="0" w:line="192" w:lineRule="exact"/>
        <w:rPr>
          <w:rFonts w:ascii="Arial" w:cs="Arial" w:eastAsia="Arial" w:hAnsi="Arial"/>
          <w:sz w:val="18"/>
          <w:szCs w:val="18"/>
          <w:color w:val="auto"/>
        </w:rPr>
      </w:pPr>
    </w:p>
    <w:p>
      <w:pPr>
        <w:ind w:right="320" w:firstLine="987"/>
        <w:spacing w:after="0" w:line="286" w:lineRule="auto"/>
        <w:tabs>
          <w:tab w:leader="none" w:pos="137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Within ten days following the occurrence of a Special Put Option Triggering Event, except to the extent that the Company has exercised its right to redeem the Notes in full by delivery of a notice of redemption as described under Section 3.07 hereof the Company shall mail a notice (a “</w:t>
      </w:r>
      <w:r>
        <w:rPr>
          <w:rFonts w:ascii="Arial" w:cs="Arial" w:eastAsia="Arial" w:hAnsi="Arial"/>
          <w:sz w:val="17"/>
          <w:szCs w:val="17"/>
          <w:i w:val="1"/>
          <w:iCs w:val="1"/>
          <w:color w:val="auto"/>
        </w:rPr>
        <w:t>Special Put Option Offer</w:t>
      </w:r>
      <w:r>
        <w:rPr>
          <w:rFonts w:ascii="Arial" w:cs="Arial" w:eastAsia="Arial" w:hAnsi="Arial"/>
          <w:sz w:val="17"/>
          <w:szCs w:val="17"/>
          <w:color w:val="auto"/>
        </w:rPr>
        <w:t>”) to each Holder with a copy to the Trustee and the Paying Agent stating:</w:t>
      </w:r>
    </w:p>
    <w:p>
      <w:pPr>
        <w:spacing w:after="0" w:line="57" w:lineRule="exact"/>
        <w:rPr>
          <w:rFonts w:ascii="Arial" w:cs="Arial" w:eastAsia="Arial" w:hAnsi="Arial"/>
          <w:sz w:val="17"/>
          <w:szCs w:val="17"/>
          <w:color w:val="auto"/>
        </w:rPr>
      </w:pPr>
    </w:p>
    <w:p>
      <w:pPr>
        <w:ind w:left="980" w:firstLine="408"/>
        <w:spacing w:after="0" w:line="259" w:lineRule="auto"/>
        <w:tabs>
          <w:tab w:leader="none" w:pos="177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that a Special Put Option Triggering Event has occurred and that such holder has the right to require the Company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repurchase date (which shall be no earlier than 30 days nor later than 60 days from the date such notice is mailed); and</w:t>
      </w:r>
    </w:p>
    <w:p>
      <w:pPr>
        <w:spacing w:after="0" w:line="140" w:lineRule="exact"/>
        <w:rPr>
          <w:rFonts w:ascii="Arial" w:cs="Arial" w:eastAsia="Arial" w:hAnsi="Arial"/>
          <w:sz w:val="16"/>
          <w:szCs w:val="16"/>
          <w:color w:val="auto"/>
        </w:rPr>
      </w:pPr>
    </w:p>
    <w:p>
      <w:pPr>
        <w:ind w:left="980" w:right="280" w:firstLine="408"/>
        <w:spacing w:after="0" w:line="277" w:lineRule="auto"/>
        <w:tabs>
          <w:tab w:leader="none" w:pos="177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instructions determined by the Company, consistent with this Section 4.21, that a Holder must follow in order to have its Notes repurchased.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280" w:name="page281"/>
    <w:bookmarkEnd w:id="280"/>
    <w:p>
      <w:pPr>
        <w:ind w:left="1320" w:hanging="373"/>
        <w:spacing w:after="0"/>
        <w:tabs>
          <w:tab w:leader="none" w:pos="13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date of repurchase pursuant to a Special Put Option Offer, the Company will, to the extent lawful:</w:t>
      </w:r>
    </w:p>
    <w:p>
      <w:pPr>
        <w:spacing w:after="0" w:line="117" w:lineRule="exact"/>
        <w:rPr>
          <w:rFonts w:ascii="Arial" w:cs="Arial" w:eastAsia="Arial" w:hAnsi="Arial"/>
          <w:sz w:val="18"/>
          <w:szCs w:val="18"/>
          <w:color w:val="auto"/>
        </w:rPr>
      </w:pPr>
    </w:p>
    <w:p>
      <w:pPr>
        <w:ind w:left="1740" w:hanging="392"/>
        <w:spacing w:after="0"/>
        <w:tabs>
          <w:tab w:leader="none" w:pos="17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Special Put Option Offer;</w:t>
      </w:r>
    </w:p>
    <w:p>
      <w:pPr>
        <w:spacing w:after="0" w:line="117" w:lineRule="exact"/>
        <w:rPr>
          <w:rFonts w:ascii="Arial" w:cs="Arial" w:eastAsia="Arial" w:hAnsi="Arial"/>
          <w:sz w:val="18"/>
          <w:szCs w:val="18"/>
          <w:color w:val="auto"/>
        </w:rPr>
      </w:pPr>
    </w:p>
    <w:p>
      <w:pPr>
        <w:ind w:left="940" w:right="20" w:firstLine="408"/>
        <w:spacing w:after="0" w:line="263" w:lineRule="auto"/>
        <w:tabs>
          <w:tab w:leader="none" w:pos="173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repurchase price, plus accrued and unpaid interest, if any, and Additional Amounts, if any, to but excluding the date of repurchase (the “</w:t>
      </w:r>
      <w:r>
        <w:rPr>
          <w:rFonts w:ascii="Arial" w:cs="Arial" w:eastAsia="Arial" w:hAnsi="Arial"/>
          <w:sz w:val="18"/>
          <w:szCs w:val="18"/>
          <w:i w:val="1"/>
          <w:iCs w:val="1"/>
          <w:color w:val="auto"/>
        </w:rPr>
        <w:t>Special Put Option Payment</w:t>
      </w:r>
      <w:r>
        <w:rPr>
          <w:rFonts w:ascii="Arial" w:cs="Arial" w:eastAsia="Arial" w:hAnsi="Arial"/>
          <w:sz w:val="18"/>
          <w:szCs w:val="18"/>
          <w:color w:val="auto"/>
        </w:rPr>
        <w:t>”), in respect of all Notes or portions of Notes properly tendered; and</w:t>
      </w:r>
    </w:p>
    <w:p>
      <w:pPr>
        <w:spacing w:after="0" w:line="75" w:lineRule="exact"/>
        <w:rPr>
          <w:rFonts w:ascii="Arial" w:cs="Arial" w:eastAsia="Arial" w:hAnsi="Arial"/>
          <w:sz w:val="18"/>
          <w:szCs w:val="18"/>
          <w:color w:val="auto"/>
        </w:rPr>
      </w:pPr>
    </w:p>
    <w:p>
      <w:pPr>
        <w:ind w:left="940" w:right="300" w:firstLine="408"/>
        <w:spacing w:after="0" w:line="308" w:lineRule="auto"/>
        <w:tabs>
          <w:tab w:leader="none" w:pos="1731" w:val="left"/>
        </w:tabs>
        <w:numPr>
          <w:ilvl w:val="1"/>
          <w:numId w:val="290"/>
        </w:numPr>
        <w:rPr>
          <w:rFonts w:ascii="Arial" w:cs="Arial" w:eastAsia="Arial" w:hAnsi="Arial"/>
          <w:sz w:val="17"/>
          <w:szCs w:val="17"/>
          <w:color w:val="auto"/>
        </w:rPr>
      </w:pPr>
      <w:r>
        <w:rPr>
          <w:rFonts w:ascii="Arial" w:cs="Arial" w:eastAsia="Arial" w:hAnsi="Arial"/>
          <w:sz w:val="17"/>
          <w:szCs w:val="17"/>
          <w:color w:val="auto"/>
        </w:rPr>
        <w:t>deliver or cause to be delivered to the Trustee, the Notes properly accepted together with an Officers’ Certificate stating the aggregate principal amount of Notes or portions of Notes properly tendered and being purchased by the Company.</w:t>
      </w:r>
    </w:p>
    <w:p>
      <w:pPr>
        <w:spacing w:after="0" w:line="146" w:lineRule="exact"/>
        <w:rPr>
          <w:rFonts w:ascii="Arial" w:cs="Arial" w:eastAsia="Arial" w:hAnsi="Arial"/>
          <w:sz w:val="17"/>
          <w:szCs w:val="17"/>
          <w:color w:val="auto"/>
        </w:rPr>
      </w:pPr>
    </w:p>
    <w:p>
      <w:pPr>
        <w:ind w:left="-40" w:right="200" w:firstLine="987"/>
        <w:spacing w:after="0" w:line="263" w:lineRule="auto"/>
        <w:tabs>
          <w:tab w:leader="none" w:pos="133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Paying Agent will promptly mail to each Holder properly tendered the Special Put Option Payment for such Notes, and the Trustee, or its authenticating agent, will promptly authenticate and mail (or cause to be transferred by book entry) to each Holder a new Note equal in principal amount to any unpurchased portion of the Notes surrendered, if any.</w:t>
      </w:r>
    </w:p>
    <w:p>
      <w:pPr>
        <w:spacing w:after="0" w:line="183" w:lineRule="exact"/>
        <w:rPr>
          <w:rFonts w:ascii="Arial" w:cs="Arial" w:eastAsia="Arial" w:hAnsi="Arial"/>
          <w:sz w:val="18"/>
          <w:szCs w:val="18"/>
          <w:color w:val="auto"/>
        </w:rPr>
      </w:pPr>
    </w:p>
    <w:p>
      <w:pPr>
        <w:ind w:left="-40" w:right="160" w:firstLine="987"/>
        <w:spacing w:after="0" w:line="279" w:lineRule="auto"/>
        <w:tabs>
          <w:tab w:leader="none" w:pos="1328"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provisions described in this Section 4.21 that require the Company to make a Special Put Option Offer following a Special Put Option Triggering Event will be applicable whether or not any other provisions of the Indenture are applicable. Except as described this Section 4.21 with respect to a Special Put Option Triggering Event, this Indenture does not contain provisions that permit the Holders to require that the Company repurchase or redeem the Notes in the event of a termination, rescission or expiration of any Gaming License.</w:t>
      </w:r>
    </w:p>
    <w:p>
      <w:pPr>
        <w:spacing w:after="0" w:line="171" w:lineRule="exact"/>
        <w:rPr>
          <w:rFonts w:ascii="Arial" w:cs="Arial" w:eastAsia="Arial" w:hAnsi="Arial"/>
          <w:sz w:val="17"/>
          <w:szCs w:val="17"/>
          <w:color w:val="auto"/>
        </w:rPr>
      </w:pPr>
    </w:p>
    <w:p>
      <w:pPr>
        <w:ind w:left="-40" w:right="20" w:firstLine="987"/>
        <w:spacing w:after="0" w:line="275" w:lineRule="auto"/>
        <w:tabs>
          <w:tab w:leader="none" w:pos="1308"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Company will not be required to make a Special Put Option Offer upon a Special Put Option Triggering Event if (1) a third party makes the Special Put Option Offer in the manner, at the times and otherwise in compliance with the requirements set forth in the Indenture applicable to a Special Put Option Offer made by the Company and purchases all Notes properly tendered and not withdrawn under the Special Put Option Offer, or (2) notice of redemption has been given in accordance with Section 3.07 and Section 3.10 hereof pursuant to which the Company has exercised its right to redeem the Notes in full, unless and until there is a default in payment of the applicable redemption price.</w:t>
      </w:r>
    </w:p>
    <w:p>
      <w:pPr>
        <w:spacing w:after="0" w:line="176" w:lineRule="exact"/>
        <w:rPr>
          <w:rFonts w:ascii="Arial" w:cs="Arial" w:eastAsia="Arial" w:hAnsi="Arial"/>
          <w:sz w:val="17"/>
          <w:szCs w:val="17"/>
          <w:color w:val="auto"/>
        </w:rPr>
      </w:pPr>
    </w:p>
    <w:p>
      <w:pPr>
        <w:ind w:left="-40" w:firstLine="987"/>
        <w:spacing w:after="0" w:line="263" w:lineRule="auto"/>
        <w:tabs>
          <w:tab w:leader="none" w:pos="134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Notes repurchased by the Company pursuant to a Special Put Option Offer will have the status of Notes issued but not outstanding or will be retired and cancelled at the option of the Company. Notes purchased by a third party pursuant to sub-clause (b)(3) of this Section 4.21 will have the status of Notes issued and outstanding.</w:t>
      </w:r>
    </w:p>
    <w:p>
      <w:pPr>
        <w:spacing w:after="0" w:line="183" w:lineRule="exact"/>
        <w:rPr>
          <w:rFonts w:ascii="Arial" w:cs="Arial" w:eastAsia="Arial" w:hAnsi="Arial"/>
          <w:sz w:val="18"/>
          <w:szCs w:val="18"/>
          <w:color w:val="auto"/>
        </w:rPr>
      </w:pPr>
    </w:p>
    <w:p>
      <w:pPr>
        <w:ind w:left="-40" w:right="80" w:firstLine="987"/>
        <w:spacing w:after="0" w:line="259" w:lineRule="auto"/>
        <w:tabs>
          <w:tab w:leader="none" w:pos="133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Company will comply, to the extent applicable, with the requirements of Section 14(e) of the Exchange Act and any other securities laws or regulations in connection with the repurchase of Notes pursuant to this provision. To the extent that the provisions of any securities laws or regulations conflict with provisions of this provision, the Company will comply with the applicable securities laws and regulations and will not be deemed to have breached its obligations under this covenant by virtue thereof.</w:t>
      </w:r>
    </w:p>
    <w:p>
      <w:pPr>
        <w:spacing w:after="0" w:line="295" w:lineRule="exact"/>
        <w:rPr>
          <w:sz w:val="20"/>
          <w:szCs w:val="20"/>
          <w:color w:val="auto"/>
        </w:rPr>
      </w:pPr>
    </w:p>
    <w:p>
      <w:pPr>
        <w:ind w:left="400"/>
        <w:spacing w:after="0"/>
        <w:tabs>
          <w:tab w:leader="none" w:pos="1460" w:val="left"/>
        </w:tabs>
        <w:rPr>
          <w:sz w:val="20"/>
          <w:szCs w:val="20"/>
          <w:color w:val="auto"/>
        </w:rPr>
      </w:pPr>
      <w:r>
        <w:rPr>
          <w:rFonts w:ascii="Arial" w:cs="Arial" w:eastAsia="Arial" w:hAnsi="Arial"/>
          <w:sz w:val="18"/>
          <w:szCs w:val="18"/>
          <w:color w:val="auto"/>
        </w:rPr>
        <w:t>Section 4.22</w:t>
      </w:r>
      <w:r>
        <w:rPr>
          <w:sz w:val="20"/>
          <w:szCs w:val="20"/>
          <w:color w:val="auto"/>
        </w:rPr>
        <w:tab/>
      </w:r>
      <w:r>
        <w:rPr>
          <w:rFonts w:ascii="Arial" w:cs="Arial" w:eastAsia="Arial" w:hAnsi="Arial"/>
          <w:sz w:val="16"/>
          <w:szCs w:val="16"/>
          <w:i w:val="1"/>
          <w:iCs w:val="1"/>
          <w:color w:val="auto"/>
        </w:rPr>
        <w:t>Intercompany Note Proceeds Loans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Company shall, and shall cause its Restricted Subsidiaries to, ensure that:</w:t>
      </w:r>
    </w:p>
    <w:p>
      <w:pPr>
        <w:spacing w:after="0" w:line="117" w:lineRule="exact"/>
        <w:rPr>
          <w:sz w:val="20"/>
          <w:szCs w:val="20"/>
          <w:color w:val="auto"/>
        </w:rPr>
      </w:pPr>
    </w:p>
    <w:p>
      <w:pPr>
        <w:ind w:left="940" w:right="340" w:firstLine="408"/>
        <w:spacing w:after="0" w:line="277" w:lineRule="auto"/>
        <w:tabs>
          <w:tab w:leader="none" w:pos="173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Intercompany Note Proceeds Loans are subordinated in right of payment to the Guarantees provided by the Company’s Restricted Subsidiaries party thereto;</w:t>
      </w:r>
    </w:p>
    <w:p>
      <w:pPr>
        <w:spacing w:after="0" w:line="62" w:lineRule="exact"/>
        <w:rPr>
          <w:rFonts w:ascii="Arial" w:cs="Arial" w:eastAsia="Arial" w:hAnsi="Arial"/>
          <w:sz w:val="18"/>
          <w:szCs w:val="18"/>
          <w:color w:val="auto"/>
        </w:rPr>
      </w:pPr>
    </w:p>
    <w:p>
      <w:pPr>
        <w:ind w:left="940" w:right="500" w:firstLine="408"/>
        <w:spacing w:after="0" w:line="277" w:lineRule="auto"/>
        <w:tabs>
          <w:tab w:leader="none" w:pos="173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 will receive interest payments under such Intercompany Note Proceeds Loans in amounts sufficient for the Company to make interest payments under the Notes as they become due; and</w:t>
      </w:r>
    </w:p>
    <w:p>
      <w:pPr>
        <w:spacing w:after="0" w:line="62" w:lineRule="exact"/>
        <w:rPr>
          <w:rFonts w:ascii="Arial" w:cs="Arial" w:eastAsia="Arial" w:hAnsi="Arial"/>
          <w:sz w:val="18"/>
          <w:szCs w:val="18"/>
          <w:color w:val="auto"/>
        </w:rPr>
      </w:pPr>
    </w:p>
    <w:p>
      <w:pPr>
        <w:ind w:left="1740" w:hanging="392"/>
        <w:spacing w:after="0"/>
        <w:tabs>
          <w:tab w:leader="none" w:pos="17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maturity date of such Intercompany Note Proceeds Loans will be same as the maturity date of the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20"/>
          </w:cols>
          <w:pgMar w:left="480" w:top="274" w:right="499" w:bottom="1440" w:gutter="0" w:footer="0" w:header="0"/>
        </w:sectPr>
      </w:pPr>
    </w:p>
    <w:bookmarkStart w:id="281" w:name="page282"/>
    <w:bookmarkEnd w:id="281"/>
    <w:p>
      <w:pPr>
        <w:ind w:left="444"/>
        <w:spacing w:after="0"/>
        <w:tabs>
          <w:tab w:leader="none" w:pos="1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4.23</w:t>
      </w:r>
      <w:r>
        <w:rPr>
          <w:sz w:val="20"/>
          <w:szCs w:val="20"/>
          <w:color w:val="auto"/>
        </w:rPr>
        <w:tab/>
      </w:r>
      <w:r>
        <w:rPr>
          <w:rFonts w:ascii="Arial" w:cs="Arial" w:eastAsia="Arial" w:hAnsi="Arial"/>
          <w:sz w:val="15"/>
          <w:szCs w:val="15"/>
          <w:i w:val="1"/>
          <w:iCs w:val="1"/>
          <w:color w:val="auto"/>
        </w:rPr>
        <w:t>Suspension of Covenants</w:t>
      </w:r>
    </w:p>
    <w:p>
      <w:pPr>
        <w:spacing w:after="0" w:line="117" w:lineRule="exact"/>
        <w:rPr>
          <w:sz w:val="20"/>
          <w:szCs w:val="20"/>
          <w:color w:val="auto"/>
        </w:rPr>
      </w:pPr>
    </w:p>
    <w:p>
      <w:pPr>
        <w:ind w:left="4" w:right="140" w:firstLine="987"/>
        <w:spacing w:after="0" w:line="311" w:lineRule="auto"/>
        <w:tabs>
          <w:tab w:leader="none" w:pos="137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The following covenants (the “</w:t>
      </w:r>
      <w:r>
        <w:rPr>
          <w:rFonts w:ascii="Arial" w:cs="Arial" w:eastAsia="Arial" w:hAnsi="Arial"/>
          <w:sz w:val="16"/>
          <w:szCs w:val="16"/>
          <w:i w:val="1"/>
          <w:iCs w:val="1"/>
          <w:color w:val="auto"/>
        </w:rPr>
        <w:t>Suspended Covenants</w:t>
      </w:r>
      <w:r>
        <w:rPr>
          <w:rFonts w:ascii="Arial" w:cs="Arial" w:eastAsia="Arial" w:hAnsi="Arial"/>
          <w:sz w:val="16"/>
          <w:szCs w:val="16"/>
          <w:color w:val="auto"/>
        </w:rPr>
        <w:t>”) will not apply during any period during which the Notes have an Investment Grade Status (a “</w:t>
      </w:r>
      <w:r>
        <w:rPr>
          <w:rFonts w:ascii="Arial" w:cs="Arial" w:eastAsia="Arial" w:hAnsi="Arial"/>
          <w:sz w:val="16"/>
          <w:szCs w:val="16"/>
          <w:i w:val="1"/>
          <w:iCs w:val="1"/>
          <w:color w:val="auto"/>
        </w:rPr>
        <w:t>Suspension Period</w:t>
      </w:r>
      <w:r>
        <w:rPr>
          <w:rFonts w:ascii="Arial" w:cs="Arial" w:eastAsia="Arial" w:hAnsi="Arial"/>
          <w:sz w:val="16"/>
          <w:szCs w:val="16"/>
          <w:color w:val="auto"/>
        </w:rPr>
        <w:t>”): Section 4.07, Section 4.08, Section 4.09, Section 4.10, Section 4.11, Section 5.01(a)(3) and Section 4.17. Additionally, during any Suspension Period, the Company will not be permitted to designate any Restricted Subsidiary as an Unrestricted Subsidiary.</w:t>
      </w:r>
    </w:p>
    <w:p>
      <w:pPr>
        <w:spacing w:after="0" w:line="148" w:lineRule="exact"/>
        <w:rPr>
          <w:rFonts w:ascii="Arial" w:cs="Arial" w:eastAsia="Arial" w:hAnsi="Arial"/>
          <w:sz w:val="16"/>
          <w:szCs w:val="16"/>
          <w:color w:val="auto"/>
        </w:rPr>
      </w:pPr>
    </w:p>
    <w:p>
      <w:pPr>
        <w:ind w:left="4" w:right="20" w:firstLine="987"/>
        <w:spacing w:after="0" w:line="269" w:lineRule="auto"/>
        <w:tabs>
          <w:tab w:leader="none" w:pos="1385" w:val="left"/>
        </w:tabs>
        <w:numPr>
          <w:ilvl w:val="1"/>
          <w:numId w:val="292"/>
        </w:numPr>
        <w:rPr>
          <w:rFonts w:ascii="Arial" w:cs="Arial" w:eastAsia="Arial" w:hAnsi="Arial"/>
          <w:sz w:val="17"/>
          <w:szCs w:val="17"/>
          <w:color w:val="auto"/>
        </w:rPr>
      </w:pPr>
      <w:r>
        <w:rPr>
          <w:rFonts w:ascii="Arial" w:cs="Arial" w:eastAsia="Arial" w:hAnsi="Arial"/>
          <w:sz w:val="17"/>
          <w:szCs w:val="17"/>
          <w:color w:val="auto"/>
        </w:rPr>
        <w:t>In the event that the Company and its Restricted Subsidiaries are not subject to the Suspended Covenants for any period of time as a result of the foregoing, and on any subsequent date (the “</w:t>
      </w:r>
      <w:r>
        <w:rPr>
          <w:rFonts w:ascii="Arial" w:cs="Arial" w:eastAsia="Arial" w:hAnsi="Arial"/>
          <w:sz w:val="17"/>
          <w:szCs w:val="17"/>
          <w:i w:val="1"/>
          <w:iCs w:val="1"/>
          <w:color w:val="auto"/>
        </w:rPr>
        <w:t>Reversion Date</w:t>
      </w:r>
      <w:r>
        <w:rPr>
          <w:rFonts w:ascii="Arial" w:cs="Arial" w:eastAsia="Arial" w:hAnsi="Arial"/>
          <w:sz w:val="17"/>
          <w:szCs w:val="17"/>
          <w:color w:val="auto"/>
        </w:rPr>
        <w:t xml:space="preserve">”) the Notes cease to have Investment Grade Status, then the Suspended Covenants will apply with respect to events occurring following the Reversion Date (unless and until the Notes subsequently attain an Investment Grade Status, in which case the Suspended Covenants will again be suspended for such time that the Notes maintain an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Default or Event of Default will be deemed to exist under the Indenture with respect to the Suspended Covenants, and none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or any of its Subsidiaries will bear any liability for any actions taken or events occurring during a Suspension Period and before any related Reversion Date, or any actions taken at any time pursuant to any contractual obligation or binding commitment arising prior to such Reversion Date, regardless of whether those actions or events would have been permitted if the applicable Suspended Covenant had remained in effect during such period. The Company shall notify the Trustee should the Notes achieve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notification shall not be a condition for the suspension of the covenants set forth above to be effective. The Trustee shall be under no obligation to notify the holders of the Notes that the Notes have achieved Investment Grade Status.</w:t>
      </w:r>
    </w:p>
    <w:p>
      <w:pPr>
        <w:spacing w:after="0" w:line="181" w:lineRule="exact"/>
        <w:rPr>
          <w:rFonts w:ascii="Arial" w:cs="Arial" w:eastAsia="Arial" w:hAnsi="Arial"/>
          <w:sz w:val="17"/>
          <w:szCs w:val="17"/>
          <w:color w:val="auto"/>
        </w:rPr>
      </w:pPr>
    </w:p>
    <w:p>
      <w:pPr>
        <w:jc w:val="both"/>
        <w:ind w:left="4" w:right="160" w:firstLine="987"/>
        <w:spacing w:after="0" w:line="291" w:lineRule="auto"/>
        <w:tabs>
          <w:tab w:leader="none" w:pos="1375" w:val="left"/>
        </w:tabs>
        <w:numPr>
          <w:ilvl w:val="1"/>
          <w:numId w:val="292"/>
        </w:numPr>
        <w:rPr>
          <w:rFonts w:ascii="Arial" w:cs="Arial" w:eastAsia="Arial" w:hAnsi="Arial"/>
          <w:sz w:val="16"/>
          <w:szCs w:val="16"/>
          <w:color w:val="auto"/>
        </w:rPr>
      </w:pPr>
      <w:r>
        <w:rPr>
          <w:rFonts w:ascii="Arial" w:cs="Arial" w:eastAsia="Arial" w:hAnsi="Arial"/>
          <w:sz w:val="16"/>
          <w:szCs w:val="16"/>
          <w:color w:val="auto"/>
        </w:rPr>
        <w:t>On each Reversion Date, all Indebtedness Incurred during the Suspension Period prior to such Reversion Date will be deemed to be Indebtedness existing on the Issue Date. For purposes of calculating the amount available to be made as Restricted Payments under Section 4.07(a)(4)</w:t>
      </w:r>
    </w:p>
    <w:p>
      <w:pPr>
        <w:ind w:left="4" w:hanging="4"/>
        <w:spacing w:after="0" w:line="269" w:lineRule="auto"/>
        <w:tabs>
          <w:tab w:leader="none" w:pos="289" w:val="left"/>
        </w:tabs>
        <w:numPr>
          <w:ilvl w:val="0"/>
          <w:numId w:val="293"/>
        </w:numPr>
        <w:rPr>
          <w:rFonts w:ascii="Arial" w:cs="Arial" w:eastAsia="Arial" w:hAnsi="Arial"/>
          <w:sz w:val="17"/>
          <w:szCs w:val="17"/>
          <w:color w:val="auto"/>
        </w:rPr>
      </w:pPr>
      <w:r>
        <w:rPr>
          <w:rFonts w:ascii="Arial" w:cs="Arial" w:eastAsia="Arial" w:hAnsi="Arial"/>
          <w:sz w:val="17"/>
          <w:szCs w:val="17"/>
          <w:color w:val="auto"/>
        </w:rPr>
        <w:t>hereof on or after the Reversion Date, calculations under such covenant shall be made as though such covenant had been in effect during the entire period of time after the Issue Date (including the Suspension Period). Restricted Payments made during the Suspension Period not otherwise permitted pursuant to any of clauses (2) through (6) or (18) under Section 4.07(b) hereof will reduce the amount available to be made as Restricted Payments under Section 4.07(a)(4)(C) hereof; provided, that the amount available to be made as Restricted Payments on the Reversion Date shall not be reduced to below zero solely as a result of such Restricted Payments. In addition, for purposes of the other Suspended Covenants, all agreements entered into and all actions taken during the Suspension Period, including, without limitation, the Incurrence of Indebtedness shall be deemed to have been taken or to have existed prior to the Issue Date.</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117" w:lineRule="exact"/>
        <w:rPr>
          <w:sz w:val="20"/>
          <w:szCs w:val="20"/>
          <w:color w:val="auto"/>
        </w:rPr>
      </w:pPr>
    </w:p>
    <w:p>
      <w:pPr>
        <w:jc w:val="both"/>
        <w:ind w:left="4" w:right="60" w:firstLine="987"/>
        <w:spacing w:after="0" w:line="286" w:lineRule="auto"/>
        <w:tabs>
          <w:tab w:leader="none" w:pos="1375" w:val="left"/>
        </w:tabs>
        <w:numPr>
          <w:ilvl w:val="0"/>
          <w:numId w:val="294"/>
        </w:numPr>
        <w:rPr>
          <w:rFonts w:ascii="Arial" w:cs="Arial" w:eastAsia="Arial" w:hAnsi="Arial"/>
          <w:sz w:val="17"/>
          <w:szCs w:val="17"/>
          <w:color w:val="auto"/>
        </w:rPr>
      </w:pPr>
      <w:r>
        <w:rPr>
          <w:rFonts w:ascii="Arial" w:cs="Arial" w:eastAsia="Arial" w:hAnsi="Arial"/>
          <w:sz w:val="17"/>
          <w:szCs w:val="17"/>
          <w:i w:val="1"/>
          <w:iCs w:val="1"/>
          <w:color w:val="auto"/>
        </w:rPr>
        <w:t>The Company</w:t>
      </w:r>
      <w:r>
        <w:rPr>
          <w:rFonts w:ascii="Arial" w:cs="Arial" w:eastAsia="Arial" w:hAnsi="Arial"/>
          <w:sz w:val="17"/>
          <w:szCs w:val="17"/>
          <w:color w:val="auto"/>
        </w:rPr>
        <w:t>. The Company will not, directly or indirectly: (1) consolidate or merge with or into another Person (whether or not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survives); or (2) sell, assign, transfer, convey or otherwise dispose of all or substantially all of the properties or assets of the Company and its Restricted Subsidiaries taken as a whole, in one or more related transactions, to another Person unless:</w:t>
      </w:r>
    </w:p>
    <w:p>
      <w:pPr>
        <w:spacing w:after="0" w:line="57" w:lineRule="exact"/>
        <w:rPr>
          <w:rFonts w:ascii="Arial" w:cs="Arial" w:eastAsia="Arial" w:hAnsi="Arial"/>
          <w:sz w:val="17"/>
          <w:szCs w:val="17"/>
          <w:color w:val="auto"/>
        </w:rPr>
      </w:pPr>
    </w:p>
    <w:p>
      <w:pPr>
        <w:ind w:left="1784" w:hanging="392"/>
        <w:spacing w:after="0"/>
        <w:tabs>
          <w:tab w:leader="none" w:pos="17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424" w:right="300" w:firstLine="391"/>
        <w:spacing w:after="0" w:line="308" w:lineRule="auto"/>
        <w:tabs>
          <w:tab w:leader="none" w:pos="2237" w:val="left"/>
        </w:tabs>
        <w:numPr>
          <w:ilvl w:val="2"/>
          <w:numId w:val="294"/>
        </w:numPr>
        <w:rPr>
          <w:rFonts w:ascii="Arial" w:cs="Arial" w:eastAsia="Arial" w:hAnsi="Arial"/>
          <w:sz w:val="17"/>
          <w:szCs w:val="17"/>
          <w:color w:val="auto"/>
        </w:rPr>
      </w:pPr>
      <w:r>
        <w:rPr>
          <w:rFonts w:ascii="Arial" w:cs="Arial" w:eastAsia="Arial" w:hAnsi="Arial"/>
          <w:sz w:val="17"/>
          <w:szCs w:val="17"/>
          <w:color w:val="auto"/>
        </w:rPr>
        <w:t>if the transaction or series of transactions is a consolidation of the Company with or a merger of the Company with or into any other Person, the Company shall be the surviving entity of such merger or consolidation; or</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4" w:right="459" w:bottom="1440" w:gutter="0" w:footer="0" w:header="0"/>
        </w:sectPr>
      </w:pPr>
    </w:p>
    <w:bookmarkStart w:id="282" w:name="page283"/>
    <w:bookmarkEnd w:id="282"/>
    <w:p>
      <w:pPr>
        <w:ind w:left="1420" w:right="80" w:firstLine="391"/>
        <w:spacing w:after="0" w:line="296" w:lineRule="auto"/>
        <w:tabs>
          <w:tab w:leader="none" w:pos="2223" w:val="left"/>
        </w:tabs>
        <w:numPr>
          <w:ilvl w:val="2"/>
          <w:numId w:val="2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 formed by or surviving any such consolidation or merger (if other than the Company)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the Company under the Notes and this Indenture, pursuant to supplemental indentures or other documents or agreements reasonably satisfactory to the Trustee;</w:t>
      </w:r>
    </w:p>
    <w:p>
      <w:pPr>
        <w:spacing w:after="0" w:line="53" w:lineRule="exact"/>
        <w:rPr>
          <w:rFonts w:ascii="Arial" w:cs="Arial" w:eastAsia="Arial" w:hAnsi="Arial"/>
          <w:sz w:val="16"/>
          <w:szCs w:val="16"/>
          <w:color w:val="auto"/>
        </w:rPr>
      </w:pPr>
    </w:p>
    <w:p>
      <w:pPr>
        <w:ind w:left="1780" w:hanging="392"/>
        <w:spacing w:after="0"/>
        <w:tabs>
          <w:tab w:leader="none" w:pos="178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117" w:lineRule="exact"/>
        <w:rPr>
          <w:rFonts w:ascii="Arial" w:cs="Arial" w:eastAsia="Arial" w:hAnsi="Arial"/>
          <w:sz w:val="18"/>
          <w:szCs w:val="18"/>
          <w:color w:val="auto"/>
        </w:rPr>
      </w:pPr>
    </w:p>
    <w:p>
      <w:pPr>
        <w:ind w:left="980" w:firstLine="408"/>
        <w:spacing w:after="0" w:line="257" w:lineRule="auto"/>
        <w:tabs>
          <w:tab w:leader="none" w:pos="1771"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Company, or if applicable, the Person formed by or surviving any such consolidation or merger (if other than the Company),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US$1.00 of additional Indebtedness pursuant to the Fixed Charge Coverage Ratio test set forth in Section 4.09(a) hereof.</w:t>
      </w:r>
    </w:p>
    <w:p>
      <w:pPr>
        <w:spacing w:after="0" w:line="187" w:lineRule="exact"/>
        <w:rPr>
          <w:rFonts w:ascii="Arial" w:cs="Arial" w:eastAsia="Arial" w:hAnsi="Arial"/>
          <w:sz w:val="18"/>
          <w:szCs w:val="18"/>
          <w:color w:val="auto"/>
        </w:rPr>
      </w:pPr>
    </w:p>
    <w:p>
      <w:pPr>
        <w:ind w:right="180" w:firstLine="987"/>
        <w:spacing w:after="0" w:line="259" w:lineRule="auto"/>
        <w:tabs>
          <w:tab w:leader="none" w:pos="1381" w:val="left"/>
        </w:tabs>
        <w:numPr>
          <w:ilvl w:val="0"/>
          <w:numId w:val="297"/>
        </w:numPr>
        <w:rPr>
          <w:rFonts w:ascii="Arial" w:cs="Arial" w:eastAsia="Arial" w:hAnsi="Arial"/>
          <w:sz w:val="18"/>
          <w:szCs w:val="18"/>
          <w:color w:val="auto"/>
        </w:rPr>
      </w:pPr>
      <w:r>
        <w:rPr>
          <w:rFonts w:ascii="Arial" w:cs="Arial" w:eastAsia="Arial" w:hAnsi="Arial"/>
          <w:sz w:val="18"/>
          <w:szCs w:val="18"/>
          <w:i w:val="1"/>
          <w:iCs w:val="1"/>
          <w:color w:val="auto"/>
        </w:rPr>
        <w:t>The Subsidiary Guarantors</w:t>
      </w:r>
      <w:r>
        <w:rPr>
          <w:rFonts w:ascii="Arial" w:cs="Arial" w:eastAsia="Arial" w:hAnsi="Arial"/>
          <w:sz w:val="18"/>
          <w:szCs w:val="18"/>
          <w:color w:val="auto"/>
        </w:rPr>
        <w:t>. Subject to the Section 11.08(c) hereof, no Subsidiary Guarantor will, and the Company will not permit</w:t>
      </w:r>
      <w:r>
        <w:rPr>
          <w:rFonts w:ascii="Arial" w:cs="Arial" w:eastAsia="Arial" w:hAnsi="Arial"/>
          <w:sz w:val="18"/>
          <w:szCs w:val="18"/>
          <w:i w:val="1"/>
          <w:iCs w:val="1"/>
          <w:color w:val="auto"/>
        </w:rPr>
        <w:t xml:space="preserve"> </w:t>
      </w:r>
      <w:r>
        <w:rPr>
          <w:rFonts w:ascii="Arial" w:cs="Arial" w:eastAsia="Arial" w:hAnsi="Arial"/>
          <w:sz w:val="18"/>
          <w:szCs w:val="18"/>
          <w:color w:val="auto"/>
        </w:rPr>
        <w:t>any Subsidiary Guarantor to, directly or indirectly: (1) consolidate or merge with or into another Person (whether or not such Subsidiary Guarantor survives); or (2) sell, assign, transfer, convey or otherwise dispose of all or substantially all of the properties or assets of such Subsidiary Guarantor in one or more related transactions, to another Person, unless:</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420" w:right="60" w:firstLine="391"/>
        <w:spacing w:after="0" w:line="263" w:lineRule="auto"/>
        <w:tabs>
          <w:tab w:leader="none" w:pos="2233" w:val="left"/>
        </w:tabs>
        <w:numPr>
          <w:ilvl w:val="2"/>
          <w:numId w:val="297"/>
        </w:numPr>
        <w:rPr>
          <w:rFonts w:ascii="Arial" w:cs="Arial" w:eastAsia="Arial" w:hAnsi="Arial"/>
          <w:sz w:val="18"/>
          <w:szCs w:val="18"/>
          <w:color w:val="auto"/>
        </w:rPr>
      </w:pPr>
      <w:r>
        <w:rPr>
          <w:rFonts w:ascii="Arial" w:cs="Arial" w:eastAsia="Arial" w:hAnsi="Arial"/>
          <w:sz w:val="18"/>
          <w:szCs w:val="18"/>
          <w:color w:val="auto"/>
        </w:rPr>
        <w:t>if the transaction or series of transactions is a consolidation of such Subsidiary Guarantor with or a merger of such Subsidiary Guarantor with or into any other Person, such Subsidiary Guarantor shall be the surviving entity of such consolidation or merger; or</w:t>
      </w:r>
    </w:p>
    <w:p>
      <w:pPr>
        <w:spacing w:after="0" w:line="75" w:lineRule="exact"/>
        <w:rPr>
          <w:rFonts w:ascii="Arial" w:cs="Arial" w:eastAsia="Arial" w:hAnsi="Arial"/>
          <w:sz w:val="18"/>
          <w:szCs w:val="18"/>
          <w:color w:val="auto"/>
        </w:rPr>
      </w:pPr>
    </w:p>
    <w:p>
      <w:pPr>
        <w:ind w:left="1420" w:firstLine="391"/>
        <w:spacing w:after="0" w:line="275" w:lineRule="auto"/>
        <w:tabs>
          <w:tab w:leader="none" w:pos="2223" w:val="left"/>
        </w:tabs>
        <w:numPr>
          <w:ilvl w:val="2"/>
          <w:numId w:val="297"/>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such Subsidiary Guarantor)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such Subsidiary Guarantor under its Note Guarantee and this Indenture, pursuant to a supplemental indenture; and</w:t>
      </w:r>
    </w:p>
    <w:p>
      <w:pPr>
        <w:spacing w:after="0" w:line="68" w:lineRule="exact"/>
        <w:rPr>
          <w:rFonts w:ascii="Arial" w:cs="Arial" w:eastAsia="Arial" w:hAnsi="Arial"/>
          <w:sz w:val="17"/>
          <w:szCs w:val="17"/>
          <w:color w:val="auto"/>
        </w:rPr>
      </w:pPr>
    </w:p>
    <w:p>
      <w:pPr>
        <w:ind w:left="1780" w:hanging="392"/>
        <w:spacing w:after="0"/>
        <w:tabs>
          <w:tab w:leader="none" w:pos="178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This Section 5.01 will not apply to:</w:t>
      </w:r>
    </w:p>
    <w:p>
      <w:pPr>
        <w:spacing w:after="0" w:line="117" w:lineRule="exact"/>
        <w:rPr>
          <w:rFonts w:ascii="Arial" w:cs="Arial" w:eastAsia="Arial" w:hAnsi="Arial"/>
          <w:sz w:val="18"/>
          <w:szCs w:val="18"/>
          <w:color w:val="auto"/>
        </w:rPr>
      </w:pPr>
    </w:p>
    <w:p>
      <w:pPr>
        <w:ind w:left="980" w:right="980" w:firstLine="408"/>
        <w:spacing w:after="0" w:line="308" w:lineRule="auto"/>
        <w:tabs>
          <w:tab w:leader="none" w:pos="1771" w:val="left"/>
        </w:tabs>
        <w:numPr>
          <w:ilvl w:val="1"/>
          <w:numId w:val="297"/>
        </w:numPr>
        <w:rPr>
          <w:rFonts w:ascii="Arial" w:cs="Arial" w:eastAsia="Arial" w:hAnsi="Arial"/>
          <w:sz w:val="17"/>
          <w:szCs w:val="17"/>
          <w:color w:val="auto"/>
        </w:rPr>
      </w:pPr>
      <w:r>
        <w:rPr>
          <w:rFonts w:ascii="Arial" w:cs="Arial" w:eastAsia="Arial" w:hAnsi="Arial"/>
          <w:sz w:val="17"/>
          <w:szCs w:val="17"/>
          <w:color w:val="auto"/>
        </w:rPr>
        <w:t>a merger of the Company or a Subsidiary Guarantor, as the case may be, with an Affiliate solely for the purpose of reincorporating the Company or a Subsidiary Guarantor, as the case may be, in another jurisdiction; or</w:t>
      </w:r>
    </w:p>
    <w:p>
      <w:pPr>
        <w:spacing w:after="0" w:line="38" w:lineRule="exact"/>
        <w:rPr>
          <w:rFonts w:ascii="Arial" w:cs="Arial" w:eastAsia="Arial" w:hAnsi="Arial"/>
          <w:sz w:val="17"/>
          <w:szCs w:val="17"/>
          <w:color w:val="auto"/>
        </w:rPr>
      </w:pPr>
    </w:p>
    <w:p>
      <w:pPr>
        <w:ind w:left="980" w:right="80" w:firstLine="408"/>
        <w:spacing w:after="0" w:line="277" w:lineRule="auto"/>
        <w:tabs>
          <w:tab w:leader="none" w:pos="1771"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or other disposition of assets between or among the Company and the Subsidiary Guarantors or between or among the Subsidiary Guarantors.</w:t>
      </w:r>
    </w:p>
    <w:p>
      <w:pPr>
        <w:spacing w:after="0" w:line="170"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 xml:space="preserve">Upon consummation of any consolidation or merger, or any sale, assignment, transfer, conveyance, or other disposition of assets by a Subsidiary Guarantor with or into the Company or another Subsidiary Guarantor in accordance with this Section 5.01 which results in a Subsidiary Guarantor distributing all of its assets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assets required by law to maintain its corporate existence) to the Company or another Subsidiary Guarantor, such transferring Subsidiary Guarantor may be wound up pursuant to a solvent liquidation or solvent reorganization, provided it shall have no third party recourse Indebtedness or be the obligor under any intercompany Indebtedness.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283" w:name="page284"/>
    <w:bookmarkEnd w:id="283"/>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5.02</w:t>
      </w:r>
      <w:r>
        <w:rPr>
          <w:sz w:val="20"/>
          <w:szCs w:val="20"/>
          <w:color w:val="auto"/>
        </w:rPr>
        <w:tab/>
      </w:r>
      <w:r>
        <w:rPr>
          <w:rFonts w:ascii="Arial" w:cs="Arial" w:eastAsia="Arial" w:hAnsi="Arial"/>
          <w:sz w:val="16"/>
          <w:szCs w:val="16"/>
          <w:i w:val="1"/>
          <w:iCs w:val="1"/>
          <w:color w:val="auto"/>
        </w:rPr>
        <w:t>Successor Corporation Substituted.</w:t>
      </w:r>
    </w:p>
    <w:p>
      <w:pPr>
        <w:spacing w:after="0" w:line="11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predecessor Company shall not be relieved from the obligation to pay the principal of and interest on the Notes except in the case of a sale of all of the Company’s assets in a transaction that is subject to, and that complies with the provisions of, Section 5.01 hereof.</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117" w:lineRule="exact"/>
        <w:rPr>
          <w:sz w:val="20"/>
          <w:szCs w:val="20"/>
          <w:color w:val="auto"/>
        </w:rPr>
      </w:pPr>
    </w:p>
    <w:p>
      <w:pPr>
        <w:ind w:left="1360" w:hanging="373"/>
        <w:spacing w:after="0"/>
        <w:tabs>
          <w:tab w:leader="none" w:pos="13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of the following is an event of default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or Additional Amounts, if any, with respect to the Notes;</w:t>
      </w:r>
    </w:p>
    <w:p>
      <w:pPr>
        <w:spacing w:after="0" w:line="117" w:lineRule="exact"/>
        <w:rPr>
          <w:rFonts w:ascii="Arial" w:cs="Arial" w:eastAsia="Arial" w:hAnsi="Arial"/>
          <w:sz w:val="18"/>
          <w:szCs w:val="18"/>
          <w:color w:val="auto"/>
        </w:rPr>
      </w:pPr>
    </w:p>
    <w:p>
      <w:pPr>
        <w:ind w:left="980" w:right="140" w:firstLine="408"/>
        <w:spacing w:after="0" w:line="277" w:lineRule="auto"/>
        <w:tabs>
          <w:tab w:leader="none" w:pos="177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upon required repurchase, or otherwise) of the principal of, or premium, if any, on the Notes;</w:t>
      </w:r>
    </w:p>
    <w:p>
      <w:pPr>
        <w:spacing w:after="0" w:line="62" w:lineRule="exact"/>
        <w:rPr>
          <w:rFonts w:ascii="Arial" w:cs="Arial" w:eastAsia="Arial" w:hAnsi="Arial"/>
          <w:sz w:val="18"/>
          <w:szCs w:val="18"/>
          <w:color w:val="auto"/>
        </w:rPr>
      </w:pPr>
    </w:p>
    <w:p>
      <w:pPr>
        <w:ind w:left="980" w:right="20" w:firstLine="408"/>
        <w:spacing w:after="0" w:line="277" w:lineRule="auto"/>
        <w:tabs>
          <w:tab w:leader="none" w:pos="177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comply with its obligations under the provisions of Section 3.09, 4.10, 4.15, 4.21 or 5.01 hereof;</w:t>
      </w:r>
    </w:p>
    <w:p>
      <w:pPr>
        <w:spacing w:after="0" w:line="62" w:lineRule="exact"/>
        <w:rPr>
          <w:rFonts w:ascii="Arial" w:cs="Arial" w:eastAsia="Arial" w:hAnsi="Arial"/>
          <w:sz w:val="18"/>
          <w:szCs w:val="18"/>
          <w:color w:val="auto"/>
        </w:rPr>
      </w:pPr>
    </w:p>
    <w:p>
      <w:pPr>
        <w:ind w:left="980" w:right="360" w:firstLine="408"/>
        <w:spacing w:after="0" w:line="263" w:lineRule="auto"/>
        <w:tabs>
          <w:tab w:leader="none" w:pos="177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for 60 days after notice to the Company by the Trustee or the Holders of at least 25% in aggregate principal amount of the Notes then outstanding voting as a single class to comply with any of the other agreements in this Indenture,;</w:t>
      </w:r>
    </w:p>
    <w:p>
      <w:pPr>
        <w:spacing w:after="0" w:line="75" w:lineRule="exact"/>
        <w:rPr>
          <w:rFonts w:ascii="Arial" w:cs="Arial" w:eastAsia="Arial" w:hAnsi="Arial"/>
          <w:sz w:val="18"/>
          <w:szCs w:val="18"/>
          <w:color w:val="auto"/>
        </w:rPr>
      </w:pPr>
    </w:p>
    <w:p>
      <w:pPr>
        <w:ind w:left="980" w:right="160" w:firstLine="408"/>
        <w:spacing w:after="0" w:line="259" w:lineRule="auto"/>
        <w:tabs>
          <w:tab w:leader="none" w:pos="177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this Indenture, if that default:</w:t>
      </w:r>
    </w:p>
    <w:p>
      <w:pPr>
        <w:spacing w:after="0" w:line="78" w:lineRule="exact"/>
        <w:rPr>
          <w:rFonts w:ascii="Arial" w:cs="Arial" w:eastAsia="Arial" w:hAnsi="Arial"/>
          <w:sz w:val="18"/>
          <w:szCs w:val="18"/>
          <w:color w:val="auto"/>
        </w:rPr>
      </w:pPr>
    </w:p>
    <w:p>
      <w:pPr>
        <w:ind w:left="1420" w:right="180" w:firstLine="391"/>
        <w:spacing w:after="0" w:line="277" w:lineRule="auto"/>
        <w:tabs>
          <w:tab w:leader="none" w:pos="2233" w:val="left"/>
        </w:tabs>
        <w:numPr>
          <w:ilvl w:val="2"/>
          <w:numId w:val="298"/>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2240" w:hanging="429"/>
        <w:spacing w:after="0"/>
        <w:tabs>
          <w:tab w:leader="none" w:pos="2240" w:val="left"/>
        </w:tabs>
        <w:numPr>
          <w:ilvl w:val="2"/>
          <w:numId w:val="298"/>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17" w:lineRule="exact"/>
        <w:rPr>
          <w:sz w:val="20"/>
          <w:szCs w:val="20"/>
          <w:color w:val="auto"/>
        </w:rPr>
      </w:pPr>
    </w:p>
    <w:p>
      <w:pPr>
        <w:ind w:left="1420" w:right="60"/>
        <w:spacing w:after="0" w:line="263"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US$20.0 million or more at any time outstanding;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284" w:name="page285"/>
    <w:bookmarkEnd w:id="284"/>
    <w:p>
      <w:pPr>
        <w:ind w:left="980" w:right="80" w:firstLine="408"/>
        <w:spacing w:after="0" w:line="286" w:lineRule="auto"/>
        <w:tabs>
          <w:tab w:leader="none" w:pos="1771" w:val="left"/>
        </w:tabs>
        <w:numPr>
          <w:ilvl w:val="0"/>
          <w:numId w:val="2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by the Company or any of its Restricted Subsidiaries to pay final judgments entered by a court or courts of competent jurisdiction (other than any judgment as to which a reputable third party insurer has accepted full responsibility and coverage) aggregating in excess of US$20.0 million, which judgments are not paid, discharged or stayed for a period of 60 days;</w:t>
      </w:r>
    </w:p>
    <w:p>
      <w:pPr>
        <w:spacing w:after="0" w:line="57" w:lineRule="exact"/>
        <w:rPr>
          <w:rFonts w:ascii="Arial" w:cs="Arial" w:eastAsia="Arial" w:hAnsi="Arial"/>
          <w:sz w:val="17"/>
          <w:szCs w:val="17"/>
          <w:color w:val="auto"/>
        </w:rPr>
      </w:pPr>
    </w:p>
    <w:p>
      <w:pPr>
        <w:ind w:left="980" w:right="100" w:firstLine="408"/>
        <w:spacing w:after="0" w:line="308" w:lineRule="auto"/>
        <w:tabs>
          <w:tab w:leader="none" w:pos="1771"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Company or any of its Restricted Subsidiaries that is a Significant Subsidiary or any group of Restricted Subsidiaries of the Company that, taken together, would constitute a Significant Subsidiary pursuant to or within the meaning of Bankruptcy Law:</w:t>
      </w:r>
    </w:p>
    <w:p>
      <w:pPr>
        <w:spacing w:after="0" w:line="38" w:lineRule="exact"/>
        <w:rPr>
          <w:rFonts w:ascii="Arial" w:cs="Arial" w:eastAsia="Arial" w:hAnsi="Arial"/>
          <w:sz w:val="17"/>
          <w:szCs w:val="17"/>
          <w:color w:val="auto"/>
        </w:rPr>
      </w:pPr>
    </w:p>
    <w:p>
      <w:pPr>
        <w:ind w:left="2240" w:hanging="429"/>
        <w:spacing w:after="0"/>
        <w:tabs>
          <w:tab w:leader="none" w:pos="22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commences a voluntary case or is the subject of a petition by a creditor to have it declared bankrupt,</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2220" w:hanging="409"/>
        <w:spacing w:after="0"/>
        <w:tabs>
          <w:tab w:leader="none" w:pos="22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420" w:right="400" w:firstLine="391"/>
        <w:spacing w:after="0" w:line="342" w:lineRule="auto"/>
        <w:tabs>
          <w:tab w:leader="none" w:pos="2233" w:val="left"/>
        </w:tabs>
        <w:numPr>
          <w:ilvl w:val="1"/>
          <w:numId w:val="299"/>
        </w:numPr>
        <w:rPr>
          <w:rFonts w:ascii="Arial" w:cs="Arial" w:eastAsia="Arial" w:hAnsi="Arial"/>
          <w:sz w:val="16"/>
          <w:szCs w:val="16"/>
          <w:color w:val="auto"/>
        </w:rPr>
      </w:pPr>
      <w:r>
        <w:rPr>
          <w:rFonts w:ascii="Arial" w:cs="Arial" w:eastAsia="Arial" w:hAnsi="Arial"/>
          <w:sz w:val="16"/>
          <w:szCs w:val="16"/>
          <w:color w:val="auto"/>
        </w:rPr>
        <w:t>is for relief against the Company or any of its Restricted Subsidiaries that is a Significant Subsidiary or any group of Restricted Subsidiaries of the Company that, taken together, would constitute a Significant Subsidiary in an involuntary case;</w:t>
      </w:r>
    </w:p>
    <w:p>
      <w:pPr>
        <w:spacing w:after="0" w:line="15" w:lineRule="exact"/>
        <w:rPr>
          <w:rFonts w:ascii="Arial" w:cs="Arial" w:eastAsia="Arial" w:hAnsi="Arial"/>
          <w:sz w:val="16"/>
          <w:szCs w:val="16"/>
          <w:color w:val="auto"/>
        </w:rPr>
      </w:pPr>
    </w:p>
    <w:p>
      <w:pPr>
        <w:ind w:left="1420" w:firstLine="391"/>
        <w:spacing w:after="0" w:line="259" w:lineRule="auto"/>
        <w:tabs>
          <w:tab w:leader="none" w:pos="222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appoints a custodian of the Company or of any of its Restricted Subsidiaries that is a Significant Subsidiary or any group of Restricted Subsidiaries of the Company that, taken together, would constitute a Significant Subsidiary or for all or substantially all of the property of the Company or any of its Restricted Subsidiaries that is a Significant Subsidiary or any group of Restricted Subsidiaries of the Company that, taken together, would constitute a Significant Subsidiary; or</w:t>
      </w:r>
    </w:p>
    <w:p>
      <w:pPr>
        <w:spacing w:after="0" w:line="78" w:lineRule="exact"/>
        <w:rPr>
          <w:rFonts w:ascii="Arial" w:cs="Arial" w:eastAsia="Arial" w:hAnsi="Arial"/>
          <w:sz w:val="18"/>
          <w:szCs w:val="18"/>
          <w:color w:val="auto"/>
        </w:rPr>
      </w:pPr>
    </w:p>
    <w:p>
      <w:pPr>
        <w:ind w:left="1420" w:right="20" w:firstLine="391"/>
        <w:spacing w:after="0" w:line="277" w:lineRule="auto"/>
        <w:tabs>
          <w:tab w:leader="none" w:pos="222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orders the liquidation of the Company or of any of its Restricted Subsidiaries that is a Significant Subsidiary or any group of Restricted Subsidiaries of the Company that, taken together, would constitute a Significant Subsidiary;</w:t>
      </w:r>
    </w:p>
    <w:p>
      <w:pPr>
        <w:spacing w:after="0" w:line="62" w:lineRule="exact"/>
        <w:rPr>
          <w:rFonts w:ascii="Arial" w:cs="Arial" w:eastAsia="Arial" w:hAnsi="Arial"/>
          <w:sz w:val="18"/>
          <w:szCs w:val="18"/>
          <w:color w:val="auto"/>
        </w:rPr>
      </w:pPr>
    </w:p>
    <w:p>
      <w:pPr>
        <w:ind w:left="980" w:right="120" w:firstLine="408"/>
        <w:spacing w:after="0" w:line="263" w:lineRule="auto"/>
        <w:tabs>
          <w:tab w:leader="none" w:pos="177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except as permitted by this Indenture, (a) any Note Guarantee being held in any judicial proceeding in a competent jurisdiction to be unenforceable or invalid or ceases for any reason to be in full force and effect, or (b) any Person acting on behalf of any Subsidiary Guarantor, denying or disaffirming its Obligations under its Note Guarantee; and</w:t>
      </w:r>
    </w:p>
    <w:p>
      <w:pPr>
        <w:spacing w:after="0" w:line="75" w:lineRule="exact"/>
        <w:rPr>
          <w:rFonts w:ascii="Arial" w:cs="Arial" w:eastAsia="Arial" w:hAnsi="Arial"/>
          <w:sz w:val="18"/>
          <w:szCs w:val="18"/>
          <w:color w:val="auto"/>
        </w:rPr>
      </w:pPr>
    </w:p>
    <w:p>
      <w:pPr>
        <w:ind w:left="980" w:right="160" w:firstLine="408"/>
        <w:spacing w:after="0" w:line="259" w:lineRule="auto"/>
        <w:tabs>
          <w:tab w:leader="none" w:pos="18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termination or rescission of any Gaming License or the Macau government takes any formal measure to do so (excluding any termination or rescission resulting from or in connection with any renewal, tender or other process conducted by the government of Macau in connection with the granting or renewal of any Gaming License; provided that such renewal, tender or other process results in the granting or renewal of the relevant Gaming License).</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117"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In the case of an Event of Default specified in Section 6.01(a)(7) or 6.01(a)(8) hereof, with respect to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4" w:right="439" w:bottom="1440" w:gutter="0" w:footer="0" w:header="0"/>
        </w:sectPr>
      </w:pPr>
    </w:p>
    <w:bookmarkStart w:id="285" w:name="page286"/>
    <w:bookmarkEnd w:id="285"/>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Holders of a majority in aggregate principal amount of the then outstanding Notes by written notice to the Trustee may, on behalf of all of the Holders, rescind an acceleration (including any related payment default that resulted from such acceleration) and its consequences, if the rescission would not conflict with any judgment or decree and if all existing Events of Default (except non-payment of principal of, premium, if any, or interest on the Notes).</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117" w:lineRule="exact"/>
        <w:rPr>
          <w:sz w:val="20"/>
          <w:szCs w:val="20"/>
          <w:color w:val="auto"/>
        </w:rPr>
      </w:pPr>
    </w:p>
    <w:p>
      <w:pPr>
        <w:jc w:val="both"/>
        <w:ind w:firstLine="991"/>
        <w:spacing w:after="0" w:line="308" w:lineRule="auto"/>
        <w:rPr>
          <w:sz w:val="20"/>
          <w:szCs w:val="20"/>
          <w:color w:val="auto"/>
        </w:rPr>
      </w:pPr>
      <w:r>
        <w:rPr>
          <w:rFonts w:ascii="Arial" w:cs="Arial" w:eastAsia="Arial" w:hAnsi="Arial"/>
          <w:sz w:val="17"/>
          <w:szCs w:val="17"/>
          <w:color w:val="auto"/>
        </w:rPr>
        <w:t>If an Event of Default occurs and is continuing, the Trustee may pursue any available remedy to collect the payment of principal, premium and Additional Amounts, if any, and interest on the Notes or to enforce the performance of any provision of the Notes or this Indenture.</w:t>
      </w:r>
    </w:p>
    <w:p>
      <w:pPr>
        <w:spacing w:after="0" w:line="38" w:lineRule="exact"/>
        <w:rPr>
          <w:sz w:val="20"/>
          <w:szCs w:val="20"/>
          <w:color w:val="auto"/>
        </w:rPr>
      </w:pPr>
    </w:p>
    <w:p>
      <w:pPr>
        <w:jc w:val="both"/>
        <w:ind w:right="20" w:firstLine="991"/>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27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117" w:lineRule="exact"/>
        <w:rPr>
          <w:sz w:val="20"/>
          <w:szCs w:val="20"/>
          <w:color w:val="auto"/>
        </w:rPr>
      </w:pPr>
    </w:p>
    <w:p>
      <w:pPr>
        <w:ind w:right="120" w:firstLine="991"/>
        <w:spacing w:after="0" w:line="272" w:lineRule="auto"/>
        <w:rPr>
          <w:sz w:val="20"/>
          <w:szCs w:val="20"/>
          <w:color w:val="auto"/>
        </w:rPr>
      </w:pPr>
      <w:r>
        <w:rPr>
          <w:rFonts w:ascii="Arial" w:cs="Arial" w:eastAsia="Arial" w:hAnsi="Arial"/>
          <w:sz w:val="17"/>
          <w:szCs w:val="17"/>
          <w:color w:val="auto"/>
        </w:rPr>
        <w:t xml:space="preserve">Holders of not less than a majority in aggregate principal amount of the then outstanding Notes by written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Holders of a majority in aggregate principal amount of the then outstanding Notes may rescind an acceleration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8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117"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Holders of a majority in aggregate principal amount of the then outstanding Notes may direct, in writing,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or that may involve the Trustee in personal liability.</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117" w:lineRule="exact"/>
        <w:rPr>
          <w:sz w:val="20"/>
          <w:szCs w:val="20"/>
          <w:color w:val="auto"/>
        </w:rPr>
      </w:pPr>
    </w:p>
    <w:p>
      <w:pPr>
        <w:ind w:right="40" w:firstLine="987"/>
        <w:spacing w:after="0" w:line="257" w:lineRule="auto"/>
        <w:tabs>
          <w:tab w:leader="none" w:pos="137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Subject to the provisions of this Indenture relating to the duties of the Trustee, in case an Event of Default occurs and is continuing, the Trustee will be under no obligation to exercise any of the rights or powers under this Indenture at the request or direction of any Holders unless such Holders have offered to the Trustee indemnity and/or security to its satisfaction against any loss, liability or expense. Except to enforce the right to receive payment of principal, premium, if any, or interest or Additional Amounts, if any, when due, no Holder may pursue any remedy with respect to this Indenture or the Notes unless:</w:t>
      </w:r>
    </w:p>
    <w:p>
      <w:pPr>
        <w:spacing w:after="0" w:line="79" w:lineRule="exact"/>
        <w:rPr>
          <w:rFonts w:ascii="Arial" w:cs="Arial" w:eastAsia="Arial" w:hAnsi="Arial"/>
          <w:sz w:val="18"/>
          <w:szCs w:val="18"/>
          <w:color w:val="auto"/>
        </w:rPr>
      </w:pPr>
    </w:p>
    <w:p>
      <w:pPr>
        <w:ind w:left="1780" w:hanging="392"/>
        <w:spacing w:after="0"/>
        <w:tabs>
          <w:tab w:leader="none" w:pos="17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117" w:lineRule="exact"/>
        <w:rPr>
          <w:rFonts w:ascii="Arial" w:cs="Arial" w:eastAsia="Arial" w:hAnsi="Arial"/>
          <w:sz w:val="18"/>
          <w:szCs w:val="18"/>
          <w:color w:val="auto"/>
        </w:rPr>
      </w:pPr>
    </w:p>
    <w:p>
      <w:pPr>
        <w:ind w:left="980" w:right="60" w:firstLine="408"/>
        <w:spacing w:after="0" w:line="277" w:lineRule="auto"/>
        <w:tabs>
          <w:tab w:leader="none" w:pos="1771" w:val="left"/>
        </w:tabs>
        <w:numPr>
          <w:ilvl w:val="1"/>
          <w:numId w:val="300"/>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have made a written request to the Trustee to pursue the remedy;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4" w:right="479" w:bottom="1440" w:gutter="0" w:footer="0" w:header="0"/>
        </w:sectPr>
      </w:pPr>
    </w:p>
    <w:bookmarkStart w:id="286" w:name="page287"/>
    <w:bookmarkEnd w:id="286"/>
    <w:p>
      <w:pPr>
        <w:ind w:left="1780" w:hanging="392"/>
        <w:spacing w:after="0"/>
        <w:tabs>
          <w:tab w:leader="none" w:pos="1780" w:val="left"/>
        </w:tabs>
        <w:numPr>
          <w:ilvl w:val="1"/>
          <w:numId w:val="3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Holders have offered the Trustee security and/or indemnity satisfactory to the Trustee against any loss, liability or expense;</w:t>
      </w:r>
    </w:p>
    <w:p>
      <w:pPr>
        <w:spacing w:after="0" w:line="140" w:lineRule="exact"/>
        <w:rPr>
          <w:rFonts w:ascii="Arial" w:cs="Arial" w:eastAsia="Arial" w:hAnsi="Arial"/>
          <w:sz w:val="16"/>
          <w:szCs w:val="16"/>
          <w:color w:val="auto"/>
        </w:rPr>
      </w:pPr>
    </w:p>
    <w:p>
      <w:pPr>
        <w:ind w:left="980" w:right="300" w:firstLine="408"/>
        <w:spacing w:after="0" w:line="277" w:lineRule="auto"/>
        <w:tabs>
          <w:tab w:leader="none" w:pos="1771"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request and the offer of security and/or indemnity to its satisfaction; and</w:t>
      </w:r>
    </w:p>
    <w:p>
      <w:pPr>
        <w:spacing w:after="0" w:line="62" w:lineRule="exact"/>
        <w:rPr>
          <w:rFonts w:ascii="Arial" w:cs="Arial" w:eastAsia="Arial" w:hAnsi="Arial"/>
          <w:sz w:val="18"/>
          <w:szCs w:val="18"/>
          <w:color w:val="auto"/>
        </w:rPr>
      </w:pPr>
    </w:p>
    <w:p>
      <w:pPr>
        <w:ind w:left="980" w:right="240" w:firstLine="408"/>
        <w:spacing w:after="0" w:line="277" w:lineRule="auto"/>
        <w:tabs>
          <w:tab w:leader="none" w:pos="1771"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during such 60-day period, Holders of a majority in aggregate principal amount of the then outstanding Notes have not given the Trustee a written direction inconsistent with such request.</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A Holder may not use this Indenture to prejudice the rights of another Holder or to obtain a preference or priority over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31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to Receive Payment.</w:t>
      </w:r>
    </w:p>
    <w:p>
      <w:pPr>
        <w:spacing w:after="0" w:line="117"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Notwithstanding any other provision of this Indenture, the right of any Holder to receive payment of principal, premium, Additional Amounts, if any, and interest on the Notes, on or after the respective due dates expressed in the Note (including in connection with an offer to purchase), or to bring suit for the enforcement of any such payment on or after such respective dates, shall not be impaired or affected without the consent of such Holder;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11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If an Event of Default specified in Section 6.01(a)(1) or (a)(2) hereof occurs and is continuing, the Trustee is authorized to recover judgment in its own name and as trustee of an express trust against the Company for the whole amount of principal of, premium, Additional Amounts, if any, and interest remaining unpaid on, the Notes and interest on overdue principal and premium, if any and, to the extent lawful, interest and such further amount as shall be sufficient to cover the costs and expenses of collection, including the reasonable compensation, expenses, disbursements and advances of the Trustee, its agents and counsel.</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117"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7.08 hereof. To the extent that the payment of any such compensation, expenses, disbursements and advances of the Trustee, its agents and counsel, and any other amounts due the Trustee under Section 7.08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4" w:right="439" w:bottom="1440" w:gutter="0" w:footer="0" w:header="0"/>
        </w:sectPr>
      </w:pPr>
    </w:p>
    <w:bookmarkStart w:id="287" w:name="page288"/>
    <w:bookmarkEnd w:id="287"/>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6.10</w:t>
      </w:r>
      <w:r>
        <w:rPr>
          <w:sz w:val="20"/>
          <w:szCs w:val="20"/>
          <w:color w:val="auto"/>
        </w:rPr>
        <w:tab/>
      </w:r>
      <w:r>
        <w:rPr>
          <w:rFonts w:ascii="Arial" w:cs="Arial" w:eastAsia="Arial" w:hAnsi="Arial"/>
          <w:sz w:val="17"/>
          <w:szCs w:val="17"/>
          <w:i w:val="1"/>
          <w:iCs w:val="1"/>
          <w:color w:val="auto"/>
        </w:rPr>
        <w:t>Priorities.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117" w:lineRule="exact"/>
        <w:rPr>
          <w:sz w:val="20"/>
          <w:szCs w:val="20"/>
          <w:color w:val="auto"/>
        </w:rPr>
      </w:pPr>
    </w:p>
    <w:p>
      <w:pPr>
        <w:jc w:val="both"/>
        <w:ind w:left="980" w:right="400" w:firstLine="401"/>
        <w:spacing w:after="0" w:line="26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the Agents, and their respective agents and attorneys for amounts due under Section 7.08 hereof,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all compensation, expenses and liabilities incurred, and all advances made, by the Trustee or any Agent, and the costs and expenses of collection;</w:t>
      </w:r>
    </w:p>
    <w:p>
      <w:pPr>
        <w:spacing w:after="0" w:line="76" w:lineRule="exact"/>
        <w:rPr>
          <w:sz w:val="20"/>
          <w:szCs w:val="20"/>
          <w:color w:val="auto"/>
        </w:rPr>
      </w:pPr>
    </w:p>
    <w:p>
      <w:pPr>
        <w:ind w:left="980" w:right="520" w:firstLine="401"/>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for amounts due and unpaid on the Notes for principal, premium, Additional Amounts, if any,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without preference or priority of any kind, according to the amounts due and payable on the Notes for principal, premium, Additional Amounts, if any, and interest, respectively; and</w:t>
      </w:r>
    </w:p>
    <w:p>
      <w:pPr>
        <w:spacing w:after="0" w:line="76"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6.10.</w:t>
      </w:r>
    </w:p>
    <w:p>
      <w:pPr>
        <w:spacing w:after="0" w:line="333"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117"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hereof, or a suit by Holders of more than 10% in aggregate principal amount of the then outstanding Notes.</w:t>
      </w:r>
    </w:p>
    <w:p>
      <w:pPr>
        <w:spacing w:after="0" w:line="37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Duties of Trustee.</w:t>
      </w:r>
    </w:p>
    <w:p>
      <w:pPr>
        <w:spacing w:after="0" w:line="117" w:lineRule="exact"/>
        <w:rPr>
          <w:sz w:val="20"/>
          <w:szCs w:val="20"/>
          <w:color w:val="auto"/>
        </w:rPr>
      </w:pPr>
    </w:p>
    <w:p>
      <w:pPr>
        <w:ind w:right="100" w:firstLine="987"/>
        <w:spacing w:after="0" w:line="263" w:lineRule="auto"/>
        <w:tabs>
          <w:tab w:leader="none" w:pos="137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1380" w:hanging="393"/>
        <w:spacing w:after="0"/>
        <w:tabs>
          <w:tab w:leader="none" w:pos="13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980" w:firstLine="408"/>
        <w:spacing w:after="0" w:line="263" w:lineRule="auto"/>
        <w:tabs>
          <w:tab w:leader="none" w:pos="177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980" w:right="60" w:firstLine="408"/>
        <w:spacing w:after="0" w:line="259" w:lineRule="auto"/>
        <w:tabs>
          <w:tab w:leader="none" w:pos="177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in the absence of willful misconduct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78" w:lineRule="exact"/>
        <w:rPr>
          <w:rFonts w:ascii="Arial" w:cs="Arial" w:eastAsia="Arial" w:hAnsi="Arial"/>
          <w:sz w:val="18"/>
          <w:szCs w:val="18"/>
          <w:color w:val="auto"/>
        </w:rPr>
      </w:pPr>
    </w:p>
    <w:p>
      <w:pPr>
        <w:ind w:left="980" w:right="460" w:firstLine="408"/>
        <w:spacing w:after="0" w:line="263" w:lineRule="auto"/>
        <w:tabs>
          <w:tab w:leader="none" w:pos="177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other than with respect to a payment default, the Trustee shall not be charged with knowledge of any Default or Event of Default unless written notice has been delivered to a Responsible Officer at the Corporate Trust Office of the Trustee referencing the applicable provision of this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288" w:name="page289"/>
    <w:bookmarkEnd w:id="288"/>
    <w:p>
      <w:pPr>
        <w:ind w:left="-40" w:right="280" w:firstLine="987"/>
        <w:spacing w:after="0" w:line="277" w:lineRule="auto"/>
        <w:tabs>
          <w:tab w:leader="none" w:pos="1328"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not be relieved from liabilities for its own grossly negligent action, its own grossly negligent failure to act, or its own willful misconduct, except that:</w:t>
      </w:r>
    </w:p>
    <w:p>
      <w:pPr>
        <w:spacing w:after="0" w:line="62" w:lineRule="exact"/>
        <w:rPr>
          <w:rFonts w:ascii="Arial" w:cs="Arial" w:eastAsia="Arial" w:hAnsi="Arial"/>
          <w:sz w:val="18"/>
          <w:szCs w:val="18"/>
          <w:color w:val="auto"/>
        </w:rPr>
      </w:pPr>
    </w:p>
    <w:p>
      <w:pPr>
        <w:ind w:left="1740" w:hanging="392"/>
        <w:spacing w:after="0"/>
        <w:tabs>
          <w:tab w:leader="none" w:pos="174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117" w:lineRule="exact"/>
        <w:rPr>
          <w:rFonts w:ascii="Arial" w:cs="Arial" w:eastAsia="Arial" w:hAnsi="Arial"/>
          <w:sz w:val="18"/>
          <w:szCs w:val="18"/>
          <w:color w:val="auto"/>
        </w:rPr>
      </w:pPr>
    </w:p>
    <w:p>
      <w:pPr>
        <w:ind w:left="1740" w:hanging="392"/>
        <w:spacing w:after="0"/>
        <w:tabs>
          <w:tab w:leader="none" w:pos="174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and</w:t>
      </w:r>
    </w:p>
    <w:p>
      <w:pPr>
        <w:spacing w:after="0" w:line="117" w:lineRule="exact"/>
        <w:rPr>
          <w:rFonts w:ascii="Arial" w:cs="Arial" w:eastAsia="Arial" w:hAnsi="Arial"/>
          <w:sz w:val="18"/>
          <w:szCs w:val="18"/>
          <w:color w:val="auto"/>
        </w:rPr>
      </w:pPr>
    </w:p>
    <w:p>
      <w:pPr>
        <w:ind w:left="940" w:right="340" w:firstLine="408"/>
        <w:spacing w:after="0" w:line="277" w:lineRule="auto"/>
        <w:tabs>
          <w:tab w:leader="none" w:pos="1731"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pursuant to Section 6.05 hereof.</w:t>
      </w:r>
    </w:p>
    <w:p>
      <w:pPr>
        <w:spacing w:after="0" w:line="170" w:lineRule="exact"/>
        <w:rPr>
          <w:rFonts w:ascii="Arial" w:cs="Arial" w:eastAsia="Arial" w:hAnsi="Arial"/>
          <w:sz w:val="18"/>
          <w:szCs w:val="18"/>
          <w:color w:val="auto"/>
        </w:rPr>
      </w:pPr>
    </w:p>
    <w:p>
      <w:pPr>
        <w:ind w:left="-40" w:right="320" w:firstLine="987"/>
        <w:spacing w:after="0" w:line="277" w:lineRule="auto"/>
        <w:tabs>
          <w:tab w:leader="none" w:pos="133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ind w:left="1320" w:hanging="373"/>
        <w:spacing w:after="0"/>
        <w:tabs>
          <w:tab w:leader="none" w:pos="13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w:t>
      </w:r>
    </w:p>
    <w:p>
      <w:pPr>
        <w:spacing w:after="0" w:line="225" w:lineRule="exact"/>
        <w:rPr>
          <w:rFonts w:ascii="Arial" w:cs="Arial" w:eastAsia="Arial" w:hAnsi="Arial"/>
          <w:sz w:val="18"/>
          <w:szCs w:val="18"/>
          <w:color w:val="auto"/>
        </w:rPr>
      </w:pPr>
    </w:p>
    <w:p>
      <w:pPr>
        <w:ind w:left="-40" w:right="100" w:firstLine="987"/>
        <w:spacing w:after="0" w:line="277" w:lineRule="auto"/>
        <w:tabs>
          <w:tab w:leader="none" w:pos="130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278" w:lineRule="exact"/>
        <w:rPr>
          <w:sz w:val="20"/>
          <w:szCs w:val="20"/>
          <w:color w:val="auto"/>
        </w:rPr>
      </w:pPr>
    </w:p>
    <w:p>
      <w:pPr>
        <w:ind w:left="400"/>
        <w:spacing w:after="0"/>
        <w:tabs>
          <w:tab w:leader="none" w:pos="14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117" w:lineRule="exact"/>
        <w:rPr>
          <w:sz w:val="20"/>
          <w:szCs w:val="20"/>
          <w:color w:val="auto"/>
        </w:rPr>
      </w:pPr>
    </w:p>
    <w:p>
      <w:pPr>
        <w:ind w:left="-40" w:right="420" w:firstLine="987"/>
        <w:spacing w:after="0" w:line="277" w:lineRule="auto"/>
        <w:tabs>
          <w:tab w:leader="none" w:pos="132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ind w:left="-40" w:right="80" w:firstLine="987"/>
        <w:spacing w:after="0" w:line="255" w:lineRule="auto"/>
        <w:tabs>
          <w:tab w:leader="none" w:pos="134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engage and consult with professional advisors and counsel selected by it at the reasonable expense of the Company, and the Trustee may rely conclusively upon advice of such professional advisors and counsel or any Opinion of Counsel will be full and complete authorization and protection from liability in respect of any action taken, suffered or omitted by it hereunder in good faith and in reliance thereon by the Trustee and any of its directors, officers, employees or agents duly appointed.</w:t>
      </w:r>
    </w:p>
    <w:p>
      <w:pPr>
        <w:spacing w:after="0" w:line="192" w:lineRule="exact"/>
        <w:rPr>
          <w:rFonts w:ascii="Arial" w:cs="Arial" w:eastAsia="Arial" w:hAnsi="Arial"/>
          <w:sz w:val="18"/>
          <w:szCs w:val="18"/>
          <w:color w:val="auto"/>
        </w:rPr>
      </w:pPr>
    </w:p>
    <w:p>
      <w:pPr>
        <w:ind w:left="-40" w:right="480" w:firstLine="987"/>
        <w:spacing w:after="0" w:line="277" w:lineRule="auto"/>
        <w:tabs>
          <w:tab w:leader="none" w:pos="132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The Trustee shall have no duty to monitor the performance of such agents.</w:t>
      </w:r>
    </w:p>
    <w:p>
      <w:pPr>
        <w:spacing w:after="0" w:line="170" w:lineRule="exact"/>
        <w:rPr>
          <w:rFonts w:ascii="Arial" w:cs="Arial" w:eastAsia="Arial" w:hAnsi="Arial"/>
          <w:sz w:val="18"/>
          <w:szCs w:val="18"/>
          <w:color w:val="auto"/>
        </w:rPr>
      </w:pPr>
    </w:p>
    <w:p>
      <w:pPr>
        <w:ind w:left="-40" w:right="40" w:firstLine="987"/>
        <w:spacing w:after="0" w:line="259" w:lineRule="auto"/>
        <w:tabs>
          <w:tab w:leader="none" w:pos="133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 The Trustee shall not be required to take action at the direction of the Company or Holders which conflicts with the requirements of this Indenture or for which it is not indemnified to its satisfaction, or which involves undue risk or would be contrary to applicable law or regulation.</w:t>
      </w:r>
    </w:p>
    <w:p>
      <w:pPr>
        <w:spacing w:after="0" w:line="186" w:lineRule="exact"/>
        <w:rPr>
          <w:rFonts w:ascii="Arial" w:cs="Arial" w:eastAsia="Arial" w:hAnsi="Arial"/>
          <w:sz w:val="18"/>
          <w:szCs w:val="18"/>
          <w:color w:val="auto"/>
        </w:rPr>
      </w:pPr>
    </w:p>
    <w:p>
      <w:pPr>
        <w:ind w:left="-40" w:right="660" w:firstLine="987"/>
        <w:spacing w:after="0" w:line="277" w:lineRule="auto"/>
        <w:tabs>
          <w:tab w:leader="none" w:pos="133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or a director of the Company.</w:t>
      </w:r>
    </w:p>
    <w:p>
      <w:pPr>
        <w:spacing w:after="0" w:line="170" w:lineRule="exact"/>
        <w:rPr>
          <w:rFonts w:ascii="Arial" w:cs="Arial" w:eastAsia="Arial" w:hAnsi="Arial"/>
          <w:sz w:val="18"/>
          <w:szCs w:val="18"/>
          <w:color w:val="auto"/>
        </w:rPr>
      </w:pPr>
    </w:p>
    <w:p>
      <w:pPr>
        <w:ind w:left="-40" w:firstLine="987"/>
        <w:spacing w:after="0" w:line="263" w:lineRule="auto"/>
        <w:tabs>
          <w:tab w:leader="none" w:pos="130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indemnity and/or security satisfactory to it in its sole discretion against the losses, liabilities and expenses that might be incurred by it in compliance with such request or direction.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40"/>
          </w:cols>
          <w:pgMar w:left="480" w:top="274" w:right="479" w:bottom="1440" w:gutter="0" w:footer="0" w:header="0"/>
        </w:sectPr>
      </w:pPr>
    </w:p>
    <w:bookmarkStart w:id="289" w:name="page290"/>
    <w:bookmarkEnd w:id="289"/>
    <w:p>
      <w:pPr>
        <w:ind w:right="40" w:firstLine="987"/>
        <w:spacing w:after="0" w:line="254" w:lineRule="auto"/>
        <w:tabs>
          <w:tab w:leader="none" w:pos="1381" w:val="left"/>
        </w:tabs>
        <w:numPr>
          <w:ilvl w:val="0"/>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no event shall the Trustee be responsible or liable for any failure or delay in the performance of its obligations hereunder arising out of or caused by, directly or indirectly, forces beyond its control, including, without limitation, strikes, epidemic, pandemic (or any government restrictions imposed in response to an epidemic or pandemic) work stoppages, accidents, acts of war or terrorism, civil or military disturbances, nuclear or natural catastrophes or acts of God, interruptions, loss or malfunctions of utilities, communications or computer (software and hardware) services and the unavailability of the Federal Reserve Bank wire or facsimile or other communication facility; it being understood that the Trustee shall use reasonable efforts which are consistent with accepted practices in the banking industry to resume performance as soon as practicable under the circumstances.</w:t>
      </w:r>
    </w:p>
    <w:p>
      <w:pPr>
        <w:spacing w:after="0" w:line="194" w:lineRule="exact"/>
        <w:rPr>
          <w:rFonts w:ascii="Arial" w:cs="Arial" w:eastAsia="Arial" w:hAnsi="Arial"/>
          <w:sz w:val="18"/>
          <w:szCs w:val="18"/>
          <w:color w:val="auto"/>
        </w:rPr>
      </w:pPr>
    </w:p>
    <w:p>
      <w:pPr>
        <w:ind w:right="280" w:firstLine="987"/>
        <w:spacing w:after="0" w:line="381" w:lineRule="auto"/>
        <w:tabs>
          <w:tab w:leader="none" w:pos="1378" w:val="left"/>
        </w:tabs>
        <w:numPr>
          <w:ilvl w:val="0"/>
          <w:numId w:val="306"/>
        </w:numPr>
        <w:rPr>
          <w:rFonts w:ascii="Arial" w:cs="Arial" w:eastAsia="Arial" w:hAnsi="Arial"/>
          <w:sz w:val="15"/>
          <w:szCs w:val="15"/>
          <w:color w:val="auto"/>
        </w:rPr>
      </w:pPr>
      <w:r>
        <w:rPr>
          <w:rFonts w:ascii="Arial" w:cs="Arial" w:eastAsia="Arial" w:hAnsi="Arial"/>
          <w:sz w:val="15"/>
          <w:szCs w:val="15"/>
          <w:color w:val="auto"/>
        </w:rPr>
        <w:t>The recitals contained herein and in the Notes are made by the Company and not by the Trustee, and the Trustee, does not assume any responsibility for the correctness thereof. The Trustee makes no representation as to the validity or sufficiency of this Indenture or the Notes.</w:t>
      </w:r>
    </w:p>
    <w:p>
      <w:pPr>
        <w:spacing w:after="0" w:line="100" w:lineRule="exact"/>
        <w:rPr>
          <w:rFonts w:ascii="Arial" w:cs="Arial" w:eastAsia="Arial" w:hAnsi="Arial"/>
          <w:sz w:val="15"/>
          <w:szCs w:val="15"/>
          <w:color w:val="auto"/>
        </w:rPr>
      </w:pPr>
    </w:p>
    <w:p>
      <w:pPr>
        <w:ind w:right="100" w:firstLine="987"/>
        <w:spacing w:after="0" w:line="255" w:lineRule="auto"/>
        <w:tabs>
          <w:tab w:leader="none" w:pos="133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92" w:lineRule="exact"/>
        <w:rPr>
          <w:rFonts w:ascii="Arial" w:cs="Arial" w:eastAsia="Arial" w:hAnsi="Arial"/>
          <w:sz w:val="18"/>
          <w:szCs w:val="18"/>
          <w:color w:val="auto"/>
        </w:rPr>
      </w:pPr>
    </w:p>
    <w:p>
      <w:pPr>
        <w:ind w:right="260" w:firstLine="987"/>
        <w:spacing w:after="0" w:line="263" w:lineRule="auto"/>
        <w:tabs>
          <w:tab w:leader="none" w:pos="134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jc w:val="both"/>
        <w:ind w:right="120" w:firstLine="987"/>
        <w:spacing w:after="0" w:line="286" w:lineRule="auto"/>
        <w:tabs>
          <w:tab w:leader="none" w:pos="1378"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The rights, privileges, indemnity,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any such agent or custodian shall not be deemed to be a fiduciary;</w:t>
      </w:r>
    </w:p>
    <w:p>
      <w:pPr>
        <w:spacing w:after="0" w:line="165" w:lineRule="exact"/>
        <w:rPr>
          <w:rFonts w:ascii="Arial" w:cs="Arial" w:eastAsia="Arial" w:hAnsi="Arial"/>
          <w:sz w:val="17"/>
          <w:szCs w:val="17"/>
          <w:color w:val="auto"/>
        </w:rPr>
      </w:pPr>
    </w:p>
    <w:p>
      <w:pPr>
        <w:ind w:right="720" w:firstLine="987"/>
        <w:spacing w:after="0" w:line="277" w:lineRule="auto"/>
        <w:tabs>
          <w:tab w:leader="none" w:pos="133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right="80" w:firstLine="987"/>
        <w:spacing w:after="0" w:line="263" w:lineRule="auto"/>
        <w:tabs>
          <w:tab w:leader="none" w:pos="143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 the event that the Trustee and Agents shall be uncertain as to their respective duties or rights hereunder or shall receive instructions, claims or demands from the Company, which in their opinion, conflict with any of the provisions of this Indenture, they shall be entitled to refrain from taking action until directed in writing by a final order or judgment of a court of competent jurisdiction;</w:t>
      </w:r>
    </w:p>
    <w:p>
      <w:pPr>
        <w:spacing w:after="0" w:line="183" w:lineRule="exact"/>
        <w:rPr>
          <w:rFonts w:ascii="Arial" w:cs="Arial" w:eastAsia="Arial" w:hAnsi="Arial"/>
          <w:sz w:val="18"/>
          <w:szCs w:val="18"/>
          <w:color w:val="auto"/>
        </w:rPr>
      </w:pPr>
    </w:p>
    <w:p>
      <w:pPr>
        <w:ind w:right="40" w:firstLine="987"/>
        <w:spacing w:after="0" w:line="257" w:lineRule="auto"/>
        <w:tabs>
          <w:tab w:leader="none" w:pos="138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So long as any of the Notes remains outstanding, the Company shall provide the Agents with a sufficient number of copies of this Indenture and each of the documents sent to the Trustee or which are required to be made available by stock exchange regulations or stated in the Offering Memorandum relating to the Notes, to be available and, subject to being provided with such copies, each of the Agents will procure that such copies shall be available at its specified office during normal office hours for examination by the Holders and that copies thereof will be furnished to the Holders upon written request at their own expense;</w:t>
      </w:r>
    </w:p>
    <w:p>
      <w:pPr>
        <w:spacing w:after="0" w:line="187" w:lineRule="exact"/>
        <w:rPr>
          <w:rFonts w:ascii="Arial" w:cs="Arial" w:eastAsia="Arial" w:hAnsi="Arial"/>
          <w:sz w:val="18"/>
          <w:szCs w:val="18"/>
          <w:color w:val="auto"/>
        </w:rPr>
      </w:pPr>
    </w:p>
    <w:p>
      <w:pPr>
        <w:ind w:right="120" w:firstLine="987"/>
        <w:spacing w:after="0" w:line="263" w:lineRule="auto"/>
        <w:tabs>
          <w:tab w:leader="none" w:pos="137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and/or an Opinion of Counsel;</w:t>
      </w:r>
    </w:p>
    <w:p>
      <w:pPr>
        <w:spacing w:after="0" w:line="183" w:lineRule="exact"/>
        <w:rPr>
          <w:rFonts w:ascii="Arial" w:cs="Arial" w:eastAsia="Arial" w:hAnsi="Arial"/>
          <w:sz w:val="18"/>
          <w:szCs w:val="18"/>
          <w:color w:val="auto"/>
        </w:rPr>
      </w:pPr>
    </w:p>
    <w:p>
      <w:pPr>
        <w:ind w:firstLine="987"/>
        <w:spacing w:after="0" w:line="259" w:lineRule="auto"/>
        <w:tabs>
          <w:tab w:leader="none" w:pos="138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 the event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 if any, will be taken and shall not incur any liability for its failure to act until such inconsistency or conflict is, in its reasonable opinion, resolved;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290" w:name="page291"/>
    <w:bookmarkEnd w:id="290"/>
    <w:p>
      <w:pPr>
        <w:jc w:val="both"/>
        <w:ind w:right="80" w:firstLine="987"/>
        <w:spacing w:after="0" w:line="263" w:lineRule="auto"/>
        <w:tabs>
          <w:tab w:leader="none" w:pos="1378"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before commencing (or at any time during the continuance of) any act, action or proceeding, require the Holders at whose instance it is acting to deposit with the Trustee the Notes held by them, for which Notes the Trustee to which such Notes are deposited shall issue receipts to such Holders;</w:t>
      </w:r>
    </w:p>
    <w:p>
      <w:pPr>
        <w:spacing w:after="0" w:line="183" w:lineRule="exact"/>
        <w:rPr>
          <w:rFonts w:ascii="Arial" w:cs="Arial" w:eastAsia="Arial" w:hAnsi="Arial"/>
          <w:sz w:val="18"/>
          <w:szCs w:val="18"/>
          <w:color w:val="auto"/>
        </w:rPr>
      </w:pPr>
    </w:p>
    <w:p>
      <w:pPr>
        <w:jc w:val="both"/>
        <w:ind w:right="180" w:firstLine="987"/>
        <w:spacing w:after="0" w:line="279" w:lineRule="auto"/>
        <w:tabs>
          <w:tab w:leader="none" w:pos="1351" w:val="left"/>
        </w:tabs>
        <w:numPr>
          <w:ilvl w:val="0"/>
          <w:numId w:val="307"/>
        </w:numPr>
        <w:rPr>
          <w:rFonts w:ascii="Arial" w:cs="Arial" w:eastAsia="Arial" w:hAnsi="Arial"/>
          <w:sz w:val="17"/>
          <w:szCs w:val="17"/>
          <w:color w:val="auto"/>
        </w:rPr>
      </w:pPr>
      <w:r>
        <w:rPr>
          <w:rFonts w:ascii="Arial" w:cs="Arial" w:eastAsia="Arial" w:hAnsi="Arial"/>
          <w:sz w:val="17"/>
          <w:szCs w:val="17"/>
          <w:color w:val="auto"/>
        </w:rPr>
        <w:t>Notwithstanding any other provision of this Indenture, the Trustee and the Paying Agent shall be entitled to make a deduction or withholding from any payment which they make under this Indenture for or on account of any present or future taxes, duties or charges if and to the extent so required by applicable law, in which event the Trustee or the Paying Agent, as applicable, shall make such payment after such withholding or deduction has been made and shall account to the relevant authorities for the amount so withheld or deducted;</w:t>
      </w:r>
    </w:p>
    <w:p>
      <w:pPr>
        <w:spacing w:after="0" w:line="171" w:lineRule="exact"/>
        <w:rPr>
          <w:rFonts w:ascii="Arial" w:cs="Arial" w:eastAsia="Arial" w:hAnsi="Arial"/>
          <w:sz w:val="17"/>
          <w:szCs w:val="17"/>
          <w:color w:val="auto"/>
        </w:rPr>
      </w:pPr>
    </w:p>
    <w:p>
      <w:pPr>
        <w:ind w:right="160" w:firstLine="987"/>
        <w:spacing w:after="0" w:line="279" w:lineRule="auto"/>
        <w:tabs>
          <w:tab w:leader="none" w:pos="135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Trustee shall (except as expressly otherwise provided herein) as regards all the trusts, powers, authorities and discretions vested in it by this Indenture or by applicable law, have absolute and uncontrolled discretion as to the exercise or non-exercise thereof and, absent any wilful misconduct, gross negligence or fraud on the part of the Trustee the Trustee shall not be responsible for any loss, damage, cost, claim or any other liability or inconvenience that may result from the exercise or non-exercise thereof;</w:t>
      </w:r>
    </w:p>
    <w:p>
      <w:pPr>
        <w:spacing w:after="0" w:line="171" w:lineRule="exact"/>
        <w:rPr>
          <w:rFonts w:ascii="Arial" w:cs="Arial" w:eastAsia="Arial" w:hAnsi="Arial"/>
          <w:sz w:val="17"/>
          <w:szCs w:val="17"/>
          <w:color w:val="auto"/>
        </w:rPr>
      </w:pPr>
    </w:p>
    <w:p>
      <w:pPr>
        <w:jc w:val="both"/>
        <w:ind w:right="180" w:firstLine="987"/>
        <w:spacing w:after="0" w:line="263" w:lineRule="auto"/>
        <w:tabs>
          <w:tab w:leader="none" w:pos="134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of the Company mentioned herein shall be sufficiently evidenced if in writing and signed by an Officer of the Company and any resolution of the Board of Directors shall be sufficiently evidenced by a board resolution;</w:t>
      </w:r>
    </w:p>
    <w:p>
      <w:pPr>
        <w:spacing w:after="0" w:line="183" w:lineRule="exact"/>
        <w:rPr>
          <w:rFonts w:ascii="Arial" w:cs="Arial" w:eastAsia="Arial" w:hAnsi="Arial"/>
          <w:sz w:val="18"/>
          <w:szCs w:val="18"/>
          <w:color w:val="auto"/>
        </w:rPr>
      </w:pPr>
    </w:p>
    <w:p>
      <w:pPr>
        <w:ind w:right="120" w:firstLine="987"/>
        <w:spacing w:after="0" w:line="257" w:lineRule="auto"/>
        <w:tabs>
          <w:tab w:leader="none" w:pos="137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Trustee shall have no duty to inquire as to the performance of the covenants of the Company or its Restricted Subsidiaries. Delivery of reports, information and documents to the Trustee under Section 4.03 hereof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Officers’ Certificates);</w:t>
      </w:r>
    </w:p>
    <w:p>
      <w:pPr>
        <w:spacing w:after="0" w:line="187" w:lineRule="exact"/>
        <w:rPr>
          <w:rFonts w:ascii="Arial" w:cs="Arial" w:eastAsia="Arial" w:hAnsi="Arial"/>
          <w:sz w:val="18"/>
          <w:szCs w:val="18"/>
          <w:color w:val="auto"/>
        </w:rPr>
      </w:pPr>
    </w:p>
    <w:p>
      <w:pPr>
        <w:ind w:right="180" w:firstLine="987"/>
        <w:spacing w:after="0" w:line="259" w:lineRule="auto"/>
        <w:tabs>
          <w:tab w:leader="none" w:pos="137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spacing w:after="0" w:line="186" w:lineRule="exact"/>
        <w:rPr>
          <w:rFonts w:ascii="Arial" w:cs="Arial" w:eastAsia="Arial" w:hAnsi="Arial"/>
          <w:sz w:val="18"/>
          <w:szCs w:val="18"/>
          <w:color w:val="auto"/>
        </w:rPr>
      </w:pPr>
    </w:p>
    <w:p>
      <w:pPr>
        <w:ind w:right="180" w:firstLine="987"/>
        <w:spacing w:after="0" w:line="277" w:lineRule="auto"/>
        <w:tabs>
          <w:tab w:leader="none" w:pos="141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Trustee is not required to give any bond or surety with respect to the performance of its duty or the exercise of its power under this Indenture or the Notes;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do anything which, in its opinion, may be illegal or contrary to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 or regulation;</w:t>
      </w:r>
    </w:p>
    <w:p>
      <w:pPr>
        <w:spacing w:after="0" w:line="210" w:lineRule="exact"/>
        <w:rPr>
          <w:rFonts w:ascii="Arial" w:cs="Arial" w:eastAsia="Arial" w:hAnsi="Arial"/>
          <w:sz w:val="16"/>
          <w:szCs w:val="16"/>
          <w:color w:val="auto"/>
        </w:rPr>
      </w:pPr>
    </w:p>
    <w:p>
      <w:pPr>
        <w:ind w:right="40" w:firstLine="987"/>
        <w:spacing w:after="0" w:line="263" w:lineRule="auto"/>
        <w:tabs>
          <w:tab w:leader="none" w:pos="137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Trustee may assume without inquiry in the absence of actual knowledge that the Company is duly complying with its obligations contained in this Indenture required to be performed and observed by them, and that no Default or Event of Default or other event which would require repayment of the Notes has occurred; and</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7"/>
          <w:szCs w:val="17"/>
          <w:i w:val="1"/>
          <w:iCs w:val="1"/>
          <w:color w:val="auto"/>
        </w:rPr>
        <w:t>[Intentionally Omitted.]</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Individual Rights of Trustee.</w:t>
      </w:r>
    </w:p>
    <w:p>
      <w:pPr>
        <w:spacing w:after="0" w:line="117" w:lineRule="exact"/>
        <w:rPr>
          <w:sz w:val="20"/>
          <w:szCs w:val="20"/>
          <w:color w:val="auto"/>
        </w:rPr>
      </w:pPr>
    </w:p>
    <w:p>
      <w:pPr>
        <w:ind w:right="220" w:firstLine="987"/>
        <w:spacing w:after="0" w:line="342" w:lineRule="auto"/>
        <w:tabs>
          <w:tab w:leader="none" w:pos="136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Trustee in its individual or any other capacity may become the owner or pledgee of Notes and may otherwise deal with the Company or any Affiliate of the Company with the same rights it would have if it were not Trustee. The Trustee is also subject to Section 7.11 hereof.</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291" w:name="page292"/>
    <w:bookmarkEnd w:id="291"/>
    <w:p>
      <w:pPr>
        <w:ind w:firstLine="987"/>
        <w:spacing w:after="0" w:line="259" w:lineRule="auto"/>
        <w:tabs>
          <w:tab w:leader="none" w:pos="1381" w:val="left"/>
        </w:tabs>
        <w:numPr>
          <w:ilvl w:val="0"/>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Trustee becomes a creditor of the Company or a Subsidiary Guarantor, this Indenture limits its right to obtain payment of claims in certain cases, or to realize on certain property received in respect of any such claim as security or otherwise. The Trustee will be permitted to engage in other transactions; however, if it acquires actual knowledge that it has any conflicting interest it must eliminate such conflict within 90 days or resign.</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Trustee’s Disclaimer.</w:t>
      </w:r>
    </w:p>
    <w:p>
      <w:pPr>
        <w:spacing w:after="0" w:line="117" w:lineRule="exact"/>
        <w:rPr>
          <w:sz w:val="20"/>
          <w:szCs w:val="20"/>
          <w:color w:val="auto"/>
        </w:rPr>
      </w:pPr>
    </w:p>
    <w:p>
      <w:pPr>
        <w:ind w:right="140" w:firstLine="991"/>
        <w:spacing w:after="0" w:line="293" w:lineRule="auto"/>
        <w:rPr>
          <w:sz w:val="20"/>
          <w:szCs w:val="20"/>
          <w:color w:val="auto"/>
        </w:rPr>
      </w:pPr>
      <w:r>
        <w:rPr>
          <w:rFonts w:ascii="Arial" w:cs="Arial" w:eastAsia="Arial" w:hAnsi="Arial"/>
          <w:sz w:val="16"/>
          <w:szCs w:val="16"/>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the certificate of authentication. The Trustee shall not be deemed to be required to calculate any Fixed Charges, Treasury Rates, Additional Amounts, any make-whole amount, any Fixed Charge Coverage Ratio or other coverage ratio, or otherwise.</w:t>
      </w:r>
    </w:p>
    <w:p>
      <w:pPr>
        <w:spacing w:after="0" w:line="27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Notice of Defaults.</w:t>
      </w:r>
    </w:p>
    <w:p>
      <w:pPr>
        <w:spacing w:after="0" w:line="117"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If a Default or Event of Default occurs and is continuing and if it is known to the Trustee, the Trustee will mail to Holders a notice of the Default or Event of Default within ninety (90) days after it occurs. Except in the case of a Default or Event of Default in payment of principal of, premium, Additional Amounts, if any, or interest on, any Note, the Trustee shall not be deemed to have such actual knowledge and may withhold the notice if and so long as a committee of its Responsible Officers in good faith determines that withholding the notice is in the interests of the Holders.</w:t>
      </w:r>
    </w:p>
    <w:p>
      <w:pPr>
        <w:spacing w:after="0" w:line="15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7"/>
          <w:szCs w:val="17"/>
          <w:i w:val="1"/>
          <w:iCs w:val="1"/>
          <w:color w:val="auto"/>
        </w:rPr>
        <w:t>[Intentionally Omitted.]</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i w:val="1"/>
          <w:iCs w:val="1"/>
          <w:color w:val="auto"/>
        </w:rPr>
        <w:t>Compensation and Indemnity.</w:t>
      </w:r>
    </w:p>
    <w:p>
      <w:pPr>
        <w:spacing w:after="0" w:line="117" w:lineRule="exact"/>
        <w:rPr>
          <w:sz w:val="20"/>
          <w:szCs w:val="20"/>
          <w:color w:val="auto"/>
        </w:rPr>
      </w:pPr>
    </w:p>
    <w:p>
      <w:pPr>
        <w:ind w:right="40" w:firstLine="987"/>
        <w:spacing w:after="0" w:line="275" w:lineRule="auto"/>
        <w:tabs>
          <w:tab w:leader="none" w:pos="1368"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Company will pay to the Trustee from time to time reasonable compensation for its acceptance of this Indenture and services hereunder pursuant to a written fee agreement executed or as otherwise agreed by the Trustee and the Company. The Trustee’s compensation will not be limited by any law on compensation of a trustee of an express trust. The Company will reimburse the Trustee promptly upon request for all reasonable disbursements, advances and expenses properly incurred or made by it in addition to the compensation for its services. Such expenses will include the reasonable compensation, disbursements and expenses of the Trustee’s agents and counsel.</w:t>
      </w:r>
    </w:p>
    <w:p>
      <w:pPr>
        <w:spacing w:after="0" w:line="176" w:lineRule="exact"/>
        <w:rPr>
          <w:rFonts w:ascii="Arial" w:cs="Arial" w:eastAsia="Arial" w:hAnsi="Arial"/>
          <w:sz w:val="17"/>
          <w:szCs w:val="17"/>
          <w:color w:val="auto"/>
        </w:rPr>
      </w:pPr>
    </w:p>
    <w:p>
      <w:pPr>
        <w:ind w:firstLine="987"/>
        <w:spacing w:after="0" w:line="287" w:lineRule="auto"/>
        <w:tabs>
          <w:tab w:leader="none" w:pos="137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Company and the Subsidiary Guarantors will indemnify the Trustee and its officers, directors, employees and agents against any and all losses, liabilities or expenses (including the fees and expenses of counsel) incurred by it arising out of or in connection with the acceptance or administration of its duties under this Indenture, including the costs and expenses of enforcing this Indenture against the Company and the Subsidiary Guarantors (including this Section 7.08) and defending itself against any claim (whether asserted by the Company, the Subsidiary Guarantors, any Holder or any other Person) or liability in connection with the exercise or performance of any of its powers or duties hereunder, except to the extent any such loss, liability or expense may be attributable solely to its gross negligence, willful misconduct or fraud as determined by a court of competent jurisdiction in a final non-appealable order. The Trustee will notify the Company promptly of any claim for which it may seek indemnity. Failure by the Trustee to so notify the Company will not relieve the Company or any of the Subsidiary Guarantors of their obligations hereunder. The Company or such Subsidiary Guarantor will defend the claim and the Trustee will cooperate in the defense. The Trustee may have separate counsel and the Company will pay the reasonable fees and expenses of such counsel. Neither the Company nor any Subsidiary Guarantor need to pay for any settlement made without its consent, which consent will not be unreasonably withheld.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4" w:right="479" w:bottom="1440" w:gutter="0" w:footer="0" w:header="0"/>
        </w:sectPr>
      </w:pPr>
    </w:p>
    <w:bookmarkStart w:id="292" w:name="page293"/>
    <w:bookmarkEnd w:id="292"/>
    <w:p>
      <w:pPr>
        <w:ind w:right="120" w:firstLine="987"/>
        <w:spacing w:after="0" w:line="277" w:lineRule="auto"/>
        <w:tabs>
          <w:tab w:leader="none" w:pos="1368" w:val="left"/>
        </w:tabs>
        <w:numPr>
          <w:ilvl w:val="0"/>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Company and the Subsidiary Guarantors under this Section 7.08 will survive the satisfaction and discharge of this Indenture, and the resignation or removal of the Trustee and/or any Agent.</w:t>
      </w:r>
    </w:p>
    <w:p>
      <w:pPr>
        <w:spacing w:after="0" w:line="170" w:lineRule="exact"/>
        <w:rPr>
          <w:rFonts w:ascii="Arial" w:cs="Arial" w:eastAsia="Arial" w:hAnsi="Arial"/>
          <w:sz w:val="18"/>
          <w:szCs w:val="18"/>
          <w:color w:val="auto"/>
        </w:rPr>
      </w:pPr>
    </w:p>
    <w:p>
      <w:pPr>
        <w:jc w:val="both"/>
        <w:ind w:right="60" w:firstLine="987"/>
        <w:spacing w:after="0" w:line="263" w:lineRule="auto"/>
        <w:tabs>
          <w:tab w:leader="none" w:pos="137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To secure the Company’s and the Subsidiary Guarantors’ payment obligations in this Section 7.08, the Trustee will have a Lien prior to the Notes on all money or property held or collected by the Trustee, in its capacity as Trustee, except that held in trust to pay principal and interest on particular Notes. Such Lien will survive the satisfaction and discharge of this Indenture.</w:t>
      </w:r>
    </w:p>
    <w:p>
      <w:pPr>
        <w:spacing w:after="0" w:line="183" w:lineRule="exact"/>
        <w:rPr>
          <w:rFonts w:ascii="Arial" w:cs="Arial" w:eastAsia="Arial" w:hAnsi="Arial"/>
          <w:sz w:val="18"/>
          <w:szCs w:val="18"/>
          <w:color w:val="auto"/>
        </w:rPr>
      </w:pPr>
    </w:p>
    <w:p>
      <w:pPr>
        <w:jc w:val="both"/>
        <w:ind w:right="160" w:firstLine="987"/>
        <w:spacing w:after="0" w:line="263" w:lineRule="auto"/>
        <w:tabs>
          <w:tab w:leader="none" w:pos="136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6.01(a)(7) or Section 6.01(a)(8) hereof occurs, the expenses and the compensation for the services (including the fees and expenses of its agents and counsel) are intended to constitute expenses of administration under any Bankruptcy Law.</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Replacement of Trustee.</w:t>
      </w:r>
    </w:p>
    <w:p>
      <w:pPr>
        <w:spacing w:after="0" w:line="117" w:lineRule="exact"/>
        <w:rPr>
          <w:sz w:val="20"/>
          <w:szCs w:val="20"/>
          <w:color w:val="auto"/>
        </w:rPr>
      </w:pPr>
    </w:p>
    <w:p>
      <w:pPr>
        <w:ind w:right="560" w:firstLine="987"/>
        <w:spacing w:after="0" w:line="277" w:lineRule="auto"/>
        <w:tabs>
          <w:tab w:leader="none" w:pos="136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7.09.</w:t>
      </w:r>
    </w:p>
    <w:p>
      <w:pPr>
        <w:spacing w:after="0" w:line="170" w:lineRule="exact"/>
        <w:rPr>
          <w:rFonts w:ascii="Arial" w:cs="Arial" w:eastAsia="Arial" w:hAnsi="Arial"/>
          <w:sz w:val="18"/>
          <w:szCs w:val="18"/>
          <w:color w:val="auto"/>
        </w:rPr>
      </w:pPr>
    </w:p>
    <w:p>
      <w:pPr>
        <w:ind w:right="20" w:firstLine="987"/>
        <w:spacing w:after="0" w:line="263" w:lineRule="auto"/>
        <w:tabs>
          <w:tab w:leader="none" w:pos="137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Trustee fails to comply with Section 7.11 hereof;</w:t>
      </w:r>
    </w:p>
    <w:p>
      <w:pPr>
        <w:spacing w:after="0" w:line="117" w:lineRule="exact"/>
        <w:rPr>
          <w:rFonts w:ascii="Arial" w:cs="Arial" w:eastAsia="Arial" w:hAnsi="Arial"/>
          <w:sz w:val="18"/>
          <w:szCs w:val="18"/>
          <w:color w:val="auto"/>
        </w:rPr>
      </w:pPr>
    </w:p>
    <w:p>
      <w:pPr>
        <w:ind w:left="980" w:right="680" w:firstLine="408"/>
        <w:spacing w:after="0" w:line="277" w:lineRule="auto"/>
        <w:tabs>
          <w:tab w:leader="none" w:pos="1771"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Trustee is adjudged a bankrupt or an insolvent or an order for relief is entered with respect to the Trustee under any Bankruptcy Law;</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100" w:firstLine="987"/>
        <w:spacing w:after="0" w:line="286" w:lineRule="auto"/>
        <w:tabs>
          <w:tab w:leader="none" w:pos="1371" w:val="left"/>
        </w:tabs>
        <w:numPr>
          <w:ilvl w:val="0"/>
          <w:numId w:val="312"/>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will promptly appoint a successor Trustee. Within one (1) year after the successor Trustee takes office, the holders of a majority in aggregate principal amount of the then outstanding Notes may appoint a successor Trustee to replace the successor Trustee appointed by the Company.</w:t>
      </w:r>
    </w:p>
    <w:p>
      <w:pPr>
        <w:spacing w:after="0" w:line="165" w:lineRule="exact"/>
        <w:rPr>
          <w:rFonts w:ascii="Arial" w:cs="Arial" w:eastAsia="Arial" w:hAnsi="Arial"/>
          <w:sz w:val="17"/>
          <w:szCs w:val="17"/>
          <w:color w:val="auto"/>
        </w:rPr>
      </w:pPr>
    </w:p>
    <w:p>
      <w:pPr>
        <w:ind w:right="100" w:firstLine="987"/>
        <w:spacing w:after="0" w:line="263" w:lineRule="auto"/>
        <w:tabs>
          <w:tab w:leader="none" w:pos="138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sixty (60) days after the retiring Trustee resigns or is removed, the retiring Trustee, the Company, or the Holders of at least 10% in aggregate principal amount of the then outstanding Notes may petition any court of competent jurisdiction for the appointment of a successor Trustee at the sole expense of the Company.</w:t>
      </w:r>
    </w:p>
    <w:p>
      <w:pPr>
        <w:spacing w:after="0" w:line="183" w:lineRule="exact"/>
        <w:rPr>
          <w:rFonts w:ascii="Arial" w:cs="Arial" w:eastAsia="Arial" w:hAnsi="Arial"/>
          <w:sz w:val="18"/>
          <w:szCs w:val="18"/>
          <w:color w:val="auto"/>
        </w:rPr>
      </w:pPr>
    </w:p>
    <w:p>
      <w:pPr>
        <w:ind w:right="260" w:firstLine="987"/>
        <w:spacing w:after="0" w:line="342" w:lineRule="auto"/>
        <w:tabs>
          <w:tab w:leader="none" w:pos="137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If the Trustee, after written request by any Holder who has been a Holder for at least six months, fails to comply with Section 7.11 hereof, such Holder may petition any court of competent jurisdiction for the removal of the Trustee and the appointment of a successor Trustee.</w:t>
      </w:r>
    </w:p>
    <w:p>
      <w:pPr>
        <w:spacing w:after="0" w:line="123" w:lineRule="exact"/>
        <w:rPr>
          <w:rFonts w:ascii="Arial" w:cs="Arial" w:eastAsia="Arial" w:hAnsi="Arial"/>
          <w:sz w:val="16"/>
          <w:szCs w:val="16"/>
          <w:color w:val="auto"/>
        </w:rPr>
      </w:pPr>
    </w:p>
    <w:p>
      <w:pPr>
        <w:ind w:firstLine="987"/>
        <w:spacing w:after="0" w:line="255" w:lineRule="auto"/>
        <w:tabs>
          <w:tab w:leader="none" w:pos="134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7.08 hereof. Notwithstanding replacement of the Trustee pursuant to this Section 7.09, the Company’s obligations under Section 7.08 hereof will continue for the benefit of the retiring Trustee.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293" w:name="page294"/>
    <w:bookmarkEnd w:id="293"/>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7.10</w:t>
      </w:r>
      <w:r>
        <w:rPr>
          <w:sz w:val="20"/>
          <w:szCs w:val="20"/>
          <w:color w:val="auto"/>
        </w:rPr>
        <w:tab/>
      </w:r>
      <w:r>
        <w:rPr>
          <w:rFonts w:ascii="Arial" w:cs="Arial" w:eastAsia="Arial" w:hAnsi="Arial"/>
          <w:sz w:val="15"/>
          <w:szCs w:val="15"/>
          <w:i w:val="1"/>
          <w:iCs w:val="1"/>
          <w:color w:val="auto"/>
        </w:rPr>
        <w:t>Successor Trustee by Merger, etc.</w:t>
      </w:r>
    </w:p>
    <w:p>
      <w:pPr>
        <w:spacing w:after="0" w:line="117"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278"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7"/>
          <w:szCs w:val="17"/>
          <w:i w:val="1"/>
          <w:iCs w:val="1"/>
          <w:color w:val="auto"/>
        </w:rPr>
        <w:t>Eligibility; Disqualification.</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There shall at all times be a Trustee hereunder that is entitled to carry out the activities of a trustee under the laws of England and Wales, or Hong Kong or the State of New York or is a corporation organized or doing business under the laws of the United States of America or any state thereof or the District of Columbia that is authorized under such laws to exercise corporate trustee power and that is a corporation which is generally recognized as a corporation which customarily performs such corporate trustee roles and provides such corporate trustee services in transactions similar in nature to the offering of the Notes. No obligor under the Notes or Person directly controlling, controlled by, or under common control with such obligor shall serve as trustee under the Notes.</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i w:val="1"/>
          <w:iCs w:val="1"/>
          <w:color w:val="auto"/>
        </w:rPr>
        <w:t>Appointment of Co-Trustee.</w:t>
      </w:r>
    </w:p>
    <w:p>
      <w:pPr>
        <w:spacing w:after="0" w:line="117" w:lineRule="exact"/>
        <w:rPr>
          <w:sz w:val="20"/>
          <w:szCs w:val="20"/>
          <w:color w:val="auto"/>
        </w:rPr>
      </w:pPr>
    </w:p>
    <w:p>
      <w:pPr>
        <w:ind w:right="120" w:firstLine="987"/>
        <w:spacing w:after="0" w:line="273" w:lineRule="auto"/>
        <w:tabs>
          <w:tab w:leader="none" w:pos="1371" w:val="left"/>
        </w:tabs>
        <w:numPr>
          <w:ilvl w:val="0"/>
          <w:numId w:val="313"/>
        </w:numPr>
        <w:rPr>
          <w:rFonts w:ascii="Arial" w:cs="Arial" w:eastAsia="Arial" w:hAnsi="Arial"/>
          <w:sz w:val="17"/>
          <w:szCs w:val="17"/>
          <w:color w:val="auto"/>
        </w:rPr>
      </w:pPr>
      <w:r>
        <w:rPr>
          <w:rFonts w:ascii="Arial" w:cs="Arial" w:eastAsia="Arial" w:hAnsi="Arial"/>
          <w:sz w:val="17"/>
          <w:szCs w:val="17"/>
          <w:color w:val="auto"/>
        </w:rPr>
        <w:t>Notwithstanding any other provisions of this Indenture, at any time, for the purpose of meeting any legal requirement of any jurisdiction or otherwise, the Trustee shall have the power and may execute and deliver all instruments necessary to appoint one or more Persons to act as a co-trustee or co-trustees, or separate trustees, of all or any part of this Indenture, and to vest in such Person or Persons, in such capacity and for the benefit of the Holders, such powers, duties, obligations, rights and trusts as the Trustee may consider necessary or desirable. No co-trustee or separate trustee hereunder shall be required to meet the terms of eligibility as a successor trustee under Section 7.09 hereof and no notice to the Holders of the appointment of any co-trustee or separate trustee shall be required.</w:t>
      </w:r>
    </w:p>
    <w:p>
      <w:pPr>
        <w:spacing w:after="0" w:line="177" w:lineRule="exact"/>
        <w:rPr>
          <w:rFonts w:ascii="Arial" w:cs="Arial" w:eastAsia="Arial" w:hAnsi="Arial"/>
          <w:sz w:val="17"/>
          <w:szCs w:val="17"/>
          <w:color w:val="auto"/>
        </w:rPr>
      </w:pPr>
    </w:p>
    <w:p>
      <w:pPr>
        <w:ind w:left="1380" w:hanging="393"/>
        <w:spacing w:after="0"/>
        <w:tabs>
          <w:tab w:leader="none" w:pos="138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Every separate trustee and co- trustee shall, to the extent permitted by law, be appointed and act subject to the following provisions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conditions:</w:t>
      </w:r>
    </w:p>
    <w:p>
      <w:pPr>
        <w:spacing w:after="0" w:line="102" w:lineRule="exact"/>
        <w:rPr>
          <w:rFonts w:ascii="Arial" w:cs="Arial" w:eastAsia="Arial" w:hAnsi="Arial"/>
          <w:sz w:val="16"/>
          <w:szCs w:val="16"/>
          <w:color w:val="auto"/>
        </w:rPr>
      </w:pPr>
    </w:p>
    <w:p>
      <w:pPr>
        <w:ind w:left="980" w:right="160" w:firstLine="408"/>
        <w:spacing w:after="0" w:line="255" w:lineRule="auto"/>
        <w:tabs>
          <w:tab w:leader="none" w:pos="1761"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84" w:lineRule="exact"/>
        <w:rPr>
          <w:rFonts w:ascii="Arial" w:cs="Arial" w:eastAsia="Arial" w:hAnsi="Arial"/>
          <w:sz w:val="18"/>
          <w:szCs w:val="18"/>
          <w:color w:val="auto"/>
        </w:rPr>
      </w:pPr>
    </w:p>
    <w:p>
      <w:pPr>
        <w:ind w:left="1780" w:hanging="392"/>
        <w:spacing w:after="0"/>
        <w:tabs>
          <w:tab w:leader="none" w:pos="1780" w:val="left"/>
        </w:tabs>
        <w:numPr>
          <w:ilvl w:val="1"/>
          <w:numId w:val="313"/>
        </w:numPr>
        <w:rPr>
          <w:rFonts w:ascii="Arial" w:cs="Arial" w:eastAsia="Arial" w:hAnsi="Arial"/>
          <w:sz w:val="17"/>
          <w:szCs w:val="17"/>
          <w:color w:val="auto"/>
        </w:rPr>
      </w:pPr>
      <w:r>
        <w:rPr>
          <w:rFonts w:ascii="Arial" w:cs="Arial" w:eastAsia="Arial" w:hAnsi="Arial"/>
          <w:sz w:val="17"/>
          <w:szCs w:val="17"/>
          <w:color w:val="auto"/>
        </w:rPr>
        <w:t>No trustee hereunder shall be personally liable by reason of any act or omission of any other trustee hereunder; and</w:t>
      </w:r>
    </w:p>
    <w:p>
      <w:pPr>
        <w:spacing w:after="0" w:line="128" w:lineRule="exact"/>
        <w:rPr>
          <w:rFonts w:ascii="Arial" w:cs="Arial" w:eastAsia="Arial" w:hAnsi="Arial"/>
          <w:sz w:val="17"/>
          <w:szCs w:val="17"/>
          <w:color w:val="auto"/>
        </w:rPr>
      </w:pPr>
    </w:p>
    <w:p>
      <w:pPr>
        <w:ind w:left="1780" w:hanging="392"/>
        <w:spacing w:after="0"/>
        <w:tabs>
          <w:tab w:leader="none" w:pos="17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Trustee may at any time accept the resignation of or remove any separate trustee or co-trustee.</w:t>
      </w:r>
    </w:p>
    <w:p>
      <w:pPr>
        <w:spacing w:after="0" w:line="225" w:lineRule="exact"/>
        <w:rPr>
          <w:rFonts w:ascii="Arial" w:cs="Arial" w:eastAsia="Arial" w:hAnsi="Arial"/>
          <w:sz w:val="18"/>
          <w:szCs w:val="18"/>
          <w:color w:val="auto"/>
        </w:rPr>
      </w:pPr>
    </w:p>
    <w:p>
      <w:pPr>
        <w:ind w:firstLine="987"/>
        <w:spacing w:after="0" w:line="254" w:lineRule="auto"/>
        <w:tabs>
          <w:tab w:leader="none" w:pos="136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notice, request or other writing given to the Trustee shall be deemed to have been given to each of the then separate trustees and co-trustees, as effectively as if given to each of them. Every instrument appointing any separate trustee or co-trustee shall refer to this Indenture and the conditions of this Section 7.12.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294" w:name="page295"/>
    <w:bookmarkEnd w:id="294"/>
    <w:p>
      <w:pPr>
        <w:ind w:firstLine="987"/>
        <w:spacing w:after="0" w:line="279" w:lineRule="auto"/>
        <w:tabs>
          <w:tab w:leader="none" w:pos="1371" w:val="left"/>
        </w:tabs>
        <w:numPr>
          <w:ilvl w:val="0"/>
          <w:numId w:val="3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separate trustee or co-trustee may at any time constitute the Trustee its agent or attorney-in-fact with full power and authority, to the extent not prohibited by law, to do any lawful act under or in respect of this Indenture on its behalf and in its name. If any separate trustee or co-trustee shall die, become incapable of acting, resign or be removed, all of its estates, properties, rights, remedies, and trusts shall vest in and be exercised by the Trustee, to the extent permitted by law, without the appointment of a new or successor trustee.</w:t>
      </w:r>
    </w:p>
    <w:p>
      <w:pPr>
        <w:spacing w:after="0" w:line="27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i w:val="1"/>
          <w:iCs w:val="1"/>
          <w:color w:val="auto"/>
        </w:rPr>
        <w:t>Resignation of Agents.</w:t>
      </w:r>
    </w:p>
    <w:p>
      <w:pPr>
        <w:spacing w:after="0" w:line="117"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Any Agent may resign and be discharged from its duties under this Indenture at any time by giving thirty (30) days’ prior written notice of such resignation to the Trustee and the Company. The Trustee or the Company may remove any Agent at any time by giving thirty (30) days’ prior written notice to such Agent. Upon such notice, a successor Agent shall be appointed by the Company, who shall provide written notice of such to the Trustee. Such successor Agent shall become the Agent hereunder upon the resignation or removal date specified in such notice. If the Company is unable to replace the resigning Agent within thirty (30) days after such notice, the Agent shall deliver any funds then held hereunder in its possession to the Trustee or (i) such Agent may appoint as its successor Agent, any reputable and experienced financial institution acceptable to the Trustee and the Company or (ii) apply to a court of competent jurisdiction for the appointment of a successor Agent or for other appropriate relief. The reasonable costs and expenses (including its counsels’ fees and expenses) incurred by the Agent in connection with such proceeding shall be paid by the Company.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7.08 hereof.</w:t>
      </w:r>
    </w:p>
    <w:p>
      <w:pPr>
        <w:spacing w:after="0" w:line="28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7.14</w:t>
      </w:r>
      <w:r>
        <w:rPr>
          <w:sz w:val="20"/>
          <w:szCs w:val="20"/>
          <w:color w:val="auto"/>
        </w:rPr>
        <w:tab/>
      </w:r>
      <w:r>
        <w:rPr>
          <w:rFonts w:ascii="Arial" w:cs="Arial" w:eastAsia="Arial" w:hAnsi="Arial"/>
          <w:sz w:val="16"/>
          <w:szCs w:val="16"/>
          <w:i w:val="1"/>
          <w:iCs w:val="1"/>
          <w:color w:val="auto"/>
        </w:rPr>
        <w:t>Agents General Provisions.</w:t>
      </w:r>
    </w:p>
    <w:p>
      <w:pPr>
        <w:spacing w:after="0" w:line="117"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rights, powers, duties and obligations and actions of each Agent under this Indenture are several and not joint or joint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w:t>
      </w:r>
    </w:p>
    <w:p>
      <w:pPr>
        <w:spacing w:after="0" w:line="211" w:lineRule="exact"/>
        <w:rPr>
          <w:sz w:val="20"/>
          <w:szCs w:val="20"/>
          <w:color w:val="auto"/>
        </w:rPr>
      </w:pPr>
    </w:p>
    <w:p>
      <w:pPr>
        <w:ind w:firstLine="987"/>
        <w:spacing w:after="0" w:line="259" w:lineRule="auto"/>
        <w:tabs>
          <w:tab w:leader="none" w:pos="137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Company and the Agents acknowledge and agree that in the event of a Default or Event of Default, the Trustee may, by notice in writing to the Company and the Agents, require that the Agents act as agents of, and take instructions exclusively from, the Trustee. Until they have received such written notice from the Trustee, the Agents shall act solely as agents of the Company and need have no concern for the interests of the Holders.</w:t>
      </w:r>
    </w:p>
    <w:p>
      <w:pPr>
        <w:spacing w:after="0" w:line="186" w:lineRule="exact"/>
        <w:rPr>
          <w:rFonts w:ascii="Arial" w:cs="Arial" w:eastAsia="Arial" w:hAnsi="Arial"/>
          <w:sz w:val="18"/>
          <w:szCs w:val="18"/>
          <w:color w:val="auto"/>
        </w:rPr>
      </w:pPr>
    </w:p>
    <w:p>
      <w:pPr>
        <w:ind w:firstLine="987"/>
        <w:spacing w:after="0" w:line="259" w:lineRule="auto"/>
        <w:tabs>
          <w:tab w:leader="none" w:pos="137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 the event that instructions given to any Agent are not reasonably clear, then such Agent shall be entitled to seek clarification from the Company or other party entitled to give the Agents instructions under this Indenture. If an Agent has sought clarification in accordance with this Section 7.14(c), then such Agent shall be entitled to take no action until such clarification is provided, and shall not incur any liability for not taking any action pending receipt of such clarification.</w:t>
      </w:r>
    </w:p>
    <w:p>
      <w:pPr>
        <w:spacing w:after="0" w:line="186" w:lineRule="exact"/>
        <w:rPr>
          <w:rFonts w:ascii="Arial" w:cs="Arial" w:eastAsia="Arial" w:hAnsi="Arial"/>
          <w:sz w:val="18"/>
          <w:szCs w:val="18"/>
          <w:color w:val="auto"/>
        </w:rPr>
      </w:pPr>
    </w:p>
    <w:p>
      <w:pPr>
        <w:ind w:left="1380" w:hanging="393"/>
        <w:spacing w:after="0"/>
        <w:tabs>
          <w:tab w:leader="none" w:pos="13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Agents shall only have such duties as expressly set out in this Indenture.</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Company shall provide the Agents with a certified list of authorized signatories.</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7.15</w:t>
      </w:r>
      <w:r>
        <w:rPr>
          <w:sz w:val="20"/>
          <w:szCs w:val="20"/>
          <w:color w:val="auto"/>
        </w:rPr>
        <w:tab/>
      </w:r>
      <w:r>
        <w:rPr>
          <w:rFonts w:ascii="Arial" w:cs="Arial" w:eastAsia="Arial" w:hAnsi="Arial"/>
          <w:sz w:val="16"/>
          <w:szCs w:val="16"/>
          <w:i w:val="1"/>
          <w:iCs w:val="1"/>
          <w:color w:val="auto"/>
        </w:rPr>
        <w:t>Rights of Trustee in Other Roles.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All rights, powers and indemnities contained in this Article 7 shall apply to the Trustee in its other roles hereunder and to the Agents.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60"/>
          </w:cols>
          <w:pgMar w:left="440" w:top="274" w:right="499" w:bottom="1440" w:gutter="0" w:footer="0" w:header="0"/>
        </w:sectPr>
      </w:pPr>
    </w:p>
    <w:bookmarkStart w:id="295" w:name="page296"/>
    <w:bookmarkEnd w:id="29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117"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23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117"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Upon the Company’s exercise under Section 8.01 hereof of the option applicable to this Section 8.02, the Company and each of the Subsidiary Guarantors will, subject to the satisfaction of the conditions set forth in Section 8.04 hereof, be deemed to have been discharged from their Obligations with respect to all outstanding Notes (including the Note Guarantees) on the date the conditions set forth below are satisfied (hereinafter, “</w:t>
      </w:r>
      <w:r>
        <w:rPr>
          <w:rFonts w:ascii="Arial" w:cs="Arial" w:eastAsia="Arial" w:hAnsi="Arial"/>
          <w:sz w:val="17"/>
          <w:szCs w:val="17"/>
          <w:i w:val="1"/>
          <w:iCs w:val="1"/>
          <w:color w:val="auto"/>
        </w:rPr>
        <w:t>Legal Defeasance</w:t>
      </w:r>
      <w:r>
        <w:rPr>
          <w:rFonts w:ascii="Arial" w:cs="Arial" w:eastAsia="Arial" w:hAnsi="Arial"/>
          <w:sz w:val="17"/>
          <w:szCs w:val="17"/>
          <w:color w:val="auto"/>
        </w:rPr>
        <w:t>”). For this purpose, Legal Defeasance means that the Company and the Subsidiary Guarantors will be deemed to have paid and discharged the entire Indebtedness represented by the outstanding Notes (including the Note Guarantees), which will thereafter be deemed to be “outstanding” only for the purposes of Section 8.05 hereof and the other Sections of this Indenture referred to in clauses (1) and (2) below, and to have satisfied all their other obligations under such Notes, the Note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73" w:lineRule="exact"/>
        <w:rPr>
          <w:sz w:val="20"/>
          <w:szCs w:val="20"/>
          <w:color w:val="auto"/>
        </w:rPr>
      </w:pPr>
    </w:p>
    <w:p>
      <w:pPr>
        <w:ind w:left="980" w:right="580" w:firstLine="408"/>
        <w:spacing w:after="0" w:line="342" w:lineRule="auto"/>
        <w:tabs>
          <w:tab w:leader="none" w:pos="177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rights of Holders of outstanding Notes to receive payments in respect of the principal of, or interest or premium and Additional Amounts, if any, on, such Notes when such payments are due from the trust referred to in Section 8.04 hereof;</w:t>
      </w:r>
    </w:p>
    <w:p>
      <w:pPr>
        <w:spacing w:after="0" w:line="15" w:lineRule="exact"/>
        <w:rPr>
          <w:rFonts w:ascii="Arial" w:cs="Arial" w:eastAsia="Arial" w:hAnsi="Arial"/>
          <w:sz w:val="16"/>
          <w:szCs w:val="16"/>
          <w:color w:val="auto"/>
        </w:rPr>
      </w:pPr>
    </w:p>
    <w:p>
      <w:pPr>
        <w:ind w:left="1780" w:hanging="392"/>
        <w:spacing w:after="0"/>
        <w:tabs>
          <w:tab w:leader="none" w:pos="17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Company’s Obligations with respect to the Notes under Article 2 and Section 4.02 hereof;</w:t>
      </w:r>
    </w:p>
    <w:p>
      <w:pPr>
        <w:spacing w:after="0" w:line="117" w:lineRule="exact"/>
        <w:rPr>
          <w:rFonts w:ascii="Arial" w:cs="Arial" w:eastAsia="Arial" w:hAnsi="Arial"/>
          <w:sz w:val="18"/>
          <w:szCs w:val="18"/>
          <w:color w:val="auto"/>
        </w:rPr>
      </w:pPr>
    </w:p>
    <w:p>
      <w:pPr>
        <w:ind w:left="980" w:right="40" w:firstLine="408"/>
        <w:spacing w:after="0" w:line="277" w:lineRule="auto"/>
        <w:tabs>
          <w:tab w:leader="none" w:pos="1771"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the Paying Agent and Transfer Agent and the Registrar, and the Company’s and the Subsidiary Guarantors’ Obligations in connection therewith; and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11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Upon the Company’s exercise under Section 8.01 hereof of the option applicable to this Section 8.03, the Company and each of the Subsidiary Guarantors will, subject to the satisfaction of the conditions set forth in Section 8.04 hereof, be released from each of their obligations under the covenants contained in Sections 4.07, 4.08, 4.09, 4.10, 4.11, 4.12, 4.13, 4.15, 4.16, 4.17, 4.18, 4.19 and 4.21 hereof and Section 5.01(a)(3) hereof with respect to the outstanding Notes on and after the date the conditions set forth in Section 8.04 hereof are satisfied (hereinafter, “</w:t>
      </w:r>
      <w:r>
        <w:rPr>
          <w:rFonts w:ascii="Arial" w:cs="Arial" w:eastAsia="Arial" w:hAnsi="Arial"/>
          <w:sz w:val="17"/>
          <w:szCs w:val="17"/>
          <w:i w:val="1"/>
          <w:iCs w:val="1"/>
          <w:color w:val="auto"/>
        </w:rPr>
        <w:t>Covenant</w:t>
      </w:r>
      <w:r>
        <w:rPr>
          <w:rFonts w:ascii="Arial" w:cs="Arial" w:eastAsia="Arial" w:hAnsi="Arial"/>
          <w:sz w:val="17"/>
          <w:szCs w:val="17"/>
          <w:color w:val="auto"/>
        </w:rPr>
        <w:t xml:space="preserve"> </w:t>
      </w:r>
      <w:r>
        <w:rPr>
          <w:rFonts w:ascii="Arial" w:cs="Arial" w:eastAsia="Arial" w:hAnsi="Arial"/>
          <w:sz w:val="17"/>
          <w:szCs w:val="17"/>
          <w:i w:val="1"/>
          <w:iCs w:val="1"/>
          <w:color w:val="auto"/>
        </w:rPr>
        <w:t>Defeasance</w:t>
      </w:r>
      <w:r>
        <w:rPr>
          <w:rFonts w:ascii="Arial" w:cs="Arial" w:eastAsia="Arial" w:hAnsi="Arial"/>
          <w:sz w:val="17"/>
          <w:szCs w:val="17"/>
          <w:color w:val="auto"/>
        </w:rPr>
        <w:t>”), and the Notes will thereafter be deemed not “outstanding” for the purposes of any direction, waiver, consent or declaration or act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Subsidiary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Company’s exercise under Section 8.01 hereof of the option applicable to this Section 8.03, subject to the satisfaction of the conditions set forth in Section 8.04 hereof and Section 6.01(a)(3) through 6.01(a)(5) hereof will not constitute Events of Default.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40" w:top="270" w:right="499" w:bottom="1440" w:gutter="0" w:footer="0" w:header="0"/>
        </w:sectPr>
      </w:pPr>
    </w:p>
    <w:bookmarkStart w:id="296" w:name="page297"/>
    <w:bookmarkEnd w:id="296"/>
    <w:p>
      <w:pPr>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117" w:lineRule="exact"/>
        <w:rPr>
          <w:sz w:val="20"/>
          <w:szCs w:val="20"/>
          <w:color w:val="auto"/>
        </w:rPr>
      </w:pPr>
    </w:p>
    <w:p>
      <w:pPr>
        <w:ind w:left="540" w:firstLine="408"/>
        <w:spacing w:after="0" w:line="255" w:lineRule="auto"/>
        <w:tabs>
          <w:tab w:leader="none" w:pos="137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cash in U.S. dollars, non-callable U.S. Government Obligations, or a combination of cash in U.S. dollars and non-callable U.S. Government Obligations, in amounts as will be sufficient, in the opinion of an internationally recognized investment bank, appraisal firm or firm of independent public accountants, to pay the principal of, or interest and premium,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84" w:lineRule="exact"/>
        <w:rPr>
          <w:rFonts w:ascii="Arial" w:cs="Arial" w:eastAsia="Arial" w:hAnsi="Arial"/>
          <w:sz w:val="18"/>
          <w:szCs w:val="18"/>
          <w:color w:val="auto"/>
        </w:rPr>
      </w:pPr>
    </w:p>
    <w:p>
      <w:pPr>
        <w:ind w:left="540" w:right="20" w:firstLine="408"/>
        <w:spacing w:after="0" w:line="277" w:lineRule="auto"/>
        <w:tabs>
          <w:tab w:leader="none" w:pos="133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62" w:lineRule="exact"/>
        <w:rPr>
          <w:rFonts w:ascii="Arial" w:cs="Arial" w:eastAsia="Arial" w:hAnsi="Arial"/>
          <w:sz w:val="18"/>
          <w:szCs w:val="18"/>
          <w:color w:val="auto"/>
        </w:rPr>
      </w:pPr>
    </w:p>
    <w:p>
      <w:pPr>
        <w:ind w:left="1800" w:hanging="429"/>
        <w:spacing w:after="0"/>
        <w:tabs>
          <w:tab w:leader="none" w:pos="180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the Company has received from, or there has been published by, the U.S. Internal Revenue Service a ruling; or</w:t>
      </w:r>
    </w:p>
    <w:p>
      <w:pPr>
        <w:spacing w:after="0" w:line="128" w:lineRule="exact"/>
        <w:rPr>
          <w:rFonts w:ascii="Arial" w:cs="Arial" w:eastAsia="Arial" w:hAnsi="Arial"/>
          <w:sz w:val="17"/>
          <w:szCs w:val="17"/>
          <w:color w:val="auto"/>
        </w:rPr>
      </w:pPr>
    </w:p>
    <w:p>
      <w:pPr>
        <w:ind w:left="1800" w:hanging="429"/>
        <w:spacing w:after="0"/>
        <w:tabs>
          <w:tab w:leader="none" w:pos="18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U.S. federal income tax law,</w:t>
      </w:r>
    </w:p>
    <w:p>
      <w:pPr>
        <w:spacing w:after="0" w:line="117" w:lineRule="exact"/>
        <w:rPr>
          <w:sz w:val="20"/>
          <w:szCs w:val="20"/>
          <w:color w:val="auto"/>
        </w:rPr>
      </w:pPr>
    </w:p>
    <w:p>
      <w:pPr>
        <w:jc w:val="both"/>
        <w:ind w:left="980" w:right="18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540" w:right="20" w:firstLine="408"/>
        <w:spacing w:after="0" w:line="301" w:lineRule="auto"/>
        <w:tabs>
          <w:tab w:leader="none" w:pos="1331"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in the case of an election under Section 8.03 hereof, the Company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49" w:lineRule="exact"/>
        <w:rPr>
          <w:rFonts w:ascii="Arial" w:cs="Arial" w:eastAsia="Arial" w:hAnsi="Arial"/>
          <w:sz w:val="16"/>
          <w:szCs w:val="16"/>
          <w:color w:val="auto"/>
        </w:rPr>
      </w:pPr>
    </w:p>
    <w:p>
      <w:pPr>
        <w:ind w:left="540" w:right="60" w:firstLine="408"/>
        <w:spacing w:after="0" w:line="259" w:lineRule="auto"/>
        <w:tabs>
          <w:tab w:leader="none" w:pos="133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Subsidiary Guarantor is a party or by which the Company or any Subsidiary Guarantor is bound;</w:t>
      </w:r>
    </w:p>
    <w:p>
      <w:pPr>
        <w:spacing w:after="0" w:line="78" w:lineRule="exact"/>
        <w:rPr>
          <w:rFonts w:ascii="Arial" w:cs="Arial" w:eastAsia="Arial" w:hAnsi="Arial"/>
          <w:sz w:val="18"/>
          <w:szCs w:val="18"/>
          <w:color w:val="auto"/>
        </w:rPr>
      </w:pPr>
    </w:p>
    <w:p>
      <w:pPr>
        <w:jc w:val="both"/>
        <w:ind w:left="540" w:right="320" w:firstLine="408"/>
        <w:spacing w:after="0" w:line="263" w:lineRule="auto"/>
        <w:tabs>
          <w:tab w:leader="none" w:pos="133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75" w:lineRule="exact"/>
        <w:rPr>
          <w:rFonts w:ascii="Arial" w:cs="Arial" w:eastAsia="Arial" w:hAnsi="Arial"/>
          <w:sz w:val="18"/>
          <w:szCs w:val="18"/>
          <w:color w:val="auto"/>
        </w:rPr>
      </w:pPr>
    </w:p>
    <w:p>
      <w:pPr>
        <w:ind w:left="540" w:right="200" w:firstLine="408"/>
        <w:spacing w:after="0" w:line="263" w:lineRule="auto"/>
        <w:tabs>
          <w:tab w:leader="none" w:pos="133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of the Company stating that the deposit was not made by the Company with the intent of preferring the Holders over the other creditors of the Company with the intent of defeating, hindering, delaying or defrauding any creditors of the Company or others; and</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580"/>
          </w:cols>
          <w:pgMar w:left="880" w:top="274" w:right="439" w:bottom="1440" w:gutter="0" w:footer="0" w:header="0"/>
        </w:sectPr>
      </w:pPr>
    </w:p>
    <w:bookmarkStart w:id="297" w:name="page298"/>
    <w:bookmarkEnd w:id="297"/>
    <w:p>
      <w:pPr>
        <w:ind w:left="980" w:right="340" w:firstLine="408"/>
        <w:spacing w:after="0" w:line="277" w:lineRule="auto"/>
        <w:tabs>
          <w:tab w:leader="none" w:pos="1771" w:val="left"/>
        </w:tabs>
        <w:numPr>
          <w:ilvl w:val="0"/>
          <w:numId w:val="3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must deliver to the Trustee an Officer’s Certificate and an Opinion of Counsel, each stating that all conditions precedent relating to the Legal Defeasance or the Covenant Defeasance have been complied with.</w:t>
      </w:r>
    </w:p>
    <w:p>
      <w:pPr>
        <w:spacing w:after="0" w:line="62" w:lineRule="exact"/>
        <w:rPr>
          <w:rFonts w:ascii="Arial" w:cs="Arial" w:eastAsia="Arial" w:hAnsi="Arial"/>
          <w:sz w:val="18"/>
          <w:szCs w:val="18"/>
          <w:color w:val="auto"/>
        </w:rPr>
      </w:pPr>
    </w:p>
    <w:p>
      <w:pPr>
        <w:ind w:left="980" w:right="160" w:firstLine="408"/>
        <w:spacing w:after="0" w:line="308" w:lineRule="auto"/>
        <w:tabs>
          <w:tab w:leader="none" w:pos="1767"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Trustee shall be entitled to its usual fees and, in addition, any fees and expenses incurred or charged by the Trustee and its counsel in connection with defeasance, satisfaction and discharge, and investment or custody services provided hereunder.</w:t>
      </w:r>
    </w:p>
    <w:p>
      <w:pPr>
        <w:spacing w:after="0" w:line="25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U.S. Government Obligations to be Held in Trust; Other Miscellaneous Provisions.</w:t>
      </w:r>
    </w:p>
    <w:p>
      <w:pPr>
        <w:spacing w:after="0" w:line="117"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Subject to Section 8.06 hereof, all money and non-callable U.S. Government Obligations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and Additional Amounts, if any, and interest, but such money need not be segregated from other funds except to the extent required by law.</w:t>
      </w:r>
    </w:p>
    <w:p>
      <w:pPr>
        <w:spacing w:after="0" w:line="192"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The Company will pay and indemnify the Trustee against any tax, fee or other charge imposed on or assessed against the cash or non-callable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84"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Notwithstanding anything in this Article 8 to the contrary, the Trustee will deliver or pay to the Company from time to time upon the request of the Company any money or non-callable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r>
        <w:rPr>
          <w:rFonts w:ascii="Arial" w:cs="Arial" w:eastAsia="Arial" w:hAnsi="Arial"/>
          <w:sz w:val="15"/>
          <w:szCs w:val="15"/>
          <w:color w:val="auto"/>
        </w:rPr>
        <w:t>.</w:t>
      </w:r>
    </w:p>
    <w:p>
      <w:pPr>
        <w:spacing w:after="0" w:line="11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if any, or interest on, any Note and remaining unclaimed for two (2) years after such principal, premium,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(30) days from the date of such notification or publication, any unclaimed balance of such money then remaining will be repaid to the Company.</w:t>
      </w:r>
    </w:p>
    <w:p>
      <w:pPr>
        <w:spacing w:after="0" w:line="27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r>
        <w:rPr>
          <w:rFonts w:ascii="Arial" w:cs="Arial" w:eastAsia="Arial" w:hAnsi="Arial"/>
          <w:sz w:val="15"/>
          <w:szCs w:val="15"/>
          <w:color w:val="auto"/>
        </w:rPr>
        <w:t>.</w:t>
      </w:r>
    </w:p>
    <w:p>
      <w:pPr>
        <w:spacing w:after="0" w:line="117" w:lineRule="exact"/>
        <w:rPr>
          <w:sz w:val="20"/>
          <w:szCs w:val="20"/>
          <w:color w:val="auto"/>
        </w:rPr>
      </w:pPr>
    </w:p>
    <w:p>
      <w:pPr>
        <w:ind w:right="20" w:firstLine="991"/>
        <w:spacing w:after="0" w:line="288" w:lineRule="auto"/>
        <w:rPr>
          <w:sz w:val="20"/>
          <w:szCs w:val="20"/>
          <w:color w:val="auto"/>
        </w:rPr>
      </w:pPr>
      <w:r>
        <w:rPr>
          <w:rFonts w:ascii="Arial" w:cs="Arial" w:eastAsia="Arial" w:hAnsi="Arial"/>
          <w:sz w:val="16"/>
          <w:szCs w:val="16"/>
          <w:color w:val="auto"/>
        </w:rPr>
        <w:t xml:space="preserve">If the Trustee or Paying Agent is unable to apply any U.S. dollars or non-callable U.S. Government Obligations in accordance with Section 8.02 or 8.03 hereof, as the case may be, by reason of any order or judgment of any court or governmental authority enjoining, restraining or otherwise prohibiting such application, then the Company’s and the Subsidiary Guarantors’ obligations under this Indenture and the Notes and the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 permitted to apply all such money in accordance with Section 8.02 or 8.03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SUPPLEMENT AND WAIVER</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117" w:lineRule="exact"/>
        <w:rPr>
          <w:sz w:val="20"/>
          <w:szCs w:val="20"/>
          <w:color w:val="auto"/>
        </w:rPr>
      </w:pPr>
    </w:p>
    <w:p>
      <w:pPr>
        <w:jc w:val="both"/>
        <w:ind w:right="80" w:firstLine="991"/>
        <w:spacing w:after="0" w:line="342" w:lineRule="auto"/>
        <w:rPr>
          <w:sz w:val="20"/>
          <w:szCs w:val="20"/>
          <w:color w:val="auto"/>
        </w:rPr>
      </w:pPr>
      <w:r>
        <w:rPr>
          <w:rFonts w:ascii="Arial" w:cs="Arial" w:eastAsia="Arial" w:hAnsi="Arial"/>
          <w:sz w:val="16"/>
          <w:szCs w:val="16"/>
          <w:color w:val="auto"/>
        </w:rPr>
        <w:t>Notwithstanding Section 9.02 of this Indenture, the Company, the Subsidiary Guarantors, the Trustee (as applicable and to the extent each is a party to the relevant document) may amend or supplement this Indenture, the Notes, and/or the Note Guarantees without the consent of any Holder:</w:t>
      </w:r>
    </w:p>
    <w:p>
      <w:pPr>
        <w:spacing w:after="0" w:line="16" w:lineRule="exact"/>
        <w:rPr>
          <w:sz w:val="20"/>
          <w:szCs w:val="20"/>
          <w:color w:val="auto"/>
        </w:rPr>
      </w:pPr>
    </w:p>
    <w:p>
      <w:pPr>
        <w:ind w:left="1780" w:hanging="392"/>
        <w:spacing w:after="0"/>
        <w:tabs>
          <w:tab w:leader="none" w:pos="17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980" w:right="400" w:firstLine="408"/>
        <w:spacing w:after="0" w:line="263" w:lineRule="auto"/>
        <w:tabs>
          <w:tab w:leader="none" w:pos="177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provide for the assumption of the Company’s or a Subsidiary Guarantor’s Obligations under the Notes or the Note Guarantees in the case of a merger or consolidation or sale of all or substantially all of the Company’s or such Subsidiary Guarantor’s assets, as applicable;</w:t>
      </w:r>
    </w:p>
    <w:p>
      <w:pPr>
        <w:spacing w:after="0" w:line="75" w:lineRule="exact"/>
        <w:rPr>
          <w:rFonts w:ascii="Arial" w:cs="Arial" w:eastAsia="Arial" w:hAnsi="Arial"/>
          <w:sz w:val="18"/>
          <w:szCs w:val="18"/>
          <w:color w:val="auto"/>
        </w:rPr>
      </w:pPr>
    </w:p>
    <w:p>
      <w:pPr>
        <w:ind w:left="980" w:right="380" w:firstLine="408"/>
        <w:spacing w:after="0" w:line="277" w:lineRule="auto"/>
        <w:tabs>
          <w:tab w:leader="none" w:pos="177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adversely affect the legal rights under this Indenture of any such Holder;</w:t>
      </w:r>
    </w:p>
    <w:p>
      <w:pPr>
        <w:spacing w:after="0" w:line="62" w:lineRule="exact"/>
        <w:rPr>
          <w:rFonts w:ascii="Arial" w:cs="Arial" w:eastAsia="Arial" w:hAnsi="Arial"/>
          <w:sz w:val="18"/>
          <w:szCs w:val="18"/>
          <w:color w:val="auto"/>
        </w:rPr>
      </w:pPr>
    </w:p>
    <w:p>
      <w:pPr>
        <w:ind w:left="980" w:firstLine="408"/>
        <w:spacing w:after="0" w:line="259" w:lineRule="auto"/>
        <w:tabs>
          <w:tab w:leader="none" w:pos="177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conform the text of the Notes, this Indenture or the Note Guarantees to any provision of the “Description of Notes” section of the Offering Memorandum, to the extent that such provision in that “Description of Notes” section of the Offering Memorandum was intended to be a verbatim recitation of a provision of the Notes, this Indenture or the Note Guarantees, which intent shall be evidenced by an Officer’s Certificate of the Company to that effect;</w:t>
      </w:r>
    </w:p>
    <w:p>
      <w:pPr>
        <w:spacing w:after="0" w:line="78" w:lineRule="exact"/>
        <w:rPr>
          <w:rFonts w:ascii="Arial" w:cs="Arial" w:eastAsia="Arial" w:hAnsi="Arial"/>
          <w:sz w:val="18"/>
          <w:szCs w:val="18"/>
          <w:color w:val="auto"/>
        </w:rPr>
      </w:pPr>
    </w:p>
    <w:p>
      <w:pPr>
        <w:ind w:left="980" w:firstLine="408"/>
        <w:spacing w:after="0" w:line="277" w:lineRule="auto"/>
        <w:tabs>
          <w:tab w:leader="none" w:pos="177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this Indenture as of the date of this Indenture; or</w:t>
      </w:r>
    </w:p>
    <w:p>
      <w:pPr>
        <w:spacing w:after="0" w:line="62" w:lineRule="exact"/>
        <w:rPr>
          <w:rFonts w:ascii="Arial" w:cs="Arial" w:eastAsia="Arial" w:hAnsi="Arial"/>
          <w:sz w:val="18"/>
          <w:szCs w:val="18"/>
          <w:color w:val="auto"/>
        </w:rPr>
      </w:pPr>
    </w:p>
    <w:p>
      <w:pPr>
        <w:ind w:left="980" w:right="80" w:firstLine="408"/>
        <w:spacing w:after="0" w:line="277" w:lineRule="auto"/>
        <w:tabs>
          <w:tab w:leader="none" w:pos="177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allow any Subsidiary Guarantor to execute a supplemental indenture and/or a Note Guarantee with respect to the Notes or to release any Subsidiary Guarantor from its Note Guarantee in accordance with the terms of this Indenture.</w:t>
      </w:r>
    </w:p>
    <w:p>
      <w:pPr>
        <w:spacing w:after="0" w:line="6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and upon receipt by the Trustee of the documents described in Section 7.02 hereof, the Trustee, will join with the Company and the Subsidiary Guarantors in the execution of any amended or supplemental indenture authorized or permitted by the terms of this Indenture and to make any further appropriate agreements and stipulations that may be therein contained, but neither the Trustee nor any Agent will be obligated to (although they may at their discretion) enter into such amended or supplemental indenture that affects their own rights, duties or immunities under this Indenture or otherwise.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0" w:right="459" w:bottom="1440" w:gutter="0" w:footer="0" w:header="0"/>
        </w:sectPr>
      </w:pPr>
    </w:p>
    <w:bookmarkStart w:id="299" w:name="page300"/>
    <w:bookmarkEnd w:id="299"/>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117"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Except as provided below in this Section 9.02, the Company and the Trustee may amend or supplement this Indenture (including, without limitation, Section 3.09, 4.10 and 4.15 hereof) and the Notes, and the Company, the Trustee and the Subsidiary Guarantors, may amend or supplement the Note Guarantees with the consent of the Holders of at least a majority in aggregate principal amount of the then outstanding Notes (including Additional Notes, if any) voting as a single class (including, without limitation, consents obtained in connection with a purchase of, or tender offer or exchange offer for, the Notes), and, subject to Sections 6.04 and 6.07 hereof, any existing Default or Event of Default (other than a Default or Event of Default in the payment of the principal of, premium or Additional Amounts, if any, or interest on, the Notes, except a payment default resulting from an acceleration that has been rescinded) or compliance with any provision of this Indenture, the Notes or the Note Guarantees may be waived with the consent of the Holders of a majority in aggregate principal amount of the then outstanding Notes (including Additional Notes, if any) voting as a single class (including, without limitation, consents obtained in connection with a purchase of, or tender offer or exchange offer for, the Notes).</w:t>
      </w:r>
    </w:p>
    <w:p>
      <w:pPr>
        <w:spacing w:after="0" w:line="166"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as aforesaid, and upon receipt by the Trustee of the documents described in Section 7.02, 9.06, 13.04 and 13.05 hereof, the Trustee, will join with the Company and the Subsidiary Guarantors in the execution of such amended or supplemental indenture authorized or permitted by the terms of this Indenture unless such amended or supplemental indenture directly affects the Trustee’s or any Agent’s own rights, duties or immunities under this Indenture or otherwise, in which case the Trustee and/or each Agent may in their discretion, but will not be obligated to, enter into such amended or supplemental indenture.</w:t>
      </w:r>
    </w:p>
    <w:p>
      <w:pPr>
        <w:spacing w:after="0" w:line="16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It is not be necessary for the consent of the Holders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After an amendment, supplement or waiver under this Section 9.02 becomes effective, the Company will mail to the Holders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However, without the consent of each Holder (including the Additional Notes) affected, an amendment, supplement or waiver under this Section 9.02 may not (with respect to any Notes (including the Additional Notes) held by a non-consenting Holder):</w:t>
      </w:r>
    </w:p>
    <w:p>
      <w:pPr>
        <w:spacing w:after="0" w:line="195" w:lineRule="exact"/>
        <w:rPr>
          <w:sz w:val="20"/>
          <w:szCs w:val="20"/>
          <w:color w:val="auto"/>
        </w:rPr>
      </w:pPr>
    </w:p>
    <w:p>
      <w:pPr>
        <w:ind w:left="1780" w:hanging="392"/>
        <w:spacing w:after="0"/>
        <w:tabs>
          <w:tab w:leader="none" w:pos="17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980" w:right="340" w:firstLine="408"/>
        <w:spacing w:after="0" w:line="308" w:lineRule="auto"/>
        <w:tabs>
          <w:tab w:leader="none" w:pos="1771" w:val="left"/>
        </w:tabs>
        <w:numPr>
          <w:ilvl w:val="0"/>
          <w:numId w:val="321"/>
        </w:numPr>
        <w:rPr>
          <w:rFonts w:ascii="Arial" w:cs="Arial" w:eastAsia="Arial" w:hAnsi="Arial"/>
          <w:sz w:val="17"/>
          <w:szCs w:val="17"/>
          <w:color w:val="auto"/>
        </w:rPr>
      </w:pPr>
      <w:r>
        <w:rPr>
          <w:rFonts w:ascii="Arial" w:cs="Arial" w:eastAsia="Arial" w:hAnsi="Arial"/>
          <w:sz w:val="17"/>
          <w:szCs w:val="17"/>
          <w:color w:val="auto"/>
        </w:rPr>
        <w:t>reduce the principal of, premium, if any, or change the fixed maturity of any Note or alter the provisions with respect to the redemption of the Notes (except as provided above with respect to Sections 3.09, 4.10, 4.21 and 4.15 hereof);</w:t>
      </w:r>
    </w:p>
    <w:p>
      <w:pPr>
        <w:spacing w:after="0" w:line="38" w:lineRule="exact"/>
        <w:rPr>
          <w:rFonts w:ascii="Arial" w:cs="Arial" w:eastAsia="Arial" w:hAnsi="Arial"/>
          <w:sz w:val="17"/>
          <w:szCs w:val="17"/>
          <w:color w:val="auto"/>
        </w:rPr>
      </w:pPr>
    </w:p>
    <w:p>
      <w:pPr>
        <w:ind w:left="1780" w:hanging="392"/>
        <w:spacing w:after="0"/>
        <w:tabs>
          <w:tab w:leader="none" w:pos="17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117" w:lineRule="exact"/>
        <w:rPr>
          <w:rFonts w:ascii="Arial" w:cs="Arial" w:eastAsia="Arial" w:hAnsi="Arial"/>
          <w:sz w:val="18"/>
          <w:szCs w:val="18"/>
          <w:color w:val="auto"/>
        </w:rPr>
      </w:pPr>
    </w:p>
    <w:p>
      <w:pPr>
        <w:ind w:left="980" w:firstLine="408"/>
        <w:spacing w:after="0" w:line="263" w:lineRule="auto"/>
        <w:tabs>
          <w:tab w:leader="none" w:pos="177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17" w:lineRule="exact"/>
        <w:rPr>
          <w:rFonts w:ascii="Arial" w:cs="Arial" w:eastAsia="Arial" w:hAnsi="Arial"/>
          <w:sz w:val="18"/>
          <w:szCs w:val="18"/>
          <w:color w:val="auto"/>
        </w:rPr>
      </w:pPr>
    </w:p>
    <w:p>
      <w:pPr>
        <w:ind w:left="980" w:right="440" w:firstLine="408"/>
        <w:spacing w:after="0" w:line="277" w:lineRule="auto"/>
        <w:tabs>
          <w:tab w:leader="none" w:pos="177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to receive payments of principal of, or interest or premium, if any, on, the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4" w:right="479" w:bottom="1440" w:gutter="0" w:footer="0" w:header="0"/>
        </w:sectPr>
      </w:pPr>
    </w:p>
    <w:bookmarkStart w:id="300" w:name="page301"/>
    <w:bookmarkEnd w:id="300"/>
    <w:p>
      <w:pPr>
        <w:ind w:left="1780" w:hanging="392"/>
        <w:spacing w:after="0"/>
        <w:tabs>
          <w:tab w:leader="none" w:pos="17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 a redemption payment with respect to any Note (other than a payment required by Section 3.09, 4.10, 4.21 or 4.15</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102" w:lineRule="exact"/>
        <w:rPr>
          <w:rFonts w:ascii="Arial" w:cs="Arial" w:eastAsia="Arial" w:hAnsi="Arial"/>
          <w:sz w:val="17"/>
          <w:szCs w:val="17"/>
          <w:color w:val="auto"/>
        </w:rPr>
      </w:pPr>
    </w:p>
    <w:p>
      <w:pPr>
        <w:ind w:left="980" w:right="100" w:firstLine="408"/>
        <w:spacing w:after="0" w:line="277" w:lineRule="auto"/>
        <w:tabs>
          <w:tab w:leader="none" w:pos="177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release any Subsidiary Guarantor from any of its Obligations under its Note Guarantee or this Indenture, except in accordance with the terms of this Indenture; or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For the avoidance of doubt, no amendment to or deletion of, or actions taken in compliance with, the covenants described under Article 4 shall be deemed to impair or affect any rights of Holders to receive payment of principal of, or premium, if any, or interest on, the Notes.</w:t>
      </w:r>
    </w:p>
    <w:p>
      <w:pPr>
        <w:spacing w:after="0" w:line="25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Supplemental Indenture.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Every amendment or supplement to this Indenture or the Notes will be set forth in an amended or supplemental indenture.</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Until an amendment, supplement or waiver becomes effective, a consent to it by a Holder is a continuing consent by such Holder and every subsequent holder of a Note or portion of a Note that evidences the same debt as the consenting Holder’s Note, even if notation of the consent is not made on any Note. However, any such Holder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Notes.</w:t>
      </w:r>
    </w:p>
    <w:p>
      <w:pPr>
        <w:spacing w:after="0" w:line="117"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Failure to make the appropriate notation or issue a new Note will not affect the validity and effect of such amendment, supplement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waiver.</w:t>
      </w:r>
    </w:p>
    <w:p>
      <w:pPr>
        <w:spacing w:after="0" w:line="31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11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Trustee will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security and/or indemnity to its reasonable satisfaction. The Trustee (subject to Section 7.01 hereof) will be fully protected in relying upon, in addition to the documents required by Section 13.04 hereof, an Officer’s Certificate and an Opinion of Counsel stating that the execution of such amended or supplemental indenture is authorized or permitted by this Indenture, that the supplemental indenture is legal, valid, binding and enforceable against the Company in accordance with its terms and such other matters as the Trustee may request. The Trustee may, but shall not be obligated to, enter into any such supplemental indenture which affects the Trustee’s own rights, duties or immunities under this Indenture or otherwise.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40"/>
          </w:cols>
          <w:pgMar w:left="440" w:top="274" w:right="51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GUARANTEES</w:t>
      </w:r>
    </w:p>
    <w:p>
      <w:pPr>
        <w:spacing w:after="0" w:line="211" w:lineRule="exact"/>
        <w:rPr>
          <w:sz w:val="20"/>
          <w:szCs w:val="20"/>
          <w:color w:val="auto"/>
        </w:rPr>
      </w:pPr>
    </w:p>
    <w:p>
      <w:pPr>
        <w:ind w:left="420"/>
        <w:spacing w:after="0"/>
        <w:tabs>
          <w:tab w:leader="none" w:pos="16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Guarantee.</w:t>
      </w:r>
    </w:p>
    <w:p>
      <w:pPr>
        <w:spacing w:after="0" w:line="117" w:lineRule="exact"/>
        <w:rPr>
          <w:sz w:val="20"/>
          <w:szCs w:val="20"/>
          <w:color w:val="auto"/>
        </w:rPr>
      </w:pPr>
    </w:p>
    <w:p>
      <w:pPr>
        <w:ind w:left="-20" w:right="60" w:firstLine="987"/>
        <w:spacing w:after="0" w:line="270" w:lineRule="auto"/>
        <w:tabs>
          <w:tab w:leader="none" w:pos="1351" w:val="left"/>
        </w:tabs>
        <w:numPr>
          <w:ilvl w:val="0"/>
          <w:numId w:val="323"/>
        </w:numPr>
        <w:rPr>
          <w:rFonts w:ascii="Arial" w:cs="Arial" w:eastAsia="Arial" w:hAnsi="Arial"/>
          <w:sz w:val="17"/>
          <w:szCs w:val="17"/>
          <w:color w:val="auto"/>
        </w:rPr>
      </w:pPr>
      <w:r>
        <w:rPr>
          <w:rFonts w:ascii="Arial" w:cs="Arial" w:eastAsia="Arial" w:hAnsi="Arial"/>
          <w:sz w:val="17"/>
          <w:szCs w:val="17"/>
          <w:color w:val="auto"/>
        </w:rPr>
        <w:t>Each Subsidiary Guarantor hereby jointly and severally, irrevocably and unconditionally guarantees to each Holder and to the Trustee, successors and assigns (1) the full and punctual payment when due, whether at Stated Maturity, by acceleration, by redemption or otherwise, of all obligations of the Company under this Indenture (including obligations to the Trustee) and the Notes, whether for payment of principal of, interest, premium or Additional Amounts, if any, on the Notes and all other monetary obligations of the Company under this Indenture and the Notes and (2) the full and punctual performance within applicable grace periods of all other obligations of the Company whether for fees, expenses, indemnification or otherwise under this Indenture and the Notes (all the foregoing being hereinafter collectively called the “</w:t>
      </w:r>
      <w:r>
        <w:rPr>
          <w:rFonts w:ascii="Arial" w:cs="Arial" w:eastAsia="Arial" w:hAnsi="Arial"/>
          <w:sz w:val="17"/>
          <w:szCs w:val="17"/>
          <w:i w:val="1"/>
          <w:iCs w:val="1"/>
          <w:color w:val="auto"/>
        </w:rPr>
        <w:t>Guaranteed Obligations</w:t>
      </w:r>
      <w:r>
        <w:rPr>
          <w:rFonts w:ascii="Arial" w:cs="Arial" w:eastAsia="Arial" w:hAnsi="Arial"/>
          <w:sz w:val="17"/>
          <w:szCs w:val="17"/>
          <w:color w:val="auto"/>
        </w:rPr>
        <w:t>”). Each Subsidiary Guarantor further agrees that the Guaranteed Obligations may be extended or renewed, in whole or in part, without notice or further assent from each such Subsidiary Guarantor, and that each such Subsidiary Guarantor shall remain bound under this Article 11 notwithstanding any extension or renewal of any Guaranteed Obligation.</w:t>
      </w:r>
    </w:p>
    <w:p>
      <w:pPr>
        <w:spacing w:after="0" w:line="180" w:lineRule="exact"/>
        <w:rPr>
          <w:rFonts w:ascii="Arial" w:cs="Arial" w:eastAsia="Arial" w:hAnsi="Arial"/>
          <w:sz w:val="17"/>
          <w:szCs w:val="17"/>
          <w:color w:val="auto"/>
        </w:rPr>
      </w:pPr>
    </w:p>
    <w:p>
      <w:pPr>
        <w:ind w:left="-20" w:right="140" w:firstLine="987"/>
        <w:spacing w:after="0" w:line="271" w:lineRule="auto"/>
        <w:tabs>
          <w:tab w:leader="none" w:pos="1361" w:val="left"/>
        </w:tabs>
        <w:numPr>
          <w:ilvl w:val="0"/>
          <w:numId w:val="323"/>
        </w:numPr>
        <w:rPr>
          <w:rFonts w:ascii="Arial" w:cs="Arial" w:eastAsia="Arial" w:hAnsi="Arial"/>
          <w:sz w:val="17"/>
          <w:szCs w:val="17"/>
          <w:color w:val="auto"/>
        </w:rPr>
      </w:pPr>
      <w:r>
        <w:rPr>
          <w:rFonts w:ascii="Arial" w:cs="Arial" w:eastAsia="Arial" w:hAnsi="Arial"/>
          <w:sz w:val="17"/>
          <w:szCs w:val="17"/>
          <w:color w:val="auto"/>
        </w:rPr>
        <w:t>Each Subsidiary Guarantor waives presentation to, demand of payment from and protest to the Company of any of the Guaranteed Obligations and also waives notice of protest for non-payment. Each Subsidiary Guarantor waives notice of any default under the Notes or the Guaranteed Obligations. The obligations of each Subsidiary Guarantor hereunder shall not be affected by (1) the failure of any Holder or the Trustee to assert any claim or demand or to enforce any right or remedy against the Company or any other Person under this Indenture, the Notes or any other agreement or otherwise; (2) any extension or renewal of any thereof; (3) any rescission, waiver, amendment or modification of any of the terms or provisions of this Indenture, the Notes or any other agreement; (4) the release of any security held by any Holder or the Trustee for the Guaranteed Obligations or any of them; (5) the failure of any Holder or the Trustee to exercise any right or remedy against any other guarantor of the Guaranteed Obligations; or (6) any change in the ownership of such Subsidiary.</w:t>
      </w:r>
    </w:p>
    <w:p>
      <w:pPr>
        <w:spacing w:after="0" w:line="178" w:lineRule="exact"/>
        <w:rPr>
          <w:rFonts w:ascii="Arial" w:cs="Arial" w:eastAsia="Arial" w:hAnsi="Arial"/>
          <w:sz w:val="17"/>
          <w:szCs w:val="17"/>
          <w:color w:val="auto"/>
        </w:rPr>
      </w:pPr>
    </w:p>
    <w:p>
      <w:pPr>
        <w:ind w:left="-20" w:firstLine="987"/>
        <w:spacing w:after="0" w:line="255" w:lineRule="auto"/>
        <w:tabs>
          <w:tab w:leader="none" w:pos="135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Each Subsidiary Guarantor hereby waives any right to which it may be entitled to have its obligations hereunder divided among the Subsidiary Guarantors, such that such Subsidiary Guarantor’s obligations would be less than the full amount claimed. Each Subsidiary Guarantor hereby waives any right to which it may be entitled to have the assets of the Company first be used and depleted as payment of the Company’s or such Subsidiary Guarantor’s obligations hereunder prior to any amounts being claimed from or paid by such Subsidiary Guarantor hereunder. Each Subsidiary Guarantor hereby waives any right to which it may be entitled to require that the Company be sued prior to an action being initiated against such Subsidiary Guarantor.</w:t>
      </w:r>
    </w:p>
    <w:p>
      <w:pPr>
        <w:spacing w:after="0" w:line="192" w:lineRule="exact"/>
        <w:rPr>
          <w:rFonts w:ascii="Arial" w:cs="Arial" w:eastAsia="Arial" w:hAnsi="Arial"/>
          <w:sz w:val="18"/>
          <w:szCs w:val="18"/>
          <w:color w:val="auto"/>
        </w:rPr>
      </w:pPr>
    </w:p>
    <w:p>
      <w:pPr>
        <w:ind w:left="-20" w:right="440" w:firstLine="987"/>
        <w:spacing w:after="0" w:line="263" w:lineRule="auto"/>
        <w:tabs>
          <w:tab w:leader="none" w:pos="136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Note Guarantee herein constitutes a guarantee of payment, performance and compliance when due (and not a guarantee of collection) and waives any right to require that any resort be had by any Holder or the Trustee to any security held for payment of the Guaranteed Obligations.</w:t>
      </w:r>
    </w:p>
    <w:p>
      <w:pPr>
        <w:spacing w:after="0" w:line="183" w:lineRule="exact"/>
        <w:rPr>
          <w:rFonts w:ascii="Arial" w:cs="Arial" w:eastAsia="Arial" w:hAnsi="Arial"/>
          <w:sz w:val="18"/>
          <w:szCs w:val="18"/>
          <w:color w:val="auto"/>
        </w:rPr>
      </w:pPr>
    </w:p>
    <w:p>
      <w:pPr>
        <w:ind w:left="-20" w:right="100" w:firstLine="987"/>
        <w:spacing w:after="0" w:line="270" w:lineRule="auto"/>
        <w:tabs>
          <w:tab w:leader="none" w:pos="1351" w:val="left"/>
        </w:tabs>
        <w:numPr>
          <w:ilvl w:val="0"/>
          <w:numId w:val="323"/>
        </w:numPr>
        <w:rPr>
          <w:rFonts w:ascii="Arial" w:cs="Arial" w:eastAsia="Arial" w:hAnsi="Arial"/>
          <w:sz w:val="17"/>
          <w:szCs w:val="17"/>
          <w:color w:val="auto"/>
        </w:rPr>
      </w:pPr>
      <w:r>
        <w:rPr>
          <w:rFonts w:ascii="Arial" w:cs="Arial" w:eastAsia="Arial" w:hAnsi="Arial"/>
          <w:sz w:val="17"/>
          <w:szCs w:val="17"/>
          <w:color w:val="auto"/>
        </w:rPr>
        <w:t>Except as expressly set forth in Sections 8.02, 11.02 and 11.08, the obligations of each Subsidiary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60" w:top="270" w:right="459" w:bottom="1440" w:gutter="0" w:footer="0" w:header="0"/>
        </w:sectPr>
      </w:pPr>
    </w:p>
    <w:bookmarkStart w:id="302" w:name="page303"/>
    <w:bookmarkEnd w:id="302"/>
    <w:p>
      <w:pPr>
        <w:ind w:firstLine="987"/>
        <w:spacing w:after="0" w:line="257" w:lineRule="auto"/>
        <w:tabs>
          <w:tab w:leader="none" w:pos="1351"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expressly set forth in Sections 8.02, 11.02 and 11.08, each Subsidiary Guarantor agrees that its Note Guarantee shall remain in full force and effect until payment in full of all the Guaranteed Obligations. Each Subsidiary Guarantor further agrees that its Note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Company or otherwise.</w:t>
      </w:r>
    </w:p>
    <w:p>
      <w:pPr>
        <w:spacing w:after="0" w:line="187" w:lineRule="exact"/>
        <w:rPr>
          <w:rFonts w:ascii="Arial" w:cs="Arial" w:eastAsia="Arial" w:hAnsi="Arial"/>
          <w:sz w:val="18"/>
          <w:szCs w:val="18"/>
          <w:color w:val="auto"/>
        </w:rPr>
      </w:pPr>
    </w:p>
    <w:p>
      <w:pPr>
        <w:ind w:right="40" w:firstLine="987"/>
        <w:spacing w:after="0" w:line="254" w:lineRule="auto"/>
        <w:tabs>
          <w:tab w:leader="none" w:pos="138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furtherance of the foregoing and not in limitation of any other right which any Holder or the Trustee has at law or in equity against any Subsidiary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each Subsidiary Guarantor hereby promises to and shall, upon receipt of written demand by the Trustee, forthwith pay, or cause to be paid, in cash, to the Holders or the Trustee an amount equal to the sum of (1) the unpaid principal amount of such Guaranteed Obligations, (2) accrued and unpaid interest on such Guaranteed Obligations (but only to the extent not prohibited by law) and (3) all other monetary obligations of the Company to the Holders and the Trustee.</w:t>
      </w:r>
    </w:p>
    <w:p>
      <w:pPr>
        <w:spacing w:after="0" w:line="194" w:lineRule="exact"/>
        <w:rPr>
          <w:rFonts w:ascii="Arial" w:cs="Arial" w:eastAsia="Arial" w:hAnsi="Arial"/>
          <w:sz w:val="18"/>
          <w:szCs w:val="18"/>
          <w:color w:val="auto"/>
        </w:rPr>
      </w:pPr>
    </w:p>
    <w:p>
      <w:pPr>
        <w:ind w:right="40" w:firstLine="987"/>
        <w:spacing w:after="0" w:line="296" w:lineRule="auto"/>
        <w:tabs>
          <w:tab w:leader="none" w:pos="1381" w:val="left"/>
        </w:tabs>
        <w:numPr>
          <w:ilvl w:val="0"/>
          <w:numId w:val="324"/>
        </w:numPr>
        <w:rPr>
          <w:rFonts w:ascii="Arial" w:cs="Arial" w:eastAsia="Arial" w:hAnsi="Arial"/>
          <w:sz w:val="16"/>
          <w:szCs w:val="16"/>
          <w:color w:val="auto"/>
        </w:rPr>
      </w:pPr>
      <w:r>
        <w:rPr>
          <w:rFonts w:ascii="Arial" w:cs="Arial" w:eastAsia="Arial" w:hAnsi="Arial"/>
          <w:sz w:val="16"/>
          <w:szCs w:val="16"/>
          <w:color w:val="auto"/>
        </w:rPr>
        <w:t>Each Subsidiary Guarantor further agrees that, as between it, on the one hand, and the Holders and the Trustee, on the other hand, (1) the maturity of the Guaranteed Obligations guaranteed hereby may be accelerated as provided in Article 6 for the purposes of any Note Guarantee herein, notwithstanding any stay, injunction or other prohibition preventing such acceleration in respect of the Guaranteed Obligations guaranteed hereby, and (2) in the event of any declaration of acceleration of such Guaranteed Obligations as provided in Article 6, such Guaranteed Obligations (whether or not due and payable) shall forthwith become due and payable by such Subsidiary Guarantor for the purposes of Section 11.01.</w:t>
      </w:r>
    </w:p>
    <w:p>
      <w:pPr>
        <w:spacing w:after="0" w:line="161" w:lineRule="exact"/>
        <w:rPr>
          <w:rFonts w:ascii="Arial" w:cs="Arial" w:eastAsia="Arial" w:hAnsi="Arial"/>
          <w:sz w:val="16"/>
          <w:szCs w:val="16"/>
          <w:color w:val="auto"/>
        </w:rPr>
      </w:pPr>
    </w:p>
    <w:p>
      <w:pPr>
        <w:ind w:right="60" w:firstLine="987"/>
        <w:spacing w:after="0" w:line="277" w:lineRule="auto"/>
        <w:tabs>
          <w:tab w:leader="none" w:pos="134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Each Subsidiary Guarantor also agrees to pay any and all costs and expenses (including attorneys’ fees and expenses) incurred by the Trustee in enforcing any rights under Section 11.01.</w:t>
      </w:r>
    </w:p>
    <w:p>
      <w:pPr>
        <w:spacing w:after="0" w:line="170" w:lineRule="exact"/>
        <w:rPr>
          <w:rFonts w:ascii="Arial" w:cs="Arial" w:eastAsia="Arial" w:hAnsi="Arial"/>
          <w:sz w:val="18"/>
          <w:szCs w:val="18"/>
          <w:color w:val="auto"/>
        </w:rPr>
      </w:pPr>
    </w:p>
    <w:p>
      <w:pPr>
        <w:ind w:right="80" w:firstLine="987"/>
        <w:spacing w:after="0" w:line="277" w:lineRule="auto"/>
        <w:tabs>
          <w:tab w:leader="none" w:pos="134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Upon request of the Trustee, each Subsidiary Guarantor shall execute and deliver such further instruments and do such further acts as may be reasonably necessary or proper to carry out more effectively the purpose of this Indenture.</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7"/>
          <w:szCs w:val="17"/>
          <w:i w:val="1"/>
          <w:iCs w:val="1"/>
          <w:color w:val="auto"/>
        </w:rPr>
        <w:t>Limitation on Liability.</w:t>
      </w:r>
    </w:p>
    <w:p>
      <w:pPr>
        <w:spacing w:after="0" w:line="117" w:lineRule="exact"/>
        <w:rPr>
          <w:sz w:val="20"/>
          <w:szCs w:val="20"/>
          <w:color w:val="auto"/>
        </w:rPr>
      </w:pPr>
    </w:p>
    <w:p>
      <w:pPr>
        <w:ind w:right="220" w:firstLine="991"/>
        <w:spacing w:after="0" w:line="257" w:lineRule="auto"/>
        <w:rPr>
          <w:sz w:val="20"/>
          <w:szCs w:val="20"/>
          <w:color w:val="auto"/>
        </w:rPr>
      </w:pPr>
      <w:r>
        <w:rPr>
          <w:rFonts w:ascii="Arial" w:cs="Arial" w:eastAsia="Arial" w:hAnsi="Arial"/>
          <w:sz w:val="18"/>
          <w:szCs w:val="18"/>
          <w:color w:val="auto"/>
        </w:rPr>
        <w:t>Any term or provision of this Indenture to the contrary notwithstanding, the maximum aggregate amount of the Guaranteed Obligations guaranteed hereunder by any Subsidiary Guarantor shall not exceed the maximum amount that can be hereby guaranteed by the applicable Subsidiary Guarantor without rendering the Note Guarantee, as it relates to such Subsidiary Guarantor, voidable under applicable law relating to ultra vires, fraudulent conveyance, fraudulent transfer, corporate benefit, financial assistance or similar laws affecting the rights of creditors generally or other considerations under applicable law.</w:t>
      </w:r>
    </w:p>
    <w:p>
      <w:pPr>
        <w:spacing w:after="0" w:line="296"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5"/>
          <w:szCs w:val="15"/>
          <w:i w:val="1"/>
          <w:iCs w:val="1"/>
          <w:color w:val="auto"/>
        </w:rPr>
        <w:t>Successors and Assigns.</w:t>
      </w:r>
    </w:p>
    <w:p>
      <w:pPr>
        <w:spacing w:after="0" w:line="117"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This Article 11 shall be binding upon each Subsidiary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303" w:name="page304"/>
    <w:bookmarkEnd w:id="303"/>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11.04</w:t>
      </w:r>
      <w:r>
        <w:rPr>
          <w:sz w:val="20"/>
          <w:szCs w:val="20"/>
          <w:color w:val="auto"/>
        </w:rPr>
        <w:tab/>
      </w:r>
      <w:r>
        <w:rPr>
          <w:rFonts w:ascii="Arial" w:cs="Arial" w:eastAsia="Arial" w:hAnsi="Arial"/>
          <w:sz w:val="15"/>
          <w:szCs w:val="15"/>
          <w:i w:val="1"/>
          <w:iCs w:val="1"/>
          <w:color w:val="auto"/>
        </w:rPr>
        <w:t>No Waiver.</w:t>
      </w:r>
    </w:p>
    <w:p>
      <w:pPr>
        <w:spacing w:after="0" w:line="117"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Neither a failure nor a delay on the part of either the Trustee or the Holders in exercising any right, power or privilege under this Article 11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11 at law, in equity, by statute or otherwise.</w:t>
      </w:r>
    </w:p>
    <w:p>
      <w:pPr>
        <w:spacing w:after="0" w:line="295"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7"/>
          <w:szCs w:val="17"/>
          <w:i w:val="1"/>
          <w:iCs w:val="1"/>
          <w:color w:val="auto"/>
        </w:rPr>
        <w:t>Modification.</w:t>
      </w:r>
    </w:p>
    <w:p>
      <w:pPr>
        <w:spacing w:after="0" w:line="117"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No modification, amendment or waiver of any provision of this Article 11,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27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i w:val="1"/>
          <w:iCs w:val="1"/>
          <w:color w:val="auto"/>
        </w:rPr>
        <w:t>Execution of Supplemental Indenture for Future Subsidiary Guarantors.</w:t>
      </w:r>
    </w:p>
    <w:p>
      <w:pPr>
        <w:spacing w:after="0" w:line="117" w:lineRule="exact"/>
        <w:rPr>
          <w:sz w:val="20"/>
          <w:szCs w:val="20"/>
          <w:color w:val="auto"/>
        </w:rPr>
      </w:pPr>
    </w:p>
    <w:p>
      <w:pPr>
        <w:ind w:right="80" w:firstLine="991"/>
        <w:spacing w:after="0" w:line="290" w:lineRule="auto"/>
        <w:rPr>
          <w:sz w:val="20"/>
          <w:szCs w:val="20"/>
          <w:color w:val="auto"/>
        </w:rPr>
      </w:pPr>
      <w:r>
        <w:rPr>
          <w:rFonts w:ascii="Arial" w:cs="Arial" w:eastAsia="Arial" w:hAnsi="Arial"/>
          <w:sz w:val="16"/>
          <w:szCs w:val="16"/>
          <w:color w:val="auto"/>
        </w:rPr>
        <w:t>Each Restricted Subsidiary which is required to become a Subsidiary Guarantor pursuant to Section 4.17 hereof shall promptly execute and deliver to the Trustee a supplemental indenture pursuant to which such Subsidiary shall become a Subsidiary Guarantor under this Article 11 and shall guarantee the Guaranteed Obligations. Concurrently with the execution and delivery of such supplemental indenture, the Company shall deliver to the Trustee an Opinion of Counsel and an Officer’s Certificate to the effect that such supplemental indenture has been duly authorized, executed and delivered by such Restricted Subsidiary and that, subject to the application of bankruptcy, insolvency, moratorium, fraudulent conveyance or transfer and other similar laws relating to creditors’ rights generally and to the principles of equity, whether considered in a proceeding at law or in equity, the Note Guarantee of such Subsidiary Guarantor is a legal, valid and binding obligation of such Subsidiary Guarantor, enforceable against such Subsidiary Guarantor in accordance with its terms and/or to such other matters as the Trustee may reasonably request.</w:t>
      </w:r>
    </w:p>
    <w:p>
      <w:pPr>
        <w:spacing w:after="0" w:line="27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i w:val="1"/>
          <w:iCs w:val="1"/>
          <w:color w:val="auto"/>
        </w:rPr>
        <w:t>Non-Impairment.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failure to endorse a Note Guarantee on any Note shall not affect or impair the validity thereof.</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5"/>
          <w:szCs w:val="15"/>
          <w:i w:val="1"/>
          <w:iCs w:val="1"/>
          <w:color w:val="auto"/>
        </w:rPr>
        <w:t>Release of Guarantees.</w:t>
      </w:r>
    </w:p>
    <w:p>
      <w:pPr>
        <w:spacing w:after="0" w:line="117" w:lineRule="exact"/>
        <w:rPr>
          <w:sz w:val="20"/>
          <w:szCs w:val="20"/>
          <w:color w:val="auto"/>
        </w:rPr>
      </w:pPr>
    </w:p>
    <w:p>
      <w:pPr>
        <w:ind w:right="60" w:firstLine="987"/>
        <w:spacing w:after="0" w:line="286" w:lineRule="auto"/>
        <w:tabs>
          <w:tab w:leader="none" w:pos="137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Subject to paragraphs (b) and (c), each Note Guarantee, once it becomes due, is a continuing guarantee and shall (i) remain in full force and effect until payment in full of all the Guaranteed Obligations, (ii) be binding upon each Subsidiary Guarantor and its successors and (iii) inure to the benefit of, and be enforceable by, the Trustee, the Holders and their successors, transferees and assigns.</w:t>
      </w:r>
    </w:p>
    <w:p>
      <w:pPr>
        <w:spacing w:after="0" w:line="165" w:lineRule="exact"/>
        <w:rPr>
          <w:rFonts w:ascii="Arial" w:cs="Arial" w:eastAsia="Arial" w:hAnsi="Arial"/>
          <w:sz w:val="17"/>
          <w:szCs w:val="17"/>
          <w:color w:val="auto"/>
        </w:rPr>
      </w:pPr>
    </w:p>
    <w:p>
      <w:pPr>
        <w:ind w:left="1380" w:hanging="393"/>
        <w:spacing w:after="0"/>
        <w:tabs>
          <w:tab w:leader="none" w:pos="138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The Note Guarantee of a Subsidiary Guarantor with respect to the Notes will be automatically and unconditionally released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discharged:</w:t>
      </w:r>
    </w:p>
    <w:p>
      <w:pPr>
        <w:spacing w:after="0" w:line="102" w:lineRule="exact"/>
        <w:rPr>
          <w:rFonts w:ascii="Arial" w:cs="Arial" w:eastAsia="Arial" w:hAnsi="Arial"/>
          <w:sz w:val="17"/>
          <w:szCs w:val="17"/>
          <w:color w:val="auto"/>
        </w:rPr>
      </w:pPr>
    </w:p>
    <w:p>
      <w:pPr>
        <w:ind w:left="980" w:right="200" w:firstLine="408"/>
        <w:spacing w:after="0" w:line="286" w:lineRule="auto"/>
        <w:tabs>
          <w:tab w:leader="none" w:pos="1771" w:val="left"/>
        </w:tabs>
        <w:numPr>
          <w:ilvl w:val="1"/>
          <w:numId w:val="325"/>
        </w:numPr>
        <w:rPr>
          <w:rFonts w:ascii="Arial" w:cs="Arial" w:eastAsia="Arial" w:hAnsi="Arial"/>
          <w:sz w:val="17"/>
          <w:szCs w:val="17"/>
          <w:color w:val="auto"/>
        </w:rPr>
      </w:pPr>
      <w:r>
        <w:rPr>
          <w:rFonts w:ascii="Arial" w:cs="Arial" w:eastAsia="Arial" w:hAnsi="Arial"/>
          <w:sz w:val="17"/>
          <w:szCs w:val="17"/>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Restricted Subsidiary of the Company, if the sale or other disposition does not violate Section 5.01 hereof;</w:t>
      </w:r>
    </w:p>
    <w:p>
      <w:pPr>
        <w:spacing w:after="0" w:line="57" w:lineRule="exact"/>
        <w:rPr>
          <w:rFonts w:ascii="Arial" w:cs="Arial" w:eastAsia="Arial" w:hAnsi="Arial"/>
          <w:sz w:val="17"/>
          <w:szCs w:val="17"/>
          <w:color w:val="auto"/>
        </w:rPr>
      </w:pPr>
    </w:p>
    <w:p>
      <w:pPr>
        <w:ind w:left="980" w:right="20" w:firstLine="408"/>
        <w:spacing w:after="0" w:line="259" w:lineRule="auto"/>
        <w:tabs>
          <w:tab w:leader="none" w:pos="1771"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the Capital Stock of that Subsidiary Guarantor to a Person that is not (either before or after giving effect to such transaction) the Company or a Restricted Subsidiary of the Company, if the sale or other disposition does not violate Section 4.10 or 5.01 hereof and such Subsidiary Guarantor ceases to be a Restricted Subsidiary of the Company as a result of such sale or other disposition;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304" w:name="page305"/>
    <w:bookmarkEnd w:id="304"/>
    <w:p>
      <w:pPr>
        <w:ind w:left="980" w:right="680" w:firstLine="408"/>
        <w:spacing w:after="0" w:line="277" w:lineRule="auto"/>
        <w:tabs>
          <w:tab w:leader="none" w:pos="1771" w:val="left"/>
        </w:tabs>
        <w:numPr>
          <w:ilvl w:val="1"/>
          <w:numId w:val="3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designates any Restricted Subsidiary that is a Subsidiary Guarantor to be an Unrestricted Subsidiary in accordance with Section 4.18 hereof;</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upon Legal Defeasance or satisfaction and discharge of the Indenture as provided by Articles 8 and 12 of this Indenture;</w:t>
      </w:r>
    </w:p>
    <w:p>
      <w:pPr>
        <w:spacing w:after="0" w:line="128" w:lineRule="exact"/>
        <w:rPr>
          <w:rFonts w:ascii="Arial" w:cs="Arial" w:eastAsia="Arial" w:hAnsi="Arial"/>
          <w:sz w:val="17"/>
          <w:szCs w:val="17"/>
          <w:color w:val="auto"/>
        </w:rPr>
      </w:pPr>
    </w:p>
    <w:p>
      <w:pPr>
        <w:ind w:left="980" w:right="840" w:firstLine="408"/>
        <w:spacing w:after="0" w:line="277" w:lineRule="auto"/>
        <w:tabs>
          <w:tab w:leader="none" w:pos="1771" w:val="left"/>
        </w:tabs>
        <w:numPr>
          <w:ilvl w:val="1"/>
          <w:numId w:val="326"/>
        </w:numPr>
        <w:rPr>
          <w:rFonts w:ascii="Arial" w:cs="Arial" w:eastAsia="Arial" w:hAnsi="Arial"/>
          <w:sz w:val="18"/>
          <w:szCs w:val="18"/>
          <w:color w:val="auto"/>
        </w:rPr>
      </w:pPr>
      <w:r>
        <w:rPr>
          <w:rFonts w:ascii="Arial" w:cs="Arial" w:eastAsia="Arial" w:hAnsi="Arial"/>
          <w:sz w:val="18"/>
          <w:szCs w:val="18"/>
          <w:color w:val="auto"/>
        </w:rPr>
        <w:t>upon payment in full of the principal of, premium, if any, and accrued and unpaid interest on, the Notes and all other Obligations that are then due and payable thereunder;</w:t>
      </w:r>
    </w:p>
    <w:p>
      <w:pPr>
        <w:spacing w:after="0" w:line="62" w:lineRule="exact"/>
        <w:rPr>
          <w:rFonts w:ascii="Arial" w:cs="Arial" w:eastAsia="Arial" w:hAnsi="Arial"/>
          <w:sz w:val="18"/>
          <w:szCs w:val="18"/>
          <w:color w:val="auto"/>
        </w:rPr>
      </w:pPr>
    </w:p>
    <w:p>
      <w:pPr>
        <w:ind w:left="980" w:right="220" w:firstLine="408"/>
        <w:spacing w:after="0" w:line="275" w:lineRule="auto"/>
        <w:tabs>
          <w:tab w:leader="none" w:pos="1771" w:val="left"/>
        </w:tabs>
        <w:numPr>
          <w:ilvl w:val="1"/>
          <w:numId w:val="326"/>
        </w:numPr>
        <w:rPr>
          <w:rFonts w:ascii="Arial" w:cs="Arial" w:eastAsia="Arial" w:hAnsi="Arial"/>
          <w:sz w:val="17"/>
          <w:szCs w:val="17"/>
          <w:color w:val="auto"/>
        </w:rPr>
      </w:pPr>
      <w:r>
        <w:rPr>
          <w:rFonts w:ascii="Arial" w:cs="Arial" w:eastAsia="Arial" w:hAnsi="Arial"/>
          <w:sz w:val="17"/>
          <w:szCs w:val="17"/>
          <w:color w:val="auto"/>
        </w:rPr>
        <w:t>upon the merger or consolidation of any Subsidiary Guarantor with and into the Company or a Wholly-Owned Subsidiary Guarantor (or a Wholly-Owned Restricted Subsidiary that becomes a Subsidiary Guarantor concurrently with the transaction) that is the surviving Person in such merger or consolidation, or upon the liquidation of such Subsidiary Guarantor following the transfer of all or substantially all of its assets to the Company or a Wholly-Owned Subsidiary Guarantor (or a Wholly-Owned Restricted Subsidiary that becomes a Subsidiary Guarantor concurrently with the transaction); or</w:t>
      </w:r>
    </w:p>
    <w:p>
      <w:pPr>
        <w:spacing w:after="0" w:line="68" w:lineRule="exact"/>
        <w:rPr>
          <w:rFonts w:ascii="Arial" w:cs="Arial" w:eastAsia="Arial" w:hAnsi="Arial"/>
          <w:sz w:val="17"/>
          <w:szCs w:val="17"/>
          <w:color w:val="auto"/>
        </w:rPr>
      </w:pPr>
    </w:p>
    <w:p>
      <w:pPr>
        <w:ind w:left="1820" w:hanging="432"/>
        <w:spacing w:after="0"/>
        <w:tabs>
          <w:tab w:leader="none" w:pos="18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as described under Article 9 hereof.</w:t>
      </w:r>
    </w:p>
    <w:p>
      <w:pPr>
        <w:spacing w:after="0" w:line="225" w:lineRule="exact"/>
        <w:rPr>
          <w:rFonts w:ascii="Arial" w:cs="Arial" w:eastAsia="Arial" w:hAnsi="Arial"/>
          <w:sz w:val="18"/>
          <w:szCs w:val="18"/>
          <w:color w:val="auto"/>
        </w:rPr>
      </w:pPr>
    </w:p>
    <w:p>
      <w:pPr>
        <w:ind w:right="500" w:firstLine="987"/>
        <w:spacing w:after="0" w:line="342" w:lineRule="auto"/>
        <w:tabs>
          <w:tab w:leader="none" w:pos="1371" w:val="left"/>
        </w:tabs>
        <w:numPr>
          <w:ilvl w:val="0"/>
          <w:numId w:val="327"/>
        </w:numPr>
        <w:rPr>
          <w:rFonts w:ascii="Arial" w:cs="Arial" w:eastAsia="Arial" w:hAnsi="Arial"/>
          <w:sz w:val="16"/>
          <w:szCs w:val="16"/>
          <w:color w:val="auto"/>
        </w:rPr>
      </w:pPr>
      <w:r>
        <w:rPr>
          <w:rFonts w:ascii="Arial" w:cs="Arial" w:eastAsia="Arial" w:hAnsi="Arial"/>
          <w:sz w:val="16"/>
          <w:szCs w:val="16"/>
          <w:color w:val="auto"/>
        </w:rPr>
        <w:t>Each Holder hereby authorizes the Trustee to take all actions to effectuate any release in accordance with the provisions of this Section 11.08, subject to customary and reasonably satisfactory protections and indemnifications provided by the Company to the Trustee.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i w:val="1"/>
          <w:iCs w:val="1"/>
          <w:color w:val="auto"/>
        </w:rPr>
        <w:t>Satisfaction and Discharge.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117" w:lineRule="exact"/>
        <w:rPr>
          <w:sz w:val="20"/>
          <w:szCs w:val="20"/>
          <w:color w:val="auto"/>
        </w:rPr>
      </w:pPr>
    </w:p>
    <w:p>
      <w:pPr>
        <w:ind w:left="1820" w:hanging="432"/>
        <w:spacing w:after="0"/>
        <w:tabs>
          <w:tab w:leader="none" w:pos="18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1420" w:right="180" w:firstLine="391"/>
        <w:spacing w:after="0" w:line="263" w:lineRule="auto"/>
        <w:tabs>
          <w:tab w:leader="none" w:pos="2233"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75" w:lineRule="exact"/>
        <w:rPr>
          <w:rFonts w:ascii="Arial" w:cs="Arial" w:eastAsia="Arial" w:hAnsi="Arial"/>
          <w:sz w:val="18"/>
          <w:szCs w:val="18"/>
          <w:color w:val="auto"/>
        </w:rPr>
      </w:pPr>
    </w:p>
    <w:p>
      <w:pPr>
        <w:ind w:left="1420" w:firstLine="391"/>
        <w:spacing w:after="0" w:line="254" w:lineRule="auto"/>
        <w:tabs>
          <w:tab w:leader="none" w:pos="2268"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have become due and payable by reason of the mailing of a notice of redemption or otherwise or will become due and payable within one (1) year and the Company has irrevocably deposited or caused to be deposited with the Trustee as trust funds in trust solely for the benefit of the Holders, cash in U.S. dollars, non-callable U.S. Government Obligations, or a combination of cash in U.S. dollars and non-callable U.S. Government Obligations,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87" w:lineRule="exact"/>
        <w:rPr>
          <w:sz w:val="20"/>
          <w:szCs w:val="20"/>
          <w:color w:val="auto"/>
        </w:rPr>
      </w:pPr>
    </w:p>
    <w:p>
      <w:pPr>
        <w:ind w:left="1420" w:firstLine="391"/>
        <w:spacing w:after="0" w:line="259" w:lineRule="auto"/>
        <w:tabs>
          <w:tab w:leader="none" w:pos="219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Subsidiary Guarantor is a party or by which the Company or any Subsidiary Guarantor is bound;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305" w:name="page306"/>
    <w:bookmarkEnd w:id="305"/>
    <w:p>
      <w:pPr>
        <w:ind w:left="1780" w:hanging="392"/>
        <w:spacing w:after="0"/>
        <w:tabs>
          <w:tab w:leader="none" w:pos="1780" w:val="left"/>
        </w:tabs>
        <w:numPr>
          <w:ilvl w:val="0"/>
          <w:numId w:val="3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or any Subsidiary Guarantor has paid or caused to be paid all sums payable by it under this Indenture; and</w:t>
      </w:r>
    </w:p>
    <w:p>
      <w:pPr>
        <w:spacing w:after="0" w:line="128" w:lineRule="exact"/>
        <w:rPr>
          <w:rFonts w:ascii="Arial" w:cs="Arial" w:eastAsia="Arial" w:hAnsi="Arial"/>
          <w:sz w:val="17"/>
          <w:szCs w:val="17"/>
          <w:color w:val="auto"/>
        </w:rPr>
      </w:pPr>
    </w:p>
    <w:p>
      <w:pPr>
        <w:ind w:left="980" w:firstLine="408"/>
        <w:spacing w:after="0" w:line="277" w:lineRule="auto"/>
        <w:tabs>
          <w:tab w:leader="none" w:pos="177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addition, the Company must deliver an Officer’s Certificate of the Company and an Opinion of Counsel to the Trustee stating that all conditions precedent to satisfaction and discharge have been satisfied.</w:t>
      </w:r>
    </w:p>
    <w:p>
      <w:pPr>
        <w:spacing w:after="0" w:line="170"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Notwithstanding the satisfaction and discharge of this Indenture, if money has been deposited with the Trustee pursuant to sub clause (b) of clause (1) of this Section 12.01, the provisions of Sections 12.02 and 8.06 hereof will survive.</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i w:val="1"/>
          <w:iCs w:val="1"/>
          <w:color w:val="auto"/>
        </w:rPr>
        <w:t>Application of Trust Money.</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80"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If the Trustee or Paying Agent is unable to apply any cash in U.S. dollars or non-callable U.S. Government Obligations in accordance with Section 12.01 hereof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12.01 hereof;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Company has made any payment of principal of, premium, if any, or interest on, any Notes because of the reinstatement of its obligations, the Company shall be subrogated to the rights of the Holders of such Notes to receive such payment from the cash in U.S. dollars or non-callable U.S. Government Obligations held by the Trustee or Paying Agent.</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7"/>
          <w:szCs w:val="17"/>
          <w:i w:val="1"/>
          <w:iCs w:val="1"/>
          <w:color w:val="auto"/>
        </w:rPr>
        <w:t>[Intentionally Omitted].</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i w:val="1"/>
          <w:iCs w:val="1"/>
          <w:color w:val="auto"/>
        </w:rPr>
        <w:t>Notices.</w:t>
      </w:r>
    </w:p>
    <w:p>
      <w:pPr>
        <w:spacing w:after="0" w:line="117"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Any notice or communication by the Company or the Trustee to the others is duly given if in writing, in the English language, and delivered in Person or by first class mail (registered or certified, return receipt requested), facsimile transmission, electronic mail (in pdf format) or overnight air courier guaranteeing next day delivery, to the others’ address:</w:t>
      </w:r>
    </w:p>
    <w:p>
      <w:pPr>
        <w:spacing w:after="0" w:line="184" w:lineRule="exact"/>
        <w:rPr>
          <w:sz w:val="20"/>
          <w:szCs w:val="20"/>
          <w:color w:val="auto"/>
        </w:rPr>
      </w:pPr>
    </w:p>
    <w:p>
      <w:pPr>
        <w:ind w:left="980" w:right="240"/>
        <w:spacing w:after="0" w:line="263" w:lineRule="auto"/>
        <w:rPr>
          <w:sz w:val="20"/>
          <w:szCs w:val="20"/>
          <w:color w:val="auto"/>
        </w:rPr>
      </w:pPr>
      <w:r>
        <w:rPr>
          <w:rFonts w:ascii="Arial" w:cs="Arial" w:eastAsia="Arial" w:hAnsi="Arial"/>
          <w:sz w:val="18"/>
          <w:szCs w:val="18"/>
          <w:color w:val="auto"/>
        </w:rPr>
        <w:t>If to the Company, Studio City Investments Limited, Studio City Company Limited, Studio City Holdings Two Limited, Studio City Holdings Three Limited, Studio City Holdings Four Limited, SCP Holdings Limited, SCIP Holdings Limited, SCP One Limited and/or SCP Two Limited: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Jayla Place, Wickhams Cay 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British Virgin Islands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40" w:top="274" w:right="479" w:bottom="1440" w:gutter="0" w:footer="0" w:header="0"/>
        </w:sectPr>
      </w:pPr>
    </w:p>
    <w:bookmarkStart w:id="306" w:name="page307"/>
    <w:bookmarkEnd w:id="30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Studio City (HK) Limited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If to Studio City Services Limited, Studio City Entertainment Limited, Studio City Hotels Limited, Studio City Hospitality and Services Limited, Studio City Retail Services Limited and/or Studio City Developments Limited: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Avenida da Praia Grande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nº 594, 15º andar 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Macau</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Studio City (HK) Limited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Ashurst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11/F Jardine House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Connaught Place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2868 0898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Anna-Marie Slot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Studio City (HK) Two Limited: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36th Floor, The Centrium</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Trustee, the Paying Agent, Registrar and Transfer Agent: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Deutsche Bank Trust Company Americas</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Wall Street, 24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MS NYC60-2405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(732) 578-4635</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Corporates Team – Studio City Finance Limited Deal ID: SF2716</w:t>
      </w:r>
    </w:p>
    <w:p>
      <w:pPr>
        <w:spacing w:after="0" w:line="211"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The Company, any Subsidiary Guarantor, the Trustee and any Agent, by notice to the others, may designate additional or different addresses for subsequent notices or communications.</w:t>
      </w:r>
    </w:p>
    <w:p>
      <w:pPr>
        <w:spacing w:after="0" w:line="170"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All notices and communications (other than those sent to Holders) will be deemed to have been duly given: at the time delivered by hand, if personally delivered; five (5)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00"/>
          </w:cols>
          <w:pgMar w:left="440" w:top="274" w:right="559" w:bottom="1440" w:gutter="0" w:footer="0" w:header="0"/>
        </w:sectPr>
      </w:pPr>
    </w:p>
    <w:bookmarkStart w:id="307" w:name="page308"/>
    <w:bookmarkEnd w:id="307"/>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notice or communication to a Holder will be electronically delivered, mailed by first class mail, certified or registered, return receipt requested, or by overnight air courier guaranteeing next day delivery to its address shown on the register kept by the Registrar. All notices to the Holders (while any Notes are represented by one or more Global Notes) shall be delivered to DTC, for communication to entitled account Holders, and any obligation to give notice to the Holders will be discharged upon delivery of such notice to DTC. Failure to mail a notice or communication to a Holder or any defect in it will not affect its sufficiency with respect to other Holders. If a notice or communication is mailed or delivered in the manner provided above within the time prescribed, it is duly given, whether or not the addressee receives it.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Company mails or delivers a notice or communication to Holders, it will mail or deliver a copy to the Trustee and each Agent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same time.</w:t>
      </w:r>
    </w:p>
    <w:p>
      <w:pPr>
        <w:spacing w:after="0" w:line="31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i w:val="1"/>
          <w:iCs w:val="1"/>
          <w:color w:val="auto"/>
        </w:rPr>
        <w:t>Communication by Holders of Notes with Other Holders of Notes.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03" w:lineRule="exact"/>
        <w:rPr>
          <w:sz w:val="20"/>
          <w:szCs w:val="20"/>
          <w:color w:val="auto"/>
        </w:rPr>
      </w:pPr>
    </w:p>
    <w:p>
      <w:pPr>
        <w:ind w:left="980" w:right="120" w:firstLine="408"/>
        <w:spacing w:after="0" w:line="263" w:lineRule="auto"/>
        <w:tabs>
          <w:tab w:leader="none" w:pos="177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13.05 hereof) stating that, in the opinion of the signers, all conditions precedent and covenants, if any, provided for in this Indenture relating to the proposed action have been satisfied; and</w:t>
      </w:r>
    </w:p>
    <w:p>
      <w:pPr>
        <w:spacing w:after="0" w:line="75" w:lineRule="exact"/>
        <w:rPr>
          <w:rFonts w:ascii="Arial" w:cs="Arial" w:eastAsia="Arial" w:hAnsi="Arial"/>
          <w:sz w:val="18"/>
          <w:szCs w:val="18"/>
          <w:color w:val="auto"/>
        </w:rPr>
      </w:pPr>
    </w:p>
    <w:p>
      <w:pPr>
        <w:ind w:left="980" w:right="40" w:firstLine="408"/>
        <w:spacing w:after="0" w:line="342" w:lineRule="auto"/>
        <w:tabs>
          <w:tab w:leader="none" w:pos="1771"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13.05 hereof) stating that, in the opinion of such counsel, all such conditions precedent and covenants have been satisfied.</w:t>
      </w:r>
    </w:p>
    <w:p>
      <w:pPr>
        <w:spacing w:after="0" w:line="23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780" w:hanging="392"/>
        <w:spacing w:after="0"/>
        <w:tabs>
          <w:tab w:leader="none" w:pos="17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771"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980" w:right="180" w:firstLine="408"/>
        <w:spacing w:after="0" w:line="308" w:lineRule="auto"/>
        <w:tabs>
          <w:tab w:leader="none" w:pos="1771" w:val="left"/>
        </w:tabs>
        <w:numPr>
          <w:ilvl w:val="0"/>
          <w:numId w:val="332"/>
        </w:numPr>
        <w:rPr>
          <w:rFonts w:ascii="Arial" w:cs="Arial" w:eastAsia="Arial" w:hAnsi="Arial"/>
          <w:sz w:val="17"/>
          <w:szCs w:val="17"/>
          <w:color w:val="auto"/>
        </w:rPr>
      </w:pPr>
      <w:r>
        <w:rPr>
          <w:rFonts w:ascii="Arial" w:cs="Arial" w:eastAsia="Arial" w:hAnsi="Arial"/>
          <w:sz w:val="17"/>
          <w:szCs w:val="17"/>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38" w:lineRule="exact"/>
        <w:rPr>
          <w:rFonts w:ascii="Arial" w:cs="Arial" w:eastAsia="Arial" w:hAnsi="Arial"/>
          <w:sz w:val="17"/>
          <w:szCs w:val="17"/>
          <w:color w:val="auto"/>
        </w:rPr>
      </w:pPr>
    </w:p>
    <w:p>
      <w:pPr>
        <w:ind w:left="1780" w:hanging="392"/>
        <w:spacing w:after="0"/>
        <w:tabs>
          <w:tab w:leader="none" w:pos="17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5"/>
          <w:szCs w:val="15"/>
          <w:i w:val="1"/>
          <w:iCs w:val="1"/>
          <w:color w:val="auto"/>
        </w:rPr>
        <w:t>Rules by Trustee and Agents.</w:t>
      </w:r>
    </w:p>
    <w:p>
      <w:pPr>
        <w:spacing w:after="0" w:line="117"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20"/>
          </w:cols>
          <w:pgMar w:left="440" w:top="274" w:right="439" w:bottom="1440" w:gutter="0" w:footer="0" w:header="0"/>
        </w:sectPr>
      </w:pPr>
    </w:p>
    <w:bookmarkStart w:id="308" w:name="page309"/>
    <w:bookmarkEnd w:id="308"/>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13.07</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117" w:lineRule="exact"/>
        <w:rPr>
          <w:sz w:val="20"/>
          <w:szCs w:val="20"/>
          <w:color w:val="auto"/>
        </w:rPr>
      </w:pPr>
    </w:p>
    <w:p>
      <w:pPr>
        <w:ind w:right="220" w:firstLine="991"/>
        <w:spacing w:after="0" w:line="257" w:lineRule="auto"/>
        <w:rPr>
          <w:sz w:val="20"/>
          <w:szCs w:val="20"/>
          <w:color w:val="auto"/>
        </w:rPr>
      </w:pPr>
      <w:r>
        <w:rPr>
          <w:rFonts w:ascii="Arial" w:cs="Arial" w:eastAsia="Arial" w:hAnsi="Arial"/>
          <w:sz w:val="18"/>
          <w:szCs w:val="18"/>
          <w:color w:val="auto"/>
        </w:rPr>
        <w:t>No past, present or future director, officer, employee, incorporator or stockholder of the Company or any Subsidiary Guarantor, as such, will have any liability for any obligations of the Company or the Subsidiary Guarantors under the Notes, this Indenture or the Note Guarantees,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96"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6"/>
          <w:szCs w:val="16"/>
          <w:i w:val="1"/>
          <w:iCs w:val="1"/>
          <w:color w:val="auto"/>
        </w:rPr>
        <w:t>Governing Law.</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LAWS OF THE STATE OF NEW YORK WILL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29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11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5"/>
          <w:szCs w:val="15"/>
          <w:i w:val="1"/>
          <w:iCs w:val="1"/>
          <w:color w:val="auto"/>
        </w:rPr>
        <w:t>Successors.</w:t>
      </w:r>
    </w:p>
    <w:p>
      <w:pPr>
        <w:spacing w:after="0" w:line="117"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All agreements of the Company in this Indenture and the Notes will bind its successors. All agreements of the Trustee and each Agent in this Indenture will bind their respective successors. All agreements of each Subsidiary Guarantor in this Indenture will bind their respective successors, except as otherwise provided in Section 11.05 hereof.</w:t>
      </w:r>
    </w:p>
    <w:p>
      <w:pPr>
        <w:spacing w:after="0" w:line="29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i w:val="1"/>
          <w:iCs w:val="1"/>
          <w:color w:val="auto"/>
        </w:rPr>
        <w:t>Severability.</w:t>
      </w:r>
    </w:p>
    <w:p>
      <w:pPr>
        <w:spacing w:after="0" w:line="117"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7"/>
          <w:szCs w:val="17"/>
          <w:i w:val="1"/>
          <w:iCs w:val="1"/>
          <w:color w:val="auto"/>
        </w:rPr>
        <w:t>Counterpart Originals.</w:t>
      </w:r>
    </w:p>
    <w:p>
      <w:pPr>
        <w:spacing w:after="0" w:line="117"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17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Facsimile, documents executed, scanned and transmitted electronically and electronic signatures, including those created or transmitted through a software platform or application, shall be deemed original signatures for purposes of this Indenture, and all matters and agreements related thereto (including the Notes), with such facsimile, scanned and electronic signatures having the same legal effect as original signatures. The parties agree that this Indenture, the Notes or any instrument, agreement or document necessary for the consummation of the transactions contemplated by this Indenture, the Notes or related hereto or thereto (including, without limitation, supplements, addendums, amendments, notices, instructions, communications with respect to the delivery of securities or the wire transfer of funds or other communications) (“</w:t>
      </w:r>
      <w:r>
        <w:rPr>
          <w:rFonts w:ascii="Arial" w:cs="Arial" w:eastAsia="Arial" w:hAnsi="Arial"/>
          <w:sz w:val="16"/>
          <w:szCs w:val="16"/>
          <w:b w:val="1"/>
          <w:bCs w:val="1"/>
          <w:u w:val="single" w:color="auto"/>
          <w:color w:val="auto"/>
        </w:rPr>
        <w:t>Executed Documentation</w:t>
      </w:r>
      <w:r>
        <w:rPr>
          <w:rFonts w:ascii="Arial" w:cs="Arial" w:eastAsia="Arial" w:hAnsi="Arial"/>
          <w:sz w:val="16"/>
          <w:szCs w:val="16"/>
          <w:color w:val="auto"/>
        </w:rPr>
        <w:t>”)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or any Agent acts on any Executed Documentation sent by electronic transmission, the Trustee or any Agent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or any Agent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or any Agent acting on unauthorized instructions and the risk of interception and misuse by third parties.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309" w:name="page310"/>
    <w:bookmarkEnd w:id="309"/>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13.13</w:t>
      </w:r>
      <w:r>
        <w:rPr>
          <w:sz w:val="20"/>
          <w:szCs w:val="20"/>
          <w:color w:val="auto"/>
        </w:rPr>
        <w:tab/>
      </w:r>
      <w:r>
        <w:rPr>
          <w:rFonts w:ascii="Arial" w:cs="Arial" w:eastAsia="Arial" w:hAnsi="Arial"/>
          <w:sz w:val="16"/>
          <w:szCs w:val="16"/>
          <w:i w:val="1"/>
          <w:iCs w:val="1"/>
          <w:color w:val="auto"/>
        </w:rPr>
        <w:t>Table of Contents, Headings, etc.</w:t>
      </w:r>
    </w:p>
    <w:p>
      <w:pPr>
        <w:spacing w:after="0" w:line="117"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29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13.14</w:t>
      </w:r>
      <w:r>
        <w:rPr>
          <w:sz w:val="20"/>
          <w:szCs w:val="20"/>
          <w:color w:val="auto"/>
        </w:rPr>
        <w:tab/>
      </w:r>
      <w:r>
        <w:rPr>
          <w:rFonts w:ascii="Arial" w:cs="Arial" w:eastAsia="Arial" w:hAnsi="Arial"/>
          <w:sz w:val="17"/>
          <w:szCs w:val="17"/>
          <w:i w:val="1"/>
          <w:iCs w:val="1"/>
          <w:color w:val="auto"/>
        </w:rPr>
        <w:t>Patriot Act</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(“Applicable Law”), the Trustee and Agents are required to obtain, verify, record and update certain information relating to individuals and entities which maintain a business relationship with the Trustee and Agents. Accordingly, each of the parties agree to provide to the Trustee and Agents, upon their request from time to time such identifying information and documentation as may be available for such party in order to enable the Trustee and Agents to comply with Applicable Law.</w:t>
      </w:r>
    </w:p>
    <w:p>
      <w:pPr>
        <w:spacing w:after="0" w:line="300"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13.15</w:t>
      </w:r>
      <w:r>
        <w:rPr>
          <w:sz w:val="20"/>
          <w:szCs w:val="20"/>
          <w:color w:val="auto"/>
        </w:rPr>
        <w:tab/>
      </w:r>
      <w:r>
        <w:rPr>
          <w:rFonts w:ascii="Arial" w:cs="Arial" w:eastAsia="Arial" w:hAnsi="Arial"/>
          <w:sz w:val="16"/>
          <w:szCs w:val="16"/>
          <w:i w:val="1"/>
          <w:iCs w:val="1"/>
          <w:color w:val="auto"/>
        </w:rPr>
        <w:t>Submission to Jurisdiction; Waiver of Jury Trial</w:t>
      </w:r>
    </w:p>
    <w:p>
      <w:pPr>
        <w:spacing w:after="0" w:line="117" w:lineRule="exact"/>
        <w:rPr>
          <w:sz w:val="20"/>
          <w:szCs w:val="20"/>
          <w:color w:val="auto"/>
        </w:rPr>
      </w:pPr>
    </w:p>
    <w:p>
      <w:pPr>
        <w:ind w:firstLine="991"/>
        <w:spacing w:after="0" w:line="251" w:lineRule="auto"/>
        <w:rPr>
          <w:sz w:val="20"/>
          <w:szCs w:val="20"/>
          <w:color w:val="auto"/>
        </w:rPr>
      </w:pPr>
      <w:r>
        <w:rPr>
          <w:rFonts w:ascii="Arial" w:cs="Arial" w:eastAsia="Arial" w:hAnsi="Arial"/>
          <w:sz w:val="18"/>
          <w:szCs w:val="18"/>
          <w:color w:val="auto"/>
        </w:rPr>
        <w:t>THE COMPANY AND EACH SUBSIDIARY GUARANTOR HEREBY SUBMITS TO THE NON-EXCLUSIVE JURISDICTION OF THE FEDERAL AND STATE COURTS IN THE BOROUGH OF MANHATTAN IN THE CITY OF NEW YORK IN ANY SUIT OR PROCEEDING ARISING OUT OF OR RELATING TO THIS AGREEMENT OR THE TRANSACTIONS CONTEMPLATED HEREBY. THE COMPANY AND EACH SUBSIDIARY GUARANTOR IRREVOCABLY AND UNCONDITIONALLY WAIVES ANY OBJECTION TO THE LAYING OF VENUE OF ANY SUIT OR PROCEEDING ARISING OUT OF OR RELATING TO THIS INDENTURE, THE NOTE GUARANTEES, THE NOTES AND ANY OF THE TRANSACTIONS CONTEMPLATED HEREBY OR THEREBY IN FEDERAL AND STATE COURTS IN THE BOROUGH OF MANHATTAN IN THE CITY OF NEW YORK AND IRREVOCABLY AND UNCONDITIONALLY WAIVES AND AGREES NOT TO PLEAD OR CLAIM IN ANY SUCH COURT THAT ANY SUCH SUIT OR PROCEEDING IN ANY SUCH COURT HAS BEEN BROUGHT IN AN INCONVENIENT FORUM. NOTHING HEREIN SHALL AFFECT THE RIGHT OF THE TRUSTEE OR ANY HOLDER OF THE NOTES TO SERVE PROCESS IN ANY OTHER MANNER PERMITTED BY LAW OR TO COMMENCE LEGAL PROCEEDINGS OR OTHERWISE PROCEED AGAINST THE COMPANY IN ANY OTHER JURISDICTION. THE COMPANY AND EACH SUBSIDIARY GUARANTOR IRREVOCABLY APPOINTS LAW DEBENTURE CORPORATE SERVICES INC., 801 2</w:t>
      </w:r>
      <w:r>
        <w:rPr>
          <w:rFonts w:ascii="Arial" w:cs="Arial" w:eastAsia="Arial" w:hAnsi="Arial"/>
          <w:sz w:val="15"/>
          <w:szCs w:val="15"/>
          <w:color w:val="auto"/>
        </w:rPr>
        <w:t>ND</w:t>
      </w:r>
      <w:r>
        <w:rPr>
          <w:rFonts w:ascii="Arial" w:cs="Arial" w:eastAsia="Arial" w:hAnsi="Arial"/>
          <w:sz w:val="18"/>
          <w:szCs w:val="18"/>
          <w:color w:val="auto"/>
        </w:rPr>
        <w:t xml:space="preserve"> AVENUE, SUITE 403, NEW YORK, NEW YORK, 10017,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13.02, SHALL BE DEEMED IN EVERY RESPECT EFFECTIVE SERVICE OF PROCESS UPON THE COMPANY OR ANY SUBSIDIARY GUARANTOR, AS THE CASE MAY BE, IN ANY SUCH SUIT OR PROCEEDING. THE COMPANY AND EACH SUBSIDIARY GUARANTOR FURTHER AGREES TO TAKE ANY AND ALL ACTION AS MAY BE NECESSARY TO MAINTAIN SUCH DESIGNATION AND APPOINTMENT OF SUCH AGENT IN FULL FORCE AND EFFECT FOR SO LONG AS THE NOTES ARE OUTSTANDING FROM THE DATE OF THIS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4" w:right="479" w:bottom="1440" w:gutter="0" w:footer="0" w:header="0"/>
        </w:sectPr>
      </w:pPr>
    </w:p>
    <w:bookmarkStart w:id="310" w:name="page311"/>
    <w:bookmarkEnd w:id="310"/>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HERETO HEREBY WAIVES ITS RIGHTS TO A JURY TRIAL OF ANY CLAIM OR CAUSE OF ACTION BASED UPON OR ARISING OUT OF THIS INDENTURE, THE NOTES, THE NOTE GUARANTEES, OR THE TRANSACTIONS CONTEMPLATED HEREBY OR THEREBY.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THIS SECTION 13.15 HAS BEEN FULLY DISCUSSED BY EACH OF THE PARTIES HERETO AND THESE PROVISIONS SHALL NOT BE SUBJECT TO ANY EXCEPTIONS. EACH PARTY HERETO HEREBY FURTHER WARRANTS AND REPRESENTS THAT SUCH PARTY HAS REVIEWED THIS WAIVER WITH ITS LEGAL COUNSEL, AND THAT SUCH PARTY KNOWINGLY AND VOLUNTARILY WAIVES ITS JURY TRIAL RIGHTS FOLLOWING CONSULTATION WITH LEGAL COUNSEL. THIS WAIVER IS IRREVOCABLE, MEANING THAT IT MAY NOT BE MODIFIED EITHER ORALLY OR IN WRITING, AND THIS WAIVER SHALL APPLY TO ANY SUBSEQUENT AMENDMENTS, SUPPLEMENTS OR MODIFICATIONS TO (OR ASSIGNMENTS OF) THIS INDENTURE. IN THE EVENT OF LITIGATION, THIS INDENTURE MAY BE FILED AS A WRITTEN CONSENT TO A TRIAL (WITHOUT A JURY) BY THE COURT.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440" w:top="274" w:right="499" w:bottom="1440" w:gutter="0" w:footer="0" w:header="0"/>
        </w:sectPr>
      </w:pPr>
    </w:p>
    <w:bookmarkStart w:id="311" w:name="page312"/>
    <w:bookmarkEnd w:id="311"/>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July 15,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FINANCE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INVESTMENTS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TWO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STUDIO CITY HOLDINGS THREE LIMITED</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FOUR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10100"/>
          </w:cols>
          <w:pgMar w:left="440" w:top="274" w:right="1359" w:bottom="1440" w:gutter="0" w:footer="0" w:header="0"/>
        </w:sectPr>
      </w:pPr>
    </w:p>
    <w:bookmarkStart w:id="312" w:name="page313"/>
    <w:bookmarkEnd w:id="31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260"/>
          </w:cols>
          <w:pgMar w:left="1440" w:top="274" w:right="1199" w:bottom="1440" w:gutter="0" w:footer="0" w:header="0"/>
        </w:sectPr>
      </w:pPr>
    </w:p>
    <w:bookmarkStart w:id="313" w:name="page314"/>
    <w:bookmarkEnd w:id="31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260"/>
          </w:cols>
          <w:pgMar w:left="1440" w:top="274" w:right="1199" w:bottom="1440" w:gutter="0" w:footer="0" w:header="0"/>
        </w:sectPr>
      </w:pPr>
    </w:p>
    <w:bookmarkStart w:id="314" w:name="page315"/>
    <w:bookmarkEnd w:id="31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SCP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DEVELOPMENT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SCIP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RETAIL SERVICES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(HK)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080"/>
          </w:cols>
          <w:pgMar w:left="1440" w:top="274" w:right="1379" w:bottom="1440" w:gutter="0" w:footer="0" w:header="0"/>
        </w:sectPr>
      </w:pPr>
    </w:p>
    <w:bookmarkStart w:id="315" w:name="page316"/>
    <w:bookmarkEnd w:id="31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TRUST COMPANY AMERICAS,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Bridgette Casasnovas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Bridgette Casasnovas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Annie Jaghatspanyan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DEUTSCHE BANK TRUST COMPANY AMERICAS,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Paying Agent, Registrar and Transfer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Bridgette Casasnovas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Bridgette Casasnovas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Annie Jaghatspanyan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660"/>
          </w:cols>
          <w:pgMar w:left="1440" w:top="274" w:right="79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Private Placement Legend, if applicable pursuant to the provisions of the Indenture</w:t>
      </w:r>
      <w:r>
        <w:rPr>
          <w:rFonts w:ascii="Arial" w:cs="Arial" w:eastAsia="Arial" w:hAnsi="Arial"/>
          <w:sz w:val="18"/>
          <w:szCs w:val="18"/>
          <w:color w:val="auto"/>
        </w:rPr>
        <w:t>]</w:t>
      </w:r>
    </w:p>
    <w:p>
      <w:pPr>
        <w:spacing w:after="0" w:line="221"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CUSIP:</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ISIN:</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COMMON CODE: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6.000% Senior Notes due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-10160</wp:posOffset>
            </wp:positionV>
            <wp:extent cx="2286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-10160</wp:posOffset>
            </wp:positionV>
            <wp:extent cx="6858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STUDIO CITY FINANCE LIMITED</w:t>
      </w:r>
    </w:p>
    <w:p>
      <w:pPr>
        <w:spacing w:after="0" w:line="225" w:lineRule="exact"/>
        <w:rPr>
          <w:sz w:val="20"/>
          <w:szCs w:val="20"/>
          <w:color w:val="auto"/>
        </w:rPr>
      </w:pPr>
    </w:p>
    <w:p>
      <w:pPr>
        <w:spacing w:after="0"/>
        <w:tabs>
          <w:tab w:leader="none" w:pos="6460" w:val="left"/>
        </w:tabs>
        <w:rPr>
          <w:sz w:val="20"/>
          <w:szCs w:val="20"/>
          <w:color w:val="auto"/>
        </w:rPr>
      </w:pPr>
      <w:r>
        <w:rPr>
          <w:rFonts w:ascii="Arial" w:cs="Arial" w:eastAsia="Arial" w:hAnsi="Arial"/>
          <w:sz w:val="18"/>
          <w:szCs w:val="18"/>
          <w:color w:val="auto"/>
        </w:rPr>
        <w:t>Promises to pay to Cede &amp; Co. or its registered assigns, the principal sum of</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NUMBER IN WORDS</w:t>
      </w:r>
      <w:r>
        <w:rPr>
          <w:rFonts w:ascii="Arial" w:cs="Arial" w:eastAsia="Arial" w:hAnsi="Arial"/>
          <w:sz w:val="16"/>
          <w:szCs w:val="16"/>
          <w:color w:val="auto"/>
        </w:rPr>
        <w:t>] on July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-10160</wp:posOffset>
            </wp:positionV>
            <wp:extent cx="5715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January 15 and July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December 31 and June 30</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97091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97091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317" w:name="page318"/>
    <w:bookmarkEnd w:id="317"/>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signed manually or by facsimile by the duly authorized officers referred to below.</w:t>
      </w:r>
    </w:p>
    <w:p>
      <w:pPr>
        <w:spacing w:after="0" w:line="17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FINANCE LIMITED, as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480"/>
          </w:cols>
          <w:pgMar w:left="440" w:top="274" w:right="979" w:bottom="1440" w:gutter="0" w:footer="0" w:header="0"/>
        </w:sectPr>
      </w:pPr>
    </w:p>
    <w:bookmarkStart w:id="318" w:name="page319"/>
    <w:bookmarkEnd w:id="318"/>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Authentication</w:t>
      </w:r>
    </w:p>
    <w:p>
      <w:pPr>
        <w:spacing w:after="0" w:line="229"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 as Trustee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-1905</wp:posOffset>
            </wp:positionV>
            <wp:extent cx="24003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019"/>
          </w:cols>
          <w:pgMar w:left="440" w:top="270" w:right="1440" w:bottom="1440" w:gutter="0" w:footer="0" w:header="0"/>
        </w:sectPr>
      </w:pPr>
    </w:p>
    <w:bookmarkStart w:id="319" w:name="page320"/>
    <w:bookmarkEnd w:id="319"/>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 of Note]</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STUDIO CITY FINANCE LIMITED</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6.000% SENIOR NOTES DUE 2025</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herein have the meanings assigned to them in the Indenture referred to below unless otherwise indicated.</w:t>
      </w:r>
    </w:p>
    <w:p>
      <w:pPr>
        <w:spacing w:after="0" w:line="129" w:lineRule="exact"/>
        <w:rPr>
          <w:sz w:val="20"/>
          <w:szCs w:val="20"/>
          <w:color w:val="auto"/>
        </w:rPr>
      </w:pPr>
    </w:p>
    <w:p>
      <w:pPr>
        <w:ind w:right="20" w:firstLine="408"/>
        <w:spacing w:after="0" w:line="287" w:lineRule="auto"/>
        <w:tabs>
          <w:tab w:leader="none" w:pos="790" w:val="left"/>
        </w:tabs>
        <w:numPr>
          <w:ilvl w:val="0"/>
          <w:numId w:val="333"/>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2"/>
          <w:szCs w:val="12"/>
          <w:i w:val="1"/>
          <w:iCs w:val="1"/>
          <w:color w:val="auto"/>
        </w:rPr>
        <w:t>NTEREST</w:t>
      </w:r>
      <w:r>
        <w:rPr>
          <w:rFonts w:ascii="Arial" w:cs="Arial" w:eastAsia="Arial" w:hAnsi="Arial"/>
          <w:sz w:val="16"/>
          <w:szCs w:val="16"/>
          <w:color w:val="auto"/>
        </w:rPr>
        <w:t>. Studio City Finance Limited, a BVI business company with limited liability incorporated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British Virgin Islands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interest on the principal amount of this Note at 6.000% per annum from July 15, 2020 until maturity. The Company will pay interest and Additional Amounts, if any, semi-annually in arrears on January 15 and July 15 of each year, or if any such day is not a Business Day, on the next succeeding Business Day (each, an “</w:t>
      </w:r>
      <w:r>
        <w:rPr>
          <w:rFonts w:ascii="Arial" w:cs="Arial" w:eastAsia="Arial" w:hAnsi="Arial"/>
          <w:sz w:val="16"/>
          <w:szCs w:val="16"/>
          <w:i w:val="1"/>
          <w:iCs w:val="1"/>
          <w:color w:val="auto"/>
        </w:rPr>
        <w:t>Interest Payment Date</w:t>
      </w:r>
      <w:r>
        <w:rPr>
          <w:rFonts w:ascii="Arial" w:cs="Arial" w:eastAsia="Arial" w:hAnsi="Arial"/>
          <w:sz w:val="16"/>
          <w:szCs w:val="16"/>
          <w:color w:val="auto"/>
        </w:rPr>
        <w:t xml:space="preserve">”). Interest on the Notes will accrue from the most recent date to which interest has been paid or, if no interest has been paid, from the date of issuance;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if there is no existing Default in the payment of interest, and if this Note is authenticated between a record date referred to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face hereof and the next succeeding Interest Payment Date, interest shall accrue from such next succeeding Interest Payment Date;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the first Interest Payment Date shall be January 15, 2021. The Company will pay interest (including post-petition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 Interest will be computed on the basis of a 360-day year of twelve 30-day months.</w:t>
      </w:r>
    </w:p>
    <w:p>
      <w:pPr>
        <w:spacing w:after="0" w:line="59" w:lineRule="exact"/>
        <w:rPr>
          <w:rFonts w:ascii="Arial" w:cs="Arial" w:eastAsia="Arial" w:hAnsi="Arial"/>
          <w:sz w:val="16"/>
          <w:szCs w:val="16"/>
          <w:color w:val="auto"/>
        </w:rPr>
      </w:pPr>
    </w:p>
    <w:p>
      <w:pPr>
        <w:ind w:firstLine="408"/>
        <w:spacing w:after="0" w:line="287" w:lineRule="auto"/>
        <w:tabs>
          <w:tab w:leader="none" w:pos="790" w:val="left"/>
        </w:tabs>
        <w:numPr>
          <w:ilvl w:val="0"/>
          <w:numId w:val="333"/>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2"/>
          <w:szCs w:val="12"/>
          <w:i w:val="1"/>
          <w:iCs w:val="1"/>
          <w:color w:val="auto"/>
        </w:rPr>
        <w:t>ETHOD OF</w:t>
      </w:r>
      <w:r>
        <w:rPr>
          <w:rFonts w:ascii="Arial" w:cs="Arial" w:eastAsia="Arial" w:hAnsi="Arial"/>
          <w:sz w:val="16"/>
          <w:szCs w:val="16"/>
          <w:i w:val="1"/>
          <w:iCs w:val="1"/>
          <w:color w:val="auto"/>
        </w:rPr>
        <w:t xml:space="preserve"> P</w:t>
      </w:r>
      <w:r>
        <w:rPr>
          <w:rFonts w:ascii="Arial" w:cs="Arial" w:eastAsia="Arial" w:hAnsi="Arial"/>
          <w:sz w:val="12"/>
          <w:szCs w:val="12"/>
          <w:i w:val="1"/>
          <w:iCs w:val="1"/>
          <w:color w:val="auto"/>
        </w:rPr>
        <w:t>AYMENT</w:t>
      </w:r>
      <w:r>
        <w:rPr>
          <w:rFonts w:ascii="Arial" w:cs="Arial" w:eastAsia="Arial" w:hAnsi="Arial"/>
          <w:sz w:val="16"/>
          <w:szCs w:val="16"/>
          <w:color w:val="auto"/>
        </w:rPr>
        <w:t>. The Company will pay interest on the Notes (except defaulted interest) and Additional Amounts, if any,</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Persons who are registered Holders of Notes at the close of business on December 31 or June 30 next preceding the Interest Payment Date, even if such Notes are canceled after such record date and on or before such Interest Payment Date, except as provided in</w:t>
      </w:r>
    </w:p>
    <w:p>
      <w:pPr>
        <w:spacing w:after="0" w:line="2"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Section 2.12 of the Indenture with respect to defaulted interest. The Notes will be payable as to principal, premium, and Additional Amounts, if any, and interest at the office or agency of the Company maintained for such purpose within or without the City and State of New York, or, at the option of the Company, payment of interest and Additional Amounts, if any, may be made by check mailed to the Holders at their addresses set forth in the register of Holders;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payment by wire transfer of immediately available funds will be required with respect to principal of and interest, premium and Additional Amounts, if any, on, all Global Notes and all other Notes, the Holders of which will have provided wire transfer instructions to the Company or the Paying Agent, and shall so notify the Trustee and the Paying Agent thereof. Such payment will be in such coin or currency of the United States of America as at the time of payment is legal tender for payment of public and private debts.</w:t>
      </w:r>
    </w:p>
    <w:p>
      <w:pPr>
        <w:spacing w:after="0" w:line="75" w:lineRule="exact"/>
        <w:rPr>
          <w:rFonts w:ascii="Arial" w:cs="Arial" w:eastAsia="Arial" w:hAnsi="Arial"/>
          <w:sz w:val="16"/>
          <w:szCs w:val="16"/>
          <w:color w:val="auto"/>
        </w:rPr>
      </w:pPr>
    </w:p>
    <w:p>
      <w:pPr>
        <w:ind w:right="100" w:firstLine="408"/>
        <w:spacing w:after="0" w:line="263" w:lineRule="auto"/>
        <w:tabs>
          <w:tab w:leader="none" w:pos="790"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4"/>
          <w:szCs w:val="14"/>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GENT AND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EGISTRAR</w:t>
      </w:r>
      <w:r>
        <w:rPr>
          <w:rFonts w:ascii="Arial" w:cs="Arial" w:eastAsia="Arial" w:hAnsi="Arial"/>
          <w:sz w:val="18"/>
          <w:szCs w:val="18"/>
          <w:color w:val="auto"/>
        </w:rPr>
        <w:t>. Initially, Deutsche Bank Trust Company Americas will act as Paying Agent, Registrar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Agent. The Company may change any Paying Agent, Transfer Agent or Registrar without notice to any Holder. The Company or any of its Subsidiaries may act as Paying Agent and Registrar.</w:t>
      </w:r>
    </w:p>
    <w:p>
      <w:pPr>
        <w:spacing w:after="0" w:line="75" w:lineRule="exact"/>
        <w:rPr>
          <w:rFonts w:ascii="Arial" w:cs="Arial" w:eastAsia="Arial" w:hAnsi="Arial"/>
          <w:sz w:val="18"/>
          <w:szCs w:val="18"/>
          <w:color w:val="auto"/>
        </w:rPr>
      </w:pPr>
    </w:p>
    <w:p>
      <w:pPr>
        <w:ind w:right="20" w:firstLine="408"/>
        <w:spacing w:after="0" w:line="255" w:lineRule="auto"/>
        <w:tabs>
          <w:tab w:leader="none" w:pos="790"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NDENTURE</w:t>
      </w:r>
      <w:r>
        <w:rPr>
          <w:rFonts w:ascii="Arial" w:cs="Arial" w:eastAsia="Arial" w:hAnsi="Arial"/>
          <w:sz w:val="18"/>
          <w:szCs w:val="18"/>
          <w:color w:val="auto"/>
        </w:rPr>
        <w:t>. The Company issued the Notes under an Indenture dated as of July 15, 2020 (the “</w:t>
      </w:r>
      <w:r>
        <w:rPr>
          <w:rFonts w:ascii="Arial" w:cs="Arial" w:eastAsia="Arial" w:hAnsi="Arial"/>
          <w:sz w:val="18"/>
          <w:szCs w:val="18"/>
          <w:i w:val="1"/>
          <w:iCs w:val="1"/>
          <w:color w:val="auto"/>
        </w:rPr>
        <w:t>Indenture</w:t>
      </w:r>
      <w:r>
        <w:rPr>
          <w:rFonts w:ascii="Arial" w:cs="Arial" w:eastAsia="Arial" w:hAnsi="Arial"/>
          <w:sz w:val="18"/>
          <w:szCs w:val="18"/>
          <w:color w:val="auto"/>
        </w:rPr>
        <w:t>”) among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each Subsidiary Guarantor, the Trustee, the Paying Agent, the Registrar and other persons from time to time party thereto.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Indenture does not limit the aggregate principal amount of Notes that may be issued thereunder.</w:t>
      </w:r>
    </w:p>
    <w:p>
      <w:pPr>
        <w:spacing w:after="0" w:line="1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040"/>
          </w:cols>
          <w:pgMar w:left="1420" w:top="274" w:right="439" w:bottom="1440" w:gutter="0" w:footer="0" w:header="0"/>
        </w:sectPr>
      </w:pPr>
    </w:p>
    <w:bookmarkStart w:id="320" w:name="page321"/>
    <w:bookmarkEnd w:id="320"/>
    <w:p>
      <w:pPr>
        <w:ind w:left="780" w:hanging="392"/>
        <w:spacing w:after="0"/>
        <w:tabs>
          <w:tab w:leader="none" w:pos="780" w:val="left"/>
        </w:tabs>
        <w:numPr>
          <w:ilvl w:val="0"/>
          <w:numId w:val="3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t>
      </w:r>
      <w:r>
        <w:rPr>
          <w:rFonts w:ascii="Arial" w:cs="Arial" w:eastAsia="Arial" w:hAnsi="Arial"/>
          <w:sz w:val="14"/>
          <w:szCs w:val="14"/>
          <w:i w:val="1"/>
          <w:iCs w:val="1"/>
          <w:color w:val="auto"/>
        </w:rPr>
        <w:t>PTIONAL</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EDEMPTION</w:t>
      </w:r>
      <w:r>
        <w:rPr>
          <w:rFonts w:ascii="Arial" w:cs="Arial" w:eastAsia="Arial" w:hAnsi="Arial"/>
          <w:sz w:val="18"/>
          <w:szCs w:val="18"/>
          <w:i w:val="1"/>
          <w:iCs w:val="1"/>
          <w:color w:val="auto"/>
        </w:rPr>
        <w:t>.</w:t>
      </w:r>
    </w:p>
    <w:p>
      <w:pPr>
        <w:spacing w:after="0" w:line="117" w:lineRule="exact"/>
        <w:rPr>
          <w:sz w:val="20"/>
          <w:szCs w:val="20"/>
          <w:color w:val="auto"/>
        </w:rPr>
      </w:pPr>
    </w:p>
    <w:p>
      <w:pPr>
        <w:ind w:left="-20" w:right="80" w:firstLine="408"/>
        <w:spacing w:after="0" w:line="259" w:lineRule="auto"/>
        <w:tabs>
          <w:tab w:leader="none" w:pos="7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On or after July 15, 2022, the Company may redeem all or a part of the Notes upon not less than 30 nor more than 60 days’ notice, at the redemption prices (expressed as percentages of principal amount) set forth below plus accrued and unpaid interest, if any, on the Notes redeemed, to the applicable redemption date, if redeemed during the periods indicated below, subject to the rights of Holders on the relevant record date to receive interest on the relevant interest payment date:</w:t>
      </w:r>
    </w:p>
    <w:p>
      <w:pPr>
        <w:spacing w:after="0" w:line="193"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6100" w:type="dxa"/>
            <w:vAlign w:val="bottom"/>
            <w:vMerge w:val="restart"/>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6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Twelve-month period on or after July 15, 2022</w:t>
            </w: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gridSpan w:val="2"/>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Twelve-month period on or after July 15, 2023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101.500%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July 15, 2024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20" w:firstLine="408"/>
        <w:spacing w:after="0" w:line="272" w:lineRule="auto"/>
        <w:tabs>
          <w:tab w:leader="none" w:pos="771"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subparagraph (a) of this Paragraph (5), at any time prior to July 15, 2022, the Company may on any one or more occasions redeem up to 35% of the aggregate principal amount of Notes at a redemption price equal to 106.000% of the principal amount thereof, plus accrued and unpaid interest and Additional Amounts,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at least 65% in aggregate principal amount of the Notes originally issued under the Indenture (excluding Notes held by the Company and its Subsidiaries) remains outstanding immediately after the occurrence of such redemption and that such redemption occurs within 45 days of the date of the closing of such Equity Offering.</w:t>
      </w:r>
    </w:p>
    <w:p>
      <w:pPr>
        <w:spacing w:after="0" w:line="69" w:lineRule="exact"/>
        <w:rPr>
          <w:rFonts w:ascii="Arial" w:cs="Arial" w:eastAsia="Arial" w:hAnsi="Arial"/>
          <w:sz w:val="17"/>
          <w:szCs w:val="17"/>
          <w:color w:val="auto"/>
        </w:rPr>
      </w:pPr>
    </w:p>
    <w:p>
      <w:pPr>
        <w:ind w:left="-20" w:firstLine="408"/>
        <w:spacing w:after="0" w:line="301" w:lineRule="auto"/>
        <w:tabs>
          <w:tab w:leader="none" w:pos="75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At any time prior to July 15, 2022, the Company may also redeem all or a part of the Notes, upon not less than 30 nor more than 60 days’ prior notice mailed by first-class mail to each Holder’s registered address, at a redemption price equal to 100% of the principal amount of the Notes redeemed plus the Applicable Premium as of, and accrued and unpaid interest and Additional Amounts, if any, to the date of redemption, subject to the rights of Holders on the relevant record date to receive interest due on the relevant interest payment date.</w:t>
      </w:r>
    </w:p>
    <w:p>
      <w:pPr>
        <w:spacing w:after="0" w:line="49" w:lineRule="exact"/>
        <w:rPr>
          <w:rFonts w:ascii="Arial" w:cs="Arial" w:eastAsia="Arial" w:hAnsi="Arial"/>
          <w:sz w:val="16"/>
          <w:szCs w:val="16"/>
          <w:color w:val="auto"/>
        </w:rPr>
      </w:pPr>
    </w:p>
    <w:p>
      <w:pPr>
        <w:ind w:left="-20" w:firstLine="408"/>
        <w:spacing w:after="0" w:line="290" w:lineRule="auto"/>
        <w:tabs>
          <w:tab w:leader="none" w:pos="761"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Any redemption pursuant to subparagraphs (a), (b) and (c) of this Paragraph (5) 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with respect to such redemption may be performed by another Person.</w:t>
      </w:r>
    </w:p>
    <w:p>
      <w:pPr>
        <w:spacing w:after="0" w:line="57" w:lineRule="exact"/>
        <w:rPr>
          <w:rFonts w:ascii="Arial" w:cs="Arial" w:eastAsia="Arial" w:hAnsi="Arial"/>
          <w:sz w:val="16"/>
          <w:szCs w:val="16"/>
          <w:color w:val="auto"/>
        </w:rPr>
      </w:pPr>
    </w:p>
    <w:p>
      <w:pPr>
        <w:ind w:left="-20" w:right="420" w:firstLine="408"/>
        <w:spacing w:after="0" w:line="277" w:lineRule="auto"/>
        <w:tabs>
          <w:tab w:leader="none" w:pos="7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000"/>
          </w:cols>
          <w:pgMar w:left="1440" w:top="274" w:right="459" w:bottom="1440" w:gutter="0" w:footer="0" w:header="0"/>
        </w:sectPr>
      </w:pPr>
    </w:p>
    <w:bookmarkStart w:id="321" w:name="page322"/>
    <w:bookmarkEnd w:id="321"/>
    <w:p>
      <w:pPr>
        <w:ind w:left="400"/>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w:t>
      </w:r>
      <w:r>
        <w:rPr>
          <w:sz w:val="20"/>
          <w:szCs w:val="20"/>
          <w:color w:val="auto"/>
        </w:rPr>
        <w:tab/>
      </w:r>
      <w:r>
        <w:rPr>
          <w:rFonts w:ascii="Arial" w:cs="Arial" w:eastAsia="Arial" w:hAnsi="Arial"/>
          <w:sz w:val="16"/>
          <w:szCs w:val="16"/>
          <w:color w:val="auto"/>
        </w:rPr>
        <w:t>The Notes may also be redeemed in the circumstances described in Sections 3.10 and 3.11 of the Indenture.</w:t>
      </w:r>
    </w:p>
    <w:p>
      <w:pPr>
        <w:spacing w:after="0" w:line="117" w:lineRule="exact"/>
        <w:rPr>
          <w:sz w:val="20"/>
          <w:szCs w:val="20"/>
          <w:color w:val="auto"/>
        </w:rPr>
      </w:pPr>
    </w:p>
    <w:p>
      <w:pPr>
        <w:ind w:right="20" w:firstLine="408"/>
        <w:spacing w:after="0" w:line="277" w:lineRule="auto"/>
        <w:tabs>
          <w:tab w:leader="none" w:pos="79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M</w:t>
      </w:r>
      <w:r>
        <w:rPr>
          <w:rFonts w:ascii="Arial" w:cs="Arial" w:eastAsia="Arial" w:hAnsi="Arial"/>
          <w:sz w:val="14"/>
          <w:szCs w:val="14"/>
          <w:i w:val="1"/>
          <w:iCs w:val="1"/>
          <w:color w:val="auto"/>
        </w:rPr>
        <w:t>ANDATORY</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not required to make mandatory redemption or sinking fund payments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Notes.</w:t>
      </w:r>
    </w:p>
    <w:p>
      <w:pPr>
        <w:spacing w:after="0" w:line="62" w:lineRule="exact"/>
        <w:rPr>
          <w:rFonts w:ascii="Arial" w:cs="Arial" w:eastAsia="Arial" w:hAnsi="Arial"/>
          <w:sz w:val="18"/>
          <w:szCs w:val="18"/>
          <w:color w:val="auto"/>
        </w:rPr>
      </w:pPr>
    </w:p>
    <w:p>
      <w:pPr>
        <w:ind w:right="140" w:firstLine="408"/>
        <w:spacing w:after="0" w:line="277" w:lineRule="auto"/>
        <w:tabs>
          <w:tab w:leader="none" w:pos="79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EPURCHASE AT THE</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4"/>
          <w:szCs w:val="14"/>
          <w:i w:val="1"/>
          <w:iCs w:val="1"/>
          <w:color w:val="auto"/>
        </w:rPr>
        <w:t>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may be subject to a Change of Control Offer, a Special Put Option or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Sale Offer, as further described in Sections 3.09, 4.10, 4.15 and 4.21 of the Indenture.</w:t>
      </w:r>
    </w:p>
    <w:p>
      <w:pPr>
        <w:spacing w:after="0" w:line="62" w:lineRule="exact"/>
        <w:rPr>
          <w:rFonts w:ascii="Arial" w:cs="Arial" w:eastAsia="Arial" w:hAnsi="Arial"/>
          <w:sz w:val="18"/>
          <w:szCs w:val="18"/>
          <w:color w:val="auto"/>
        </w:rPr>
      </w:pPr>
    </w:p>
    <w:p>
      <w:pPr>
        <w:ind w:right="20" w:firstLine="408"/>
        <w:spacing w:after="0" w:line="296" w:lineRule="auto"/>
        <w:tabs>
          <w:tab w:leader="none" w:pos="790" w:val="left"/>
        </w:tabs>
        <w:numPr>
          <w:ilvl w:val="0"/>
          <w:numId w:val="337"/>
        </w:numPr>
        <w:rPr>
          <w:rFonts w:ascii="Arial" w:cs="Arial" w:eastAsia="Arial" w:hAnsi="Arial"/>
          <w:sz w:val="16"/>
          <w:szCs w:val="16"/>
          <w:color w:val="auto"/>
        </w:rPr>
      </w:pPr>
      <w:r>
        <w:rPr>
          <w:rFonts w:ascii="Arial" w:cs="Arial" w:eastAsia="Arial" w:hAnsi="Arial"/>
          <w:sz w:val="16"/>
          <w:szCs w:val="16"/>
          <w:i w:val="1"/>
          <w:iCs w:val="1"/>
          <w:color w:val="auto"/>
        </w:rPr>
        <w:t>N</w:t>
      </w:r>
      <w:r>
        <w:rPr>
          <w:rFonts w:ascii="Arial" w:cs="Arial" w:eastAsia="Arial" w:hAnsi="Arial"/>
          <w:sz w:val="12"/>
          <w:szCs w:val="12"/>
          <w:i w:val="1"/>
          <w:iCs w:val="1"/>
          <w:color w:val="auto"/>
        </w:rPr>
        <w:t>OTICE OF</w:t>
      </w:r>
      <w:r>
        <w:rPr>
          <w:rFonts w:ascii="Arial" w:cs="Arial" w:eastAsia="Arial" w:hAnsi="Arial"/>
          <w:sz w:val="16"/>
          <w:szCs w:val="16"/>
          <w:i w:val="1"/>
          <w:iCs w:val="1"/>
          <w:color w:val="auto"/>
        </w:rPr>
        <w:t xml:space="preserve"> R</w:t>
      </w:r>
      <w:r>
        <w:rPr>
          <w:rFonts w:ascii="Arial" w:cs="Arial" w:eastAsia="Arial" w:hAnsi="Arial"/>
          <w:sz w:val="12"/>
          <w:szCs w:val="12"/>
          <w:i w:val="1"/>
          <w:iCs w:val="1"/>
          <w:color w:val="auto"/>
        </w:rPr>
        <w:t>EDEMPTION</w:t>
      </w:r>
      <w:r>
        <w:rPr>
          <w:rFonts w:ascii="Arial" w:cs="Arial" w:eastAsia="Arial" w:hAnsi="Arial"/>
          <w:sz w:val="16"/>
          <w:szCs w:val="16"/>
          <w:color w:val="auto"/>
        </w:rPr>
        <w:t>. Notice of redemption will be mailed at least 30 days but not more than 60 days before the redemption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date to 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US$200,000 may be redeemed in part but only in integral multiples of US$1,000 provided that the unredeemed part has a minimum denomination of US$200,000, unless all of the Notes held by a Holder are to be redeemed.</w:t>
      </w:r>
    </w:p>
    <w:p>
      <w:pPr>
        <w:spacing w:after="0" w:line="53" w:lineRule="exact"/>
        <w:rPr>
          <w:rFonts w:ascii="Arial" w:cs="Arial" w:eastAsia="Arial" w:hAnsi="Arial"/>
          <w:sz w:val="16"/>
          <w:szCs w:val="16"/>
          <w:color w:val="auto"/>
        </w:rPr>
      </w:pPr>
    </w:p>
    <w:p>
      <w:pPr>
        <w:ind w:firstLine="408"/>
        <w:spacing w:after="0" w:line="254" w:lineRule="auto"/>
        <w:tabs>
          <w:tab w:leader="none" w:pos="79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ENOMINATIONS</w:t>
      </w:r>
      <w:r>
        <w:rPr>
          <w:rFonts w:ascii="Arial" w:cs="Arial" w:eastAsia="Arial" w:hAnsi="Arial"/>
          <w:sz w:val="18"/>
          <w:szCs w:val="18"/>
          <w:i w:val="1"/>
          <w:iCs w:val="1"/>
          <w:color w:val="auto"/>
        </w:rPr>
        <w:t>, T</w:t>
      </w:r>
      <w:r>
        <w:rPr>
          <w:rFonts w:ascii="Arial" w:cs="Arial" w:eastAsia="Arial" w:hAnsi="Arial"/>
          <w:sz w:val="14"/>
          <w:szCs w:val="14"/>
          <w:i w:val="1"/>
          <w:iCs w:val="1"/>
          <w:color w:val="auto"/>
        </w:rPr>
        <w:t>RANSFER</w:t>
      </w:r>
      <w:r>
        <w:rPr>
          <w:rFonts w:ascii="Arial" w:cs="Arial" w:eastAsia="Arial" w:hAnsi="Arial"/>
          <w:sz w:val="18"/>
          <w:szCs w:val="18"/>
          <w:i w:val="1"/>
          <w:iCs w:val="1"/>
          <w:color w:val="auto"/>
        </w:rPr>
        <w:t>, E</w:t>
      </w:r>
      <w:r>
        <w:rPr>
          <w:rFonts w:ascii="Arial" w:cs="Arial" w:eastAsia="Arial" w:hAnsi="Arial"/>
          <w:sz w:val="14"/>
          <w:szCs w:val="14"/>
          <w:i w:val="1"/>
          <w:iCs w:val="1"/>
          <w:color w:val="auto"/>
        </w:rPr>
        <w:t>XCHANGE</w:t>
      </w:r>
      <w:r>
        <w:rPr>
          <w:rFonts w:ascii="Arial" w:cs="Arial" w:eastAsia="Arial" w:hAnsi="Arial"/>
          <w:sz w:val="18"/>
          <w:szCs w:val="18"/>
          <w:color w:val="auto"/>
        </w:rPr>
        <w:t>. The Notes are in registered form without coupons in denominations of US$200,000</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integral multiples of US$1,000 in excess thereof. The transfer of Notes may be registered and Notes may be exchanged as provided in the Indenture. The Registrar, the Transfer Agent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83" w:lineRule="exact"/>
        <w:rPr>
          <w:rFonts w:ascii="Arial" w:cs="Arial" w:eastAsia="Arial" w:hAnsi="Arial"/>
          <w:sz w:val="18"/>
          <w:szCs w:val="18"/>
          <w:color w:val="auto"/>
        </w:rPr>
      </w:pPr>
    </w:p>
    <w:p>
      <w:pPr>
        <w:ind w:left="880" w:hanging="472"/>
        <w:spacing w:after="0"/>
        <w:tabs>
          <w:tab w:leader="none" w:pos="88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4"/>
          <w:szCs w:val="14"/>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WNERS</w:t>
      </w:r>
      <w:r>
        <w:rPr>
          <w:rFonts w:ascii="Arial" w:cs="Arial" w:eastAsia="Arial" w:hAnsi="Arial"/>
          <w:sz w:val="18"/>
          <w:szCs w:val="18"/>
          <w:color w:val="auto"/>
        </w:rPr>
        <w:t>. The registered Holder may be treated as its owner for all purposes.</w:t>
      </w:r>
    </w:p>
    <w:p>
      <w:pPr>
        <w:spacing w:after="0" w:line="117" w:lineRule="exact"/>
        <w:rPr>
          <w:rFonts w:ascii="Arial" w:cs="Arial" w:eastAsia="Arial" w:hAnsi="Arial"/>
          <w:sz w:val="18"/>
          <w:szCs w:val="18"/>
          <w:color w:val="auto"/>
        </w:rPr>
      </w:pPr>
    </w:p>
    <w:p>
      <w:pPr>
        <w:ind w:left="880" w:hanging="472"/>
        <w:spacing w:after="0"/>
        <w:tabs>
          <w:tab w:leader="none" w:pos="880" w:val="left"/>
        </w:tabs>
        <w:numPr>
          <w:ilvl w:val="0"/>
          <w:numId w:val="337"/>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2"/>
          <w:szCs w:val="12"/>
          <w:i w:val="1"/>
          <w:iCs w:val="1"/>
          <w:color w:val="auto"/>
        </w:rPr>
        <w:t>MENDMENT</w:t>
      </w:r>
      <w:r>
        <w:rPr>
          <w:rFonts w:ascii="Arial" w:cs="Arial" w:eastAsia="Arial" w:hAnsi="Arial"/>
          <w:sz w:val="16"/>
          <w:szCs w:val="16"/>
          <w:i w:val="1"/>
          <w:iCs w:val="1"/>
          <w:color w:val="auto"/>
        </w:rPr>
        <w:t>, S</w:t>
      </w:r>
      <w:r>
        <w:rPr>
          <w:rFonts w:ascii="Arial" w:cs="Arial" w:eastAsia="Arial" w:hAnsi="Arial"/>
          <w:sz w:val="12"/>
          <w:szCs w:val="12"/>
          <w:i w:val="1"/>
          <w:iCs w:val="1"/>
          <w:color w:val="auto"/>
        </w:rPr>
        <w:t>UPPLEMENT AND</w:t>
      </w:r>
      <w:r>
        <w:rPr>
          <w:rFonts w:ascii="Arial" w:cs="Arial" w:eastAsia="Arial" w:hAnsi="Arial"/>
          <w:sz w:val="16"/>
          <w:szCs w:val="16"/>
          <w:i w:val="1"/>
          <w:iCs w:val="1"/>
          <w:color w:val="auto"/>
        </w:rPr>
        <w:t xml:space="preserve"> W</w:t>
      </w:r>
      <w:r>
        <w:rPr>
          <w:rFonts w:ascii="Arial" w:cs="Arial" w:eastAsia="Arial" w:hAnsi="Arial"/>
          <w:sz w:val="12"/>
          <w:szCs w:val="12"/>
          <w:i w:val="1"/>
          <w:iCs w:val="1"/>
          <w:color w:val="auto"/>
        </w:rPr>
        <w:t>AIVER</w:t>
      </w:r>
      <w:r>
        <w:rPr>
          <w:rFonts w:ascii="Arial" w:cs="Arial" w:eastAsia="Arial" w:hAnsi="Arial"/>
          <w:sz w:val="16"/>
          <w:szCs w:val="16"/>
          <w:color w:val="auto"/>
        </w:rPr>
        <w:t>. The Indenture, the Notes or the Note Guarantees may be amended as set forth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102" w:lineRule="exact"/>
        <w:rPr>
          <w:rFonts w:ascii="Arial" w:cs="Arial" w:eastAsia="Arial" w:hAnsi="Arial"/>
          <w:sz w:val="16"/>
          <w:szCs w:val="16"/>
          <w:color w:val="auto"/>
        </w:rPr>
      </w:pPr>
    </w:p>
    <w:p>
      <w:pPr>
        <w:ind w:right="540" w:firstLine="408"/>
        <w:spacing w:after="0" w:line="277" w:lineRule="auto"/>
        <w:tabs>
          <w:tab w:leader="none" w:pos="88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EFAULTS AND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EMEDIES</w:t>
      </w:r>
      <w:r>
        <w:rPr>
          <w:rFonts w:ascii="Arial" w:cs="Arial" w:eastAsia="Arial" w:hAnsi="Arial"/>
          <w:sz w:val="18"/>
          <w:szCs w:val="18"/>
          <w:color w:val="auto"/>
        </w:rPr>
        <w:t>. The events listed in Section 6.01 of the Indenture shall constitute “</w:t>
      </w:r>
      <w:r>
        <w:rPr>
          <w:rFonts w:ascii="Arial" w:cs="Arial" w:eastAsia="Arial" w:hAnsi="Arial"/>
          <w:sz w:val="18"/>
          <w:szCs w:val="18"/>
          <w:i w:val="1"/>
          <w:iCs w:val="1"/>
          <w:color w:val="auto"/>
        </w:rPr>
        <w:t>Events of Default</w:t>
      </w:r>
      <w:r>
        <w:rPr>
          <w:rFonts w:ascii="Arial" w:cs="Arial" w:eastAsia="Arial" w:hAnsi="Arial"/>
          <w:sz w:val="18"/>
          <w:szCs w:val="18"/>
          <w:color w:val="auto"/>
        </w:rPr>
        <w: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of this Note.</w:t>
      </w:r>
    </w:p>
    <w:p>
      <w:pPr>
        <w:spacing w:after="0" w:line="62" w:lineRule="exact"/>
        <w:rPr>
          <w:rFonts w:ascii="Arial" w:cs="Arial" w:eastAsia="Arial" w:hAnsi="Arial"/>
          <w:sz w:val="18"/>
          <w:szCs w:val="18"/>
          <w:color w:val="auto"/>
        </w:rPr>
      </w:pPr>
    </w:p>
    <w:p>
      <w:pPr>
        <w:jc w:val="both"/>
        <w:ind w:right="180" w:firstLine="408"/>
        <w:spacing w:after="0" w:line="263" w:lineRule="auto"/>
        <w:tabs>
          <w:tab w:leader="none" w:pos="88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T</w:t>
      </w:r>
      <w:r>
        <w:rPr>
          <w:rFonts w:ascii="Arial" w:cs="Arial" w:eastAsia="Arial" w:hAnsi="Arial"/>
          <w:sz w:val="14"/>
          <w:szCs w:val="14"/>
          <w:i w:val="1"/>
          <w:iCs w:val="1"/>
          <w:color w:val="auto"/>
        </w:rPr>
        <w:t>RUSTEE</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EALINGS</w:t>
      </w:r>
      <w:r>
        <w:rPr>
          <w:rFonts w:ascii="Arial" w:cs="Arial" w:eastAsia="Arial" w:hAnsi="Arial"/>
          <w:sz w:val="18"/>
          <w:szCs w:val="18"/>
          <w:i w:val="1"/>
          <w:iCs w:val="1"/>
          <w:color w:val="auto"/>
        </w:rPr>
        <w:t xml:space="preserve"> W</w:t>
      </w:r>
      <w:r>
        <w:rPr>
          <w:rFonts w:ascii="Arial" w:cs="Arial" w:eastAsia="Arial" w:hAnsi="Arial"/>
          <w:sz w:val="14"/>
          <w:szCs w:val="14"/>
          <w:i w:val="1"/>
          <w:iCs w:val="1"/>
          <w:color w:val="auto"/>
        </w:rPr>
        <w:t>ITH</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OMPANY</w:t>
      </w:r>
      <w:r>
        <w:rPr>
          <w:rFonts w:ascii="Arial" w:cs="Arial" w:eastAsia="Arial" w:hAnsi="Arial"/>
          <w:sz w:val="18"/>
          <w:szCs w:val="18"/>
          <w:color w:val="auto"/>
        </w:rPr>
        <w:t>. The Trustee, in its individual or any other capacity, may make loans to, accept deposits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perform services for the Company or its Affiliates, and may otherwise deal with the Company or its Affiliates, as if it were not the Trustee.</w:t>
      </w:r>
    </w:p>
    <w:p>
      <w:pPr>
        <w:spacing w:after="0" w:line="75" w:lineRule="exact"/>
        <w:rPr>
          <w:rFonts w:ascii="Arial" w:cs="Arial" w:eastAsia="Arial" w:hAnsi="Arial"/>
          <w:sz w:val="18"/>
          <w:szCs w:val="18"/>
          <w:color w:val="auto"/>
        </w:rPr>
      </w:pPr>
    </w:p>
    <w:p>
      <w:pPr>
        <w:ind w:firstLine="408"/>
        <w:spacing w:after="0" w:line="259" w:lineRule="auto"/>
        <w:tabs>
          <w:tab w:leader="none" w:pos="88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THERS</w:t>
      </w:r>
      <w:r>
        <w:rPr>
          <w:rFonts w:ascii="Arial" w:cs="Arial" w:eastAsia="Arial" w:hAnsi="Arial"/>
          <w:sz w:val="18"/>
          <w:szCs w:val="18"/>
          <w:color w:val="auto"/>
        </w:rPr>
        <w:t>. A director, officer, employee, incorporator or stockholder of the Company, as such,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78" w:lineRule="exact"/>
        <w:rPr>
          <w:rFonts w:ascii="Arial" w:cs="Arial" w:eastAsia="Arial" w:hAnsi="Arial"/>
          <w:sz w:val="18"/>
          <w:szCs w:val="18"/>
          <w:color w:val="auto"/>
        </w:rPr>
      </w:pPr>
    </w:p>
    <w:p>
      <w:pPr>
        <w:ind w:right="300" w:firstLine="408"/>
        <w:spacing w:after="0" w:line="277" w:lineRule="auto"/>
        <w:tabs>
          <w:tab w:leader="none" w:pos="88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UTHENTICATION</w:t>
      </w:r>
      <w:r>
        <w:rPr>
          <w:rFonts w:ascii="Arial" w:cs="Arial" w:eastAsia="Arial" w:hAnsi="Arial"/>
          <w:sz w:val="18"/>
          <w:szCs w:val="18"/>
          <w:color w:val="auto"/>
        </w:rPr>
        <w:t>. This Note will not be valid until authenticated by the manual or electronic signature of the Trustee or an</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authenticating agent.</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020"/>
          </w:cols>
          <w:pgMar w:left="1420" w:top="274" w:right="459" w:bottom="1440" w:gutter="0" w:footer="0" w:header="0"/>
        </w:sectPr>
      </w:pPr>
    </w:p>
    <w:bookmarkStart w:id="322" w:name="page323"/>
    <w:bookmarkEnd w:id="322"/>
    <w:p>
      <w:pPr>
        <w:ind w:left="980" w:right="40" w:firstLine="408"/>
        <w:spacing w:after="0" w:line="263" w:lineRule="auto"/>
        <w:tabs>
          <w:tab w:leader="none" w:pos="1860"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Arial" w:cs="Arial" w:eastAsia="Arial" w:hAnsi="Arial"/>
          <w:sz w:val="14"/>
          <w:szCs w:val="14"/>
          <w:i w:val="1"/>
          <w:iCs w:val="1"/>
          <w:color w:val="auto"/>
        </w:rPr>
        <w:t>BBREVIATIONS</w:t>
      </w:r>
      <w:r>
        <w:rPr>
          <w:rFonts w:ascii="Arial" w:cs="Arial" w:eastAsia="Arial" w:hAnsi="Arial"/>
          <w:sz w:val="18"/>
          <w:szCs w:val="18"/>
          <w:color w:val="auto"/>
        </w:rPr>
        <w:t>. Customary abbreviations may be used in the name of a Holder or an assignee, such as: TEN COM (= tenants</w:t>
      </w:r>
      <w:r>
        <w:rPr>
          <w:rFonts w:ascii="Arial" w:cs="Arial" w:eastAsia="Arial" w:hAnsi="Arial"/>
          <w:sz w:val="18"/>
          <w:szCs w:val="18"/>
          <w:i w:val="1"/>
          <w:iCs w:val="1"/>
          <w:color w:val="auto"/>
        </w:rPr>
        <w:t xml:space="preserve"> </w:t>
      </w:r>
      <w:r>
        <w:rPr>
          <w:rFonts w:ascii="Arial" w:cs="Arial" w:eastAsia="Arial" w:hAnsi="Arial"/>
          <w:sz w:val="18"/>
          <w:szCs w:val="18"/>
          <w:color w:val="auto"/>
        </w:rPr>
        <w:t>in common), TEN ENT (= tenants by the entireties), JT TEN (= joint tenants with right of survivorship and not as tenants in common), CUST (= Custodian), and U/G/M/A (= Uniform Gifts to Minors Act).</w:t>
      </w:r>
    </w:p>
    <w:p>
      <w:pPr>
        <w:spacing w:after="0" w:line="75" w:lineRule="exact"/>
        <w:rPr>
          <w:rFonts w:ascii="Arial" w:cs="Arial" w:eastAsia="Arial" w:hAnsi="Arial"/>
          <w:sz w:val="18"/>
          <w:szCs w:val="18"/>
          <w:color w:val="auto"/>
        </w:rPr>
      </w:pPr>
    </w:p>
    <w:p>
      <w:pPr>
        <w:ind w:left="980" w:firstLine="408"/>
        <w:spacing w:after="0" w:line="301" w:lineRule="auto"/>
        <w:tabs>
          <w:tab w:leader="none" w:pos="1860" w:val="left"/>
        </w:tabs>
        <w:numPr>
          <w:ilvl w:val="0"/>
          <w:numId w:val="338"/>
        </w:numPr>
        <w:rPr>
          <w:rFonts w:ascii="Arial" w:cs="Arial" w:eastAsia="Arial" w:hAnsi="Arial"/>
          <w:sz w:val="16"/>
          <w:szCs w:val="16"/>
          <w:color w:val="auto"/>
        </w:rPr>
      </w:pPr>
      <w:r>
        <w:rPr>
          <w:rFonts w:ascii="Arial" w:cs="Arial" w:eastAsia="Arial" w:hAnsi="Arial"/>
          <w:sz w:val="16"/>
          <w:szCs w:val="16"/>
          <w:i w:val="1"/>
          <w:iCs w:val="1"/>
          <w:color w:val="auto"/>
        </w:rPr>
        <w:t>C</w:t>
      </w:r>
      <w:r>
        <w:rPr>
          <w:rFonts w:ascii="Arial" w:cs="Arial" w:eastAsia="Arial" w:hAnsi="Arial"/>
          <w:sz w:val="12"/>
          <w:szCs w:val="12"/>
          <w:i w:val="1"/>
          <w:iCs w:val="1"/>
          <w:color w:val="auto"/>
        </w:rPr>
        <w:t>USIP</w:t>
      </w:r>
      <w:r>
        <w:rPr>
          <w:rFonts w:ascii="Arial" w:cs="Arial" w:eastAsia="Arial" w:hAnsi="Arial"/>
          <w:sz w:val="16"/>
          <w:szCs w:val="16"/>
          <w:i w:val="1"/>
          <w:iCs w:val="1"/>
          <w:color w:val="auto"/>
        </w:rPr>
        <w:t xml:space="preserve"> N</w:t>
      </w:r>
      <w:r>
        <w:rPr>
          <w:rFonts w:ascii="Arial" w:cs="Arial" w:eastAsia="Arial" w:hAnsi="Arial"/>
          <w:sz w:val="12"/>
          <w:szCs w:val="12"/>
          <w:i w:val="1"/>
          <w:iCs w:val="1"/>
          <w:color w:val="auto"/>
        </w:rPr>
        <w:t>UMBERS</w:t>
      </w:r>
      <w:r>
        <w:rPr>
          <w:rFonts w:ascii="Arial" w:cs="Arial" w:eastAsia="Arial" w:hAnsi="Arial"/>
          <w:sz w:val="16"/>
          <w:szCs w:val="16"/>
          <w:color w:val="auto"/>
        </w:rPr>
        <w:t>. Pursuant to a recommendation promulgated by the Committee on Uniform Security Identification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49" w:lineRule="exact"/>
        <w:rPr>
          <w:rFonts w:ascii="Arial" w:cs="Arial" w:eastAsia="Arial" w:hAnsi="Arial"/>
          <w:sz w:val="16"/>
          <w:szCs w:val="16"/>
          <w:color w:val="auto"/>
        </w:rPr>
      </w:pPr>
    </w:p>
    <w:p>
      <w:pPr>
        <w:ind w:left="980" w:right="120" w:firstLine="408"/>
        <w:spacing w:after="0" w:line="286" w:lineRule="auto"/>
        <w:tabs>
          <w:tab w:leader="none" w:pos="1860" w:val="left"/>
        </w:tabs>
        <w:numPr>
          <w:ilvl w:val="0"/>
          <w:numId w:val="338"/>
        </w:numPr>
        <w:rPr>
          <w:rFonts w:ascii="Arial" w:cs="Arial" w:eastAsia="Arial" w:hAnsi="Arial"/>
          <w:sz w:val="17"/>
          <w:szCs w:val="17"/>
          <w:color w:val="auto"/>
        </w:rPr>
      </w:pPr>
      <w:r>
        <w:rPr>
          <w:rFonts w:ascii="Arial" w:cs="Arial" w:eastAsia="Arial" w:hAnsi="Arial"/>
          <w:sz w:val="17"/>
          <w:szCs w:val="17"/>
          <w:i w:val="1"/>
          <w:iCs w:val="1"/>
          <w:color w:val="auto"/>
        </w:rPr>
        <w:t>G</w:t>
      </w:r>
      <w:r>
        <w:rPr>
          <w:rFonts w:ascii="Arial" w:cs="Arial" w:eastAsia="Arial" w:hAnsi="Arial"/>
          <w:sz w:val="13"/>
          <w:szCs w:val="13"/>
          <w:i w:val="1"/>
          <w:iCs w:val="1"/>
          <w:color w:val="auto"/>
        </w:rPr>
        <w:t>OVERNING</w:t>
      </w:r>
      <w:r>
        <w:rPr>
          <w:rFonts w:ascii="Arial" w:cs="Arial" w:eastAsia="Arial" w:hAnsi="Arial"/>
          <w:sz w:val="17"/>
          <w:szCs w:val="17"/>
          <w:i w:val="1"/>
          <w:iCs w:val="1"/>
          <w:color w:val="auto"/>
        </w:rPr>
        <w:t xml:space="preserve"> L</w:t>
      </w:r>
      <w:r>
        <w:rPr>
          <w:rFonts w:ascii="Arial" w:cs="Arial" w:eastAsia="Arial" w:hAnsi="Arial"/>
          <w:sz w:val="13"/>
          <w:szCs w:val="13"/>
          <w:i w:val="1"/>
          <w:iCs w:val="1"/>
          <w:color w:val="auto"/>
        </w:rPr>
        <w:t>AW</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 OF THE STATE OF NEW YORK WILL GOVERN AND BE USED TO CONSTRUE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AND THIS NOTE WITHOUT GIVING EFFECT TO APPLICABLE PRINCIPLES OF CONFLICTS OF LAW TO THE EXTENT THAT THE APPLICATION OF THE LAWS OF ANOTHER JURISDICTION WOULD BE REQUIRED THEREBY.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Company will furnish to any Holder upon written request and without charge a copy of the Indenture. Requests may be made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Studio City Finance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Jayla Place, 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u w:val="single" w:color="auto"/>
          <w:color w:val="auto"/>
        </w:rPr>
        <w:t>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Studio City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60"/>
          </w:cols>
          <w:pgMar w:left="440" w:top="274" w:right="499" w:bottom="1440" w:gutter="0" w:footer="0" w:header="0"/>
        </w:sectPr>
      </w:pPr>
    </w:p>
    <w:bookmarkStart w:id="323" w:name="page324"/>
    <w:bookmarkEnd w:id="32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Arial" w:cs="Arial" w:eastAsia="Arial" w:hAnsi="Arial"/>
          <w:sz w:val="14"/>
          <w:szCs w:val="14"/>
          <w:color w:val="auto"/>
        </w:rPr>
        <w:t>SSIGNMENT</w:t>
      </w:r>
      <w:r>
        <w:rPr>
          <w:rFonts w:ascii="Arial" w:cs="Arial" w:eastAsia="Arial" w:hAnsi="Arial"/>
          <w:sz w:val="18"/>
          <w:szCs w:val="18"/>
          <w:color w:val="auto"/>
        </w:rPr>
        <w:t xml:space="preserve"> F</w:t>
      </w:r>
      <w:r>
        <w:rPr>
          <w:rFonts w:ascii="Arial" w:cs="Arial" w:eastAsia="Arial" w:hAnsi="Arial"/>
          <w:sz w:val="14"/>
          <w:szCs w:val="14"/>
          <w:color w:val="auto"/>
        </w:rPr>
        <w:t>ORM</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14605</wp:posOffset>
            </wp:positionV>
            <wp:extent cx="47491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6"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306070</wp:posOffset>
            </wp:positionV>
            <wp:extent cx="69951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460375</wp:posOffset>
            </wp:positionV>
            <wp:extent cx="69951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614680</wp:posOffset>
            </wp:positionV>
            <wp:extent cx="6995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(Print or type assignee’s name, address and zip code)</w:t>
      </w:r>
    </w:p>
    <w:p>
      <w:pPr>
        <w:spacing w:after="0" w:line="374"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14605</wp:posOffset>
            </wp:positionV>
            <wp:extent cx="584644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-10160</wp:posOffset>
            </wp:positionV>
            <wp:extent cx="5715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4963160</wp:posOffset>
            </wp:positionH>
            <wp:positionV relativeFrom="paragraph">
              <wp:posOffset>14605</wp:posOffset>
            </wp:positionV>
            <wp:extent cx="203136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7">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16" w:lineRule="exact"/>
        <w:rPr>
          <w:sz w:val="20"/>
          <w:szCs w:val="20"/>
          <w:color w:val="auto"/>
        </w:rPr>
      </w:pPr>
    </w:p>
    <w:p>
      <w:pPr>
        <w:ind w:left="7344"/>
        <w:spacing w:after="0"/>
        <w:rPr>
          <w:sz w:val="20"/>
          <w:szCs w:val="20"/>
          <w:color w:val="auto"/>
        </w:rPr>
      </w:pPr>
      <w:r>
        <w:rPr>
          <w:rFonts w:ascii="Arial" w:cs="Arial" w:eastAsia="Arial" w:hAnsi="Arial"/>
          <w:sz w:val="16"/>
          <w:szCs w:val="16"/>
          <w:color w:val="auto"/>
        </w:rPr>
        <w:t>(Sign exactly as your name appears on the face of</w:t>
      </w:r>
    </w:p>
    <w:p>
      <w:pPr>
        <w:spacing w:after="0" w:line="46" w:lineRule="exact"/>
        <w:rPr>
          <w:sz w:val="20"/>
          <w:szCs w:val="20"/>
          <w:color w:val="auto"/>
        </w:rPr>
      </w:pPr>
    </w:p>
    <w:p>
      <w:pPr>
        <w:ind w:left="7344"/>
        <w:spacing w:after="0"/>
        <w:rPr>
          <w:sz w:val="20"/>
          <w:szCs w:val="20"/>
          <w:color w:val="auto"/>
        </w:rPr>
      </w:pPr>
      <w:r>
        <w:rPr>
          <w:rFonts w:ascii="Arial" w:cs="Arial" w:eastAsia="Arial" w:hAnsi="Arial"/>
          <w:sz w:val="18"/>
          <w:szCs w:val="18"/>
          <w:color w:val="auto"/>
        </w:rPr>
        <w:t>this Note)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-10160</wp:posOffset>
            </wp:positionV>
            <wp:extent cx="162814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8">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32" w:lineRule="exact"/>
        <w:rPr>
          <w:sz w:val="20"/>
          <w:szCs w:val="20"/>
          <w:color w:val="auto"/>
        </w:rPr>
      </w:pPr>
    </w:p>
    <w:p>
      <w:pPr>
        <w:ind w:left="5364" w:right="1780" w:hanging="5364"/>
        <w:spacing w:after="0" w:line="449" w:lineRule="auto"/>
        <w:tabs>
          <w:tab w:leader="none" w:pos="21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ectPr>
          <w:pgSz w:w="11900" w:h="16838" w:orient="portrait"/>
          <w:cols w:equalWidth="0" w:num="1">
            <w:col w:w="10924"/>
          </w:cols>
          <w:pgMar w:left="436" w:top="274" w:right="539" w:bottom="1440" w:gutter="0" w:footer="0" w:header="0"/>
        </w:sectPr>
      </w:pPr>
    </w:p>
    <w:bookmarkStart w:id="324" w:name="page325"/>
    <w:bookmarkEnd w:id="324"/>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t>
      </w:r>
      <w:r>
        <w:rPr>
          <w:rFonts w:ascii="Arial" w:cs="Arial" w:eastAsia="Arial" w:hAnsi="Arial"/>
          <w:sz w:val="14"/>
          <w:szCs w:val="14"/>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4"/>
          <w:szCs w:val="14"/>
          <w:i w:val="1"/>
          <w:iCs w:val="1"/>
          <w:color w:val="auto"/>
        </w:rPr>
        <w:t>OLDER TO</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LECT</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p>
    <w:p>
      <w:pPr>
        <w:spacing w:after="0" w:line="117"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If you want to elect to have this Note purchased by the Company pursuant to Section 4.10, Section 4.15 or Section 4.21 of the Indenture, check the appropriate box below:</w:t>
      </w:r>
    </w:p>
    <w:p>
      <w:pPr>
        <w:spacing w:after="0" w:line="165" w:lineRule="exact"/>
        <w:rPr>
          <w:sz w:val="20"/>
          <w:szCs w:val="20"/>
          <w:color w:val="auto"/>
        </w:rPr>
      </w:pPr>
    </w:p>
    <w:p>
      <w:pPr>
        <w:ind w:left="1224"/>
        <w:spacing w:after="0" w:line="207" w:lineRule="exact"/>
        <w:tabs>
          <w:tab w:leader="none" w:pos="4304" w:val="left"/>
          <w:tab w:leader="none" w:pos="718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4.10</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Section 4.15</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Section 4.21</w:t>
      </w:r>
    </w:p>
    <w:p>
      <w:pPr>
        <w:spacing w:after="0" w:line="25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If you want to elect to have only part of the Note purchased by the Company pursuant to Section 4.10, Section 4.15 or Section 4.21 of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Indenture, state the amount you elect to have purchased:</w:t>
      </w:r>
    </w:p>
    <w:p>
      <w:pPr>
        <w:spacing w:after="0" w:line="211" w:lineRule="exact"/>
        <w:rPr>
          <w:sz w:val="20"/>
          <w:szCs w:val="20"/>
          <w:color w:val="auto"/>
        </w:rPr>
      </w:pPr>
    </w:p>
    <w:p>
      <w:pPr>
        <w:ind w:left="4704"/>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-10160</wp:posOffset>
            </wp:positionV>
            <wp:extent cx="82804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0">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82804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1">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-10160</wp:posOffset>
            </wp:positionV>
            <wp:extent cx="182816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2">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6"/>
          <w:szCs w:val="16"/>
          <w:color w:val="auto"/>
        </w:rPr>
        <w:t>(Sign exactly as your name appears on the face of this</w:t>
      </w:r>
    </w:p>
    <w:p>
      <w:pPr>
        <w:spacing w:after="0" w:line="32"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-10160</wp:posOffset>
            </wp:positionV>
            <wp:extent cx="14566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3">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-10160</wp:posOffset>
            </wp:positionV>
            <wp:extent cx="114236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4">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232" w:lineRule="exact"/>
        <w:rPr>
          <w:sz w:val="20"/>
          <w:szCs w:val="20"/>
          <w:color w:val="auto"/>
        </w:rPr>
      </w:pPr>
    </w:p>
    <w:p>
      <w:pPr>
        <w:ind w:left="5364" w:right="1760" w:hanging="5364"/>
        <w:spacing w:after="0" w:line="449" w:lineRule="auto"/>
        <w:tabs>
          <w:tab w:leader="none" w:pos="21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0904"/>
          </w:cols>
          <w:pgMar w:left="436" w:top="274" w:right="559" w:bottom="1440" w:gutter="0" w:footer="0" w:header="0"/>
        </w:sectPr>
      </w:pPr>
    </w:p>
    <w:bookmarkStart w:id="325" w:name="page326"/>
    <w:bookmarkEnd w:id="325"/>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8"/>
          <w:szCs w:val="18"/>
          <w:color w:val="auto"/>
        </w:rPr>
        <w:t xml:space="preserve"> E</w:t>
      </w:r>
      <w:r>
        <w:rPr>
          <w:rFonts w:ascii="Arial" w:cs="Arial" w:eastAsia="Arial" w:hAnsi="Arial"/>
          <w:sz w:val="14"/>
          <w:szCs w:val="14"/>
          <w:color w:val="auto"/>
        </w:rPr>
        <w:t>XCHANGES OF</w:t>
      </w:r>
      <w:r>
        <w:rPr>
          <w:rFonts w:ascii="Arial" w:cs="Arial" w:eastAsia="Arial" w:hAnsi="Arial"/>
          <w:sz w:val="18"/>
          <w:szCs w:val="18"/>
          <w:color w:val="auto"/>
        </w:rPr>
        <w:t xml:space="preserve"> I</w:t>
      </w:r>
      <w:r>
        <w:rPr>
          <w:rFonts w:ascii="Arial" w:cs="Arial" w:eastAsia="Arial" w:hAnsi="Arial"/>
          <w:sz w:val="14"/>
          <w:szCs w:val="14"/>
          <w:color w:val="auto"/>
        </w:rPr>
        <w:t>NTERESTS IN THE</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N</w:t>
      </w:r>
      <w:r>
        <w:rPr>
          <w:rFonts w:ascii="Arial" w:cs="Arial" w:eastAsia="Arial" w:hAnsi="Arial"/>
          <w:sz w:val="14"/>
          <w:szCs w:val="14"/>
          <w:color w:val="auto"/>
        </w:rPr>
        <w:t>OTE</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40" w:type="dxa"/>
            <w:vAlign w:val="bottom"/>
            <w:gridSpan w:val="2"/>
          </w:tcPr>
          <w:p>
            <w:pPr>
              <w:jc w:val="center"/>
              <w:ind w:right="1100"/>
              <w:spacing w:after="0"/>
              <w:rPr>
                <w:sz w:val="20"/>
                <w:szCs w:val="20"/>
                <w:color w:val="auto"/>
              </w:rPr>
            </w:pPr>
            <w:r>
              <w:rPr>
                <w:rFonts w:ascii="Arial" w:cs="Arial" w:eastAsia="Arial" w:hAnsi="Arial"/>
                <w:sz w:val="14"/>
                <w:szCs w:val="14"/>
                <w:color w:val="auto"/>
              </w:rPr>
              <w:t>Amount of</w:t>
            </w:r>
          </w:p>
        </w:tc>
        <w:tc>
          <w:tcPr>
            <w:tcW w:w="2160" w:type="dxa"/>
            <w:vAlign w:val="bottom"/>
            <w:gridSpan w:val="2"/>
          </w:tcPr>
          <w:p>
            <w:pPr>
              <w:jc w:val="center"/>
              <w:ind w:right="1100"/>
              <w:spacing w:after="0"/>
              <w:rPr>
                <w:sz w:val="20"/>
                <w:szCs w:val="20"/>
                <w:color w:val="auto"/>
              </w:rPr>
            </w:pPr>
            <w:r>
              <w:rPr>
                <w:rFonts w:ascii="Arial" w:cs="Arial" w:eastAsia="Arial" w:hAnsi="Arial"/>
                <w:sz w:val="14"/>
                <w:szCs w:val="14"/>
                <w:color w:val="auto"/>
                <w:w w:val="97"/>
              </w:rPr>
              <w:t>Amount of</w:t>
            </w:r>
          </w:p>
        </w:tc>
        <w:tc>
          <w:tcPr>
            <w:tcW w:w="2140" w:type="dxa"/>
            <w:vAlign w:val="bottom"/>
            <w:gridSpan w:val="2"/>
          </w:tcPr>
          <w:p>
            <w:pPr>
              <w:jc w:val="center"/>
              <w:ind w:right="1120"/>
              <w:spacing w:after="0"/>
              <w:rPr>
                <w:sz w:val="20"/>
                <w:szCs w:val="20"/>
                <w:color w:val="auto"/>
              </w:rPr>
            </w:pPr>
            <w:r>
              <w:rPr>
                <w:rFonts w:ascii="Arial" w:cs="Arial" w:eastAsia="Arial" w:hAnsi="Arial"/>
                <w:sz w:val="14"/>
                <w:szCs w:val="14"/>
                <w:color w:val="auto"/>
                <w:w w:val="96"/>
              </w:rPr>
              <w:t>Principal Amount</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4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88"/>
              </w:rPr>
              <w:t>decrease in</w:t>
            </w:r>
          </w:p>
        </w:tc>
        <w:tc>
          <w:tcPr>
            <w:tcW w:w="216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91"/>
              </w:rPr>
              <w:t>increase in</w:t>
            </w:r>
          </w:p>
        </w:tc>
        <w:tc>
          <w:tcPr>
            <w:tcW w:w="214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95"/>
              </w:rPr>
              <w:t>of this Global</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Signature of</w:t>
            </w:r>
          </w:p>
        </w:tc>
        <w:tc>
          <w:tcPr>
            <w:tcW w:w="0" w:type="dxa"/>
            <w:vAlign w:val="bottom"/>
          </w:tcPr>
          <w:p>
            <w:pPr>
              <w:spacing w:after="0"/>
              <w:rPr>
                <w:sz w:val="1"/>
                <w:szCs w:val="1"/>
                <w:color w:val="auto"/>
              </w:rPr>
            </w:pPr>
          </w:p>
        </w:tc>
      </w:tr>
      <w:tr>
        <w:trPr>
          <w:trHeight w:val="148"/>
        </w:trPr>
        <w:tc>
          <w:tcPr>
            <w:tcW w:w="2620" w:type="dxa"/>
            <w:vAlign w:val="bottom"/>
            <w:gridSpan w:val="2"/>
            <w:vMerge w:val="restart"/>
          </w:tcPr>
          <w:p>
            <w:pPr>
              <w:jc w:val="center"/>
              <w:ind w:right="1060"/>
              <w:spacing w:after="0"/>
              <w:rPr>
                <w:sz w:val="20"/>
                <w:szCs w:val="20"/>
                <w:color w:val="auto"/>
              </w:rPr>
            </w:pPr>
            <w:r>
              <w:rPr>
                <w:rFonts w:ascii="Arial" w:cs="Arial" w:eastAsia="Arial" w:hAnsi="Arial"/>
                <w:sz w:val="14"/>
                <w:szCs w:val="14"/>
                <w:color w:val="auto"/>
                <w:w w:val="97"/>
              </w:rPr>
              <w:t>Date of</w:t>
            </w:r>
          </w:p>
        </w:tc>
        <w:tc>
          <w:tcPr>
            <w:tcW w:w="214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98"/>
              </w:rPr>
              <w:t>Principal Amount</w:t>
            </w:r>
          </w:p>
        </w:tc>
        <w:tc>
          <w:tcPr>
            <w:tcW w:w="216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96"/>
              </w:rPr>
              <w:t>Principal Amount</w:t>
            </w:r>
          </w:p>
        </w:tc>
        <w:tc>
          <w:tcPr>
            <w:tcW w:w="214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rPr>
              <w:t>Note following</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authorized officer</w:t>
            </w:r>
          </w:p>
        </w:tc>
        <w:tc>
          <w:tcPr>
            <w:tcW w:w="0" w:type="dxa"/>
            <w:vAlign w:val="bottom"/>
          </w:tcPr>
          <w:p>
            <w:pPr>
              <w:spacing w:after="0"/>
              <w:rPr>
                <w:sz w:val="1"/>
                <w:szCs w:val="1"/>
                <w:color w:val="auto"/>
              </w:rPr>
            </w:pPr>
          </w:p>
        </w:tc>
      </w:tr>
      <w:tr>
        <w:trPr>
          <w:trHeight w:val="140"/>
        </w:trPr>
        <w:tc>
          <w:tcPr>
            <w:tcW w:w="2620" w:type="dxa"/>
            <w:vAlign w:val="bottom"/>
            <w:gridSpan w:val="2"/>
            <w:vMerge w:val="continue"/>
          </w:tcPr>
          <w:p>
            <w:pPr>
              <w:spacing w:after="0"/>
              <w:rPr>
                <w:sz w:val="12"/>
                <w:szCs w:val="12"/>
                <w:color w:val="auto"/>
              </w:rPr>
            </w:pPr>
          </w:p>
        </w:tc>
        <w:tc>
          <w:tcPr>
            <w:tcW w:w="2140" w:type="dxa"/>
            <w:vAlign w:val="bottom"/>
            <w:gridSpan w:val="2"/>
          </w:tcPr>
          <w:p>
            <w:pPr>
              <w:jc w:val="center"/>
              <w:ind w:right="1100"/>
              <w:spacing w:after="0" w:line="141" w:lineRule="exact"/>
              <w:rPr>
                <w:sz w:val="20"/>
                <w:szCs w:val="20"/>
                <w:color w:val="auto"/>
              </w:rPr>
            </w:pPr>
            <w:r>
              <w:rPr>
                <w:rFonts w:ascii="Arial" w:cs="Arial" w:eastAsia="Arial" w:hAnsi="Arial"/>
                <w:sz w:val="14"/>
                <w:szCs w:val="14"/>
                <w:color w:val="auto"/>
              </w:rPr>
              <w:t>of</w:t>
            </w:r>
          </w:p>
        </w:tc>
        <w:tc>
          <w:tcPr>
            <w:tcW w:w="2160" w:type="dxa"/>
            <w:vAlign w:val="bottom"/>
            <w:gridSpan w:val="2"/>
          </w:tcPr>
          <w:p>
            <w:pPr>
              <w:jc w:val="center"/>
              <w:ind w:right="1120"/>
              <w:spacing w:after="0" w:line="141" w:lineRule="exact"/>
              <w:rPr>
                <w:sz w:val="20"/>
                <w:szCs w:val="20"/>
                <w:color w:val="auto"/>
              </w:rPr>
            </w:pPr>
            <w:r>
              <w:rPr>
                <w:rFonts w:ascii="Arial" w:cs="Arial" w:eastAsia="Arial" w:hAnsi="Arial"/>
                <w:sz w:val="14"/>
                <w:szCs w:val="14"/>
                <w:color w:val="auto"/>
              </w:rPr>
              <w:t>of</w:t>
            </w:r>
          </w:p>
        </w:tc>
        <w:tc>
          <w:tcPr>
            <w:tcW w:w="2140" w:type="dxa"/>
            <w:vAlign w:val="bottom"/>
            <w:gridSpan w:val="2"/>
          </w:tcPr>
          <w:p>
            <w:pPr>
              <w:jc w:val="center"/>
              <w:ind w:right="1100"/>
              <w:spacing w:after="0" w:line="141" w:lineRule="exact"/>
              <w:rPr>
                <w:sz w:val="20"/>
                <w:szCs w:val="20"/>
                <w:color w:val="auto"/>
              </w:rPr>
            </w:pPr>
            <w:r>
              <w:rPr>
                <w:rFonts w:ascii="Arial" w:cs="Arial" w:eastAsia="Arial" w:hAnsi="Arial"/>
                <w:sz w:val="14"/>
                <w:szCs w:val="14"/>
                <w:color w:val="auto"/>
                <w:w w:val="87"/>
              </w:rPr>
              <w:t>such decrease</w:t>
            </w:r>
          </w:p>
        </w:tc>
        <w:tc>
          <w:tcPr>
            <w:tcW w:w="1060" w:type="dxa"/>
            <w:vAlign w:val="bottom"/>
            <w:gridSpan w:val="2"/>
          </w:tcPr>
          <w:p>
            <w:pPr>
              <w:jc w:val="center"/>
              <w:ind w:right="40"/>
              <w:spacing w:after="0" w:line="141" w:lineRule="exact"/>
              <w:rPr>
                <w:sz w:val="20"/>
                <w:szCs w:val="20"/>
                <w:color w:val="auto"/>
              </w:rPr>
            </w:pPr>
            <w:r>
              <w:rPr>
                <w:rFonts w:ascii="Arial" w:cs="Arial" w:eastAsia="Arial" w:hAnsi="Arial"/>
                <w:sz w:val="14"/>
                <w:szCs w:val="14"/>
                <w:color w:val="auto"/>
                <w:w w:val="93"/>
              </w:rPr>
              <w:t>of Trustee or</w:t>
            </w:r>
          </w:p>
        </w:tc>
        <w:tc>
          <w:tcPr>
            <w:tcW w:w="0" w:type="dxa"/>
            <w:vAlign w:val="bottom"/>
          </w:tcPr>
          <w:p>
            <w:pPr>
              <w:spacing w:after="0"/>
              <w:rPr>
                <w:sz w:val="1"/>
                <w:szCs w:val="1"/>
                <w:color w:val="auto"/>
              </w:rPr>
            </w:pPr>
          </w:p>
        </w:tc>
      </w:tr>
      <w:tr>
        <w:trPr>
          <w:trHeight w:val="175"/>
        </w:trPr>
        <w:tc>
          <w:tcPr>
            <w:tcW w:w="2620" w:type="dxa"/>
            <w:vAlign w:val="bottom"/>
            <w:gridSpan w:val="2"/>
          </w:tcPr>
          <w:p>
            <w:pPr>
              <w:jc w:val="center"/>
              <w:ind w:right="1060"/>
              <w:spacing w:after="0"/>
              <w:rPr>
                <w:sz w:val="20"/>
                <w:szCs w:val="20"/>
                <w:color w:val="auto"/>
              </w:rPr>
            </w:pPr>
            <w:r>
              <w:rPr>
                <w:rFonts w:ascii="Arial" w:cs="Arial" w:eastAsia="Arial" w:hAnsi="Arial"/>
                <w:sz w:val="14"/>
                <w:szCs w:val="14"/>
                <w:color w:val="auto"/>
                <w:w w:val="89"/>
              </w:rPr>
              <w:t>Exchange</w:t>
            </w:r>
          </w:p>
        </w:tc>
        <w:tc>
          <w:tcPr>
            <w:tcW w:w="2140" w:type="dxa"/>
            <w:vAlign w:val="bottom"/>
            <w:gridSpan w:val="2"/>
          </w:tcPr>
          <w:p>
            <w:pPr>
              <w:jc w:val="center"/>
              <w:ind w:right="1100"/>
              <w:spacing w:after="0"/>
              <w:rPr>
                <w:sz w:val="20"/>
                <w:szCs w:val="20"/>
                <w:color w:val="auto"/>
              </w:rPr>
            </w:pPr>
            <w:r>
              <w:rPr>
                <w:rFonts w:ascii="Arial" w:cs="Arial" w:eastAsia="Arial" w:hAnsi="Arial"/>
                <w:sz w:val="14"/>
                <w:szCs w:val="14"/>
                <w:color w:val="auto"/>
                <w:w w:val="96"/>
              </w:rPr>
              <w:t>this Global Note</w:t>
            </w:r>
          </w:p>
        </w:tc>
        <w:tc>
          <w:tcPr>
            <w:tcW w:w="2160" w:type="dxa"/>
            <w:vAlign w:val="bottom"/>
            <w:gridSpan w:val="2"/>
          </w:tcPr>
          <w:p>
            <w:pPr>
              <w:jc w:val="center"/>
              <w:ind w:right="1100"/>
              <w:spacing w:after="0"/>
              <w:rPr>
                <w:sz w:val="20"/>
                <w:szCs w:val="20"/>
                <w:color w:val="auto"/>
              </w:rPr>
            </w:pPr>
            <w:r>
              <w:rPr>
                <w:rFonts w:ascii="Arial" w:cs="Arial" w:eastAsia="Arial" w:hAnsi="Arial"/>
                <w:sz w:val="14"/>
                <w:szCs w:val="14"/>
                <w:color w:val="auto"/>
                <w:w w:val="94"/>
              </w:rPr>
              <w:t>this Global Note</w:t>
            </w:r>
          </w:p>
        </w:tc>
        <w:tc>
          <w:tcPr>
            <w:tcW w:w="2140" w:type="dxa"/>
            <w:vAlign w:val="bottom"/>
            <w:gridSpan w:val="2"/>
          </w:tcPr>
          <w:p>
            <w:pPr>
              <w:jc w:val="center"/>
              <w:ind w:right="1100"/>
              <w:spacing w:after="0"/>
              <w:rPr>
                <w:sz w:val="20"/>
                <w:szCs w:val="20"/>
                <w:color w:val="auto"/>
              </w:rPr>
            </w:pPr>
            <w:r>
              <w:rPr>
                <w:rFonts w:ascii="Arial" w:cs="Arial" w:eastAsia="Arial" w:hAnsi="Arial"/>
                <w:sz w:val="14"/>
                <w:szCs w:val="14"/>
                <w:color w:val="auto"/>
                <w:w w:val="91"/>
              </w:rPr>
              <w:t>(or increase)</w:t>
            </w:r>
          </w:p>
        </w:tc>
        <w:tc>
          <w:tcPr>
            <w:tcW w:w="106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Custodian</w:t>
            </w:r>
          </w:p>
        </w:tc>
        <w:tc>
          <w:tcPr>
            <w:tcW w:w="0" w:type="dxa"/>
            <w:vAlign w:val="bottom"/>
          </w:tcPr>
          <w:p>
            <w:pPr>
              <w:spacing w:after="0"/>
              <w:rPr>
                <w:sz w:val="1"/>
                <w:szCs w:val="1"/>
                <w:color w:val="auto"/>
              </w:rPr>
            </w:pPr>
          </w:p>
        </w:tc>
      </w:tr>
      <w:tr>
        <w:trPr>
          <w:trHeight w:val="196"/>
        </w:trPr>
        <w:tc>
          <w:tcPr>
            <w:tcW w:w="15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720"/>
          </w:cols>
          <w:pgMar w:left="440" w:top="274" w:right="7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 address block</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 6.000% Senior Notes due 2025 of Studio City Finance Limited</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Reference is hereby made to the Indenture, dated as of July 15, 2020 (the “</w:t>
      </w:r>
      <w:r>
        <w:rPr>
          <w:rFonts w:ascii="Arial" w:cs="Arial" w:eastAsia="Arial" w:hAnsi="Arial"/>
          <w:sz w:val="18"/>
          <w:szCs w:val="18"/>
          <w:i w:val="1"/>
          <w:iCs w:val="1"/>
          <w:color w:val="auto"/>
        </w:rPr>
        <w:t>Indenture</w:t>
      </w:r>
      <w:r>
        <w:rPr>
          <w:rFonts w:ascii="Arial" w:cs="Arial" w:eastAsia="Arial" w:hAnsi="Arial"/>
          <w:sz w:val="18"/>
          <w:szCs w:val="18"/>
          <w:color w:val="auto"/>
        </w:rPr>
        <w:t>”), among Studio City Finance Limited, as issuer (the “</w:t>
      </w:r>
      <w:r>
        <w:rPr>
          <w:rFonts w:ascii="Arial" w:cs="Arial" w:eastAsia="Arial" w:hAnsi="Arial"/>
          <w:sz w:val="18"/>
          <w:szCs w:val="18"/>
          <w:i w:val="1"/>
          <w:iCs w:val="1"/>
          <w:color w:val="auto"/>
        </w:rPr>
        <w:t>Company</w:t>
      </w:r>
      <w:r>
        <w:rPr>
          <w:rFonts w:ascii="Arial" w:cs="Arial" w:eastAsia="Arial" w:hAnsi="Arial"/>
          <w:sz w:val="18"/>
          <w:szCs w:val="18"/>
          <w:color w:val="auto"/>
        </w:rPr>
        <w:t>”), each Subsidiary Guarantor and Deutsche Bank Trust Company Americas, as trustee. Capitalized terms used but not defined herein shall have the meanings given to them in the Indenture.</w:t>
      </w:r>
    </w:p>
    <w:p>
      <w:pPr>
        <w:spacing w:after="0" w:line="184"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3810</wp:posOffset>
            </wp:positionV>
            <wp:extent cx="5715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6"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principal amount of US$ 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 (the “</w:t>
      </w:r>
      <w:r>
        <w:rPr>
          <w:rFonts w:ascii="Arial" w:cs="Arial" w:eastAsia="Arial" w:hAnsi="Arial"/>
          <w:sz w:val="18"/>
          <w:szCs w:val="18"/>
          <w:i w:val="1"/>
          <w:iCs w:val="1"/>
          <w:color w:val="auto"/>
        </w:rPr>
        <w:t>Transferee</w:t>
      </w:r>
      <w:r>
        <w:rPr>
          <w:rFonts w:ascii="Arial" w:cs="Arial" w:eastAsia="Arial" w:hAnsi="Arial"/>
          <w:sz w:val="18"/>
          <w:szCs w:val="18"/>
          <w:color w:val="auto"/>
        </w:rPr>
        <w:t>”), as further specified in Annex A hereto. In connection with the Transfer, the Transferor 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-172720</wp:posOffset>
            </wp:positionV>
            <wp:extent cx="5715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8">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-172720</wp:posOffset>
            </wp:positionV>
            <wp:extent cx="571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ind w:right="20" w:firstLine="987"/>
        <w:spacing w:after="0" w:line="221" w:lineRule="exact"/>
        <w:tabs>
          <w:tab w:leader="none" w:pos="1351" w:val="left"/>
        </w:tabs>
        <w:numPr>
          <w:ilvl w:val="0"/>
          <w:numId w:val="34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144A Global Note or a Restricted Definitive Note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pursuant to Rule 144A.</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144A under the Securities Act of 1933,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color w:val="auto"/>
        </w:rPr>
        <w:t>Securities Act</w:t>
      </w:r>
      <w:r>
        <w:rPr>
          <w:rFonts w:ascii="Arial" w:cs="Arial" w:eastAsia="Arial" w:hAnsi="Arial"/>
          <w:sz w:val="16"/>
          <w:szCs w:val="16"/>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2" w:lineRule="exact"/>
        <w:rPr>
          <w:rFonts w:ascii="Arial" w:cs="Arial" w:eastAsia="Arial" w:hAnsi="Arial"/>
          <w:sz w:val="16"/>
          <w:szCs w:val="16"/>
          <w:color w:val="auto"/>
        </w:rPr>
      </w:pPr>
    </w:p>
    <w:p>
      <w:pPr>
        <w:ind w:right="40" w:firstLine="987"/>
        <w:spacing w:after="0" w:line="220" w:lineRule="exact"/>
        <w:tabs>
          <w:tab w:leader="none" w:pos="1351" w:val="left"/>
        </w:tabs>
        <w:numPr>
          <w:ilvl w:val="0"/>
          <w:numId w:val="34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Global Note or a Restricted Definitive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Note pursuant to Regulation S</w:t>
      </w:r>
      <w:r>
        <w:rPr>
          <w:rFonts w:ascii="Arial" w:cs="Arial" w:eastAsia="Arial" w:hAnsi="Arial"/>
          <w:sz w:val="16"/>
          <w:szCs w:val="16"/>
          <w:color w:val="auto"/>
        </w:rPr>
        <w:t>. The Transfer is being effected pursuant to and in accordance with Rule 903 or Rule 904 under the Securities Act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327" w:name="page328"/>
    <w:bookmarkEnd w:id="327"/>
    <w:p>
      <w:pPr>
        <w:ind w:right="180" w:firstLine="987"/>
        <w:spacing w:after="0" w:line="228" w:lineRule="exact"/>
        <w:tabs>
          <w:tab w:leader="none" w:pos="1306" w:val="left"/>
        </w:tabs>
        <w:numPr>
          <w:ilvl w:val="0"/>
          <w:numId w:val="342"/>
        </w:numPr>
        <w:rPr>
          <w:rFonts w:ascii="Arial" w:cs="Arial" w:eastAsia="Arial" w:hAnsi="Arial"/>
          <w:sz w:val="16"/>
          <w:szCs w:val="16"/>
          <w:color w:val="auto"/>
        </w:rPr>
      </w:pPr>
      <w:r>
        <w:rPr>
          <w:rFonts w:ascii="MS PGothic" w:cs="MS PGothic" w:eastAsia="MS PGothic" w:hAnsi="MS PGothic"/>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u w:val="single" w:color="auto"/>
          <w:color w:val="auto"/>
        </w:rPr>
        <w:t xml:space="preserve"> Check and complete if Transferee will take delivery of a beneficial interest in a Restricted Definitive Note pursuant to any provision of the Securities Act other than Rule 144A or Regulation S</w:t>
      </w:r>
      <w:r>
        <w:rPr>
          <w:rFonts w:ascii="Arial" w:cs="Arial" w:eastAsia="Arial" w:hAnsi="Arial"/>
          <w:sz w:val="16"/>
          <w:szCs w:val="16"/>
          <w:color w:val="auto"/>
        </w:rPr>
        <w:t>. The Transfer is being effected in compliance with the transfer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61" w:lineRule="exact"/>
        <w:rPr>
          <w:rFonts w:ascii="Arial" w:cs="Arial" w:eastAsia="Arial" w:hAnsi="Arial"/>
          <w:sz w:val="16"/>
          <w:szCs w:val="16"/>
          <w:color w:val="auto"/>
        </w:rPr>
      </w:pPr>
    </w:p>
    <w:p>
      <w:pPr>
        <w:ind w:left="1760" w:hanging="372"/>
        <w:spacing w:after="0" w:line="207" w:lineRule="exact"/>
        <w:tabs>
          <w:tab w:leader="none" w:pos="1760" w:val="left"/>
        </w:tabs>
        <w:numPr>
          <w:ilvl w:val="1"/>
          <w:numId w:val="34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5420" w:right="3900" w:hanging="4032"/>
        <w:spacing w:after="0" w:line="294" w:lineRule="exact"/>
        <w:tabs>
          <w:tab w:leader="none" w:pos="1769" w:val="left"/>
        </w:tabs>
        <w:numPr>
          <w:ilvl w:val="0"/>
          <w:numId w:val="3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 or</w:t>
      </w:r>
    </w:p>
    <w:p>
      <w:pPr>
        <w:spacing w:after="0" w:line="61" w:lineRule="exact"/>
        <w:rPr>
          <w:rFonts w:ascii="Arial" w:cs="Arial" w:eastAsia="Arial" w:hAnsi="Arial"/>
          <w:sz w:val="18"/>
          <w:szCs w:val="18"/>
          <w:color w:val="auto"/>
        </w:rPr>
      </w:pPr>
    </w:p>
    <w:p>
      <w:pPr>
        <w:ind w:left="980" w:right="340" w:firstLine="408"/>
        <w:spacing w:after="0" w:line="239" w:lineRule="exact"/>
        <w:tabs>
          <w:tab w:leader="none" w:pos="1760" w:val="left"/>
        </w:tabs>
        <w:numPr>
          <w:ilvl w:val="0"/>
          <w:numId w:val="3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70" w:lineRule="exact"/>
        <w:rPr>
          <w:sz w:val="20"/>
          <w:szCs w:val="20"/>
          <w:color w:val="auto"/>
        </w:rPr>
      </w:pPr>
    </w:p>
    <w:p>
      <w:pPr>
        <w:ind w:left="1340" w:hanging="353"/>
        <w:spacing w:after="0" w:line="196" w:lineRule="exact"/>
        <w:tabs>
          <w:tab w:leader="none" w:pos="1340" w:val="left"/>
        </w:tabs>
        <w:numPr>
          <w:ilvl w:val="0"/>
          <w:numId w:val="344"/>
        </w:numPr>
        <w:rPr>
          <w:rFonts w:ascii="Arial" w:cs="Arial" w:eastAsia="Arial" w:hAnsi="Arial"/>
          <w:sz w:val="17"/>
          <w:szCs w:val="17"/>
          <w:color w:val="auto"/>
        </w:rPr>
      </w:pPr>
      <w:r>
        <w:rPr>
          <w:rFonts w:ascii="MS PGothic" w:cs="MS PGothic" w:eastAsia="MS PGothic" w:hAnsi="MS PGothic"/>
          <w:sz w:val="17"/>
          <w:szCs w:val="17"/>
          <w:u w:val="single" w:color="auto"/>
          <w:color w:val="auto"/>
        </w:rPr>
        <w:t>☐</w:t>
      </w:r>
      <w:r>
        <w:rPr>
          <w:rFonts w:ascii="Arial" w:cs="Arial" w:eastAsia="Arial" w:hAnsi="Arial"/>
          <w:sz w:val="17"/>
          <w:szCs w:val="17"/>
          <w:b w:val="1"/>
          <w:bCs w:val="1"/>
          <w:u w:val="single" w:color="auto"/>
          <w:color w:val="auto"/>
        </w:rPr>
        <w:t xml:space="preserve"> Check if Transferee will take delivery of a beneficial interest in an Unrestricted Global Note or of an Unrestricted</w:t>
      </w:r>
    </w:p>
    <w:p>
      <w:pPr>
        <w:spacing w:after="0" w:line="6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u w:val="single" w:color="auto"/>
          <w:color w:val="auto"/>
        </w:rPr>
        <w:t>Definitive Note</w:t>
      </w:r>
      <w:r>
        <w:rPr>
          <w:rFonts w:ascii="Arial" w:cs="Arial" w:eastAsia="Arial" w:hAnsi="Arial"/>
          <w:sz w:val="18"/>
          <w:szCs w:val="18"/>
          <w:color w:val="auto"/>
        </w:rPr>
        <w:t>.</w:t>
      </w:r>
    </w:p>
    <w:p>
      <w:pPr>
        <w:spacing w:after="0" w:line="176" w:lineRule="exact"/>
        <w:rPr>
          <w:sz w:val="20"/>
          <w:szCs w:val="20"/>
          <w:color w:val="auto"/>
        </w:rPr>
      </w:pPr>
    </w:p>
    <w:p>
      <w:pPr>
        <w:ind w:right="80" w:firstLine="987"/>
        <w:spacing w:after="0" w:line="224" w:lineRule="exact"/>
        <w:tabs>
          <w:tab w:leader="none" w:pos="1371" w:val="left"/>
        </w:tabs>
        <w:numPr>
          <w:ilvl w:val="0"/>
          <w:numId w:val="34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Rule 144</w:t>
      </w:r>
      <w:r>
        <w:rPr>
          <w:rFonts w:ascii="Arial" w:cs="Arial" w:eastAsia="Arial" w:hAnsi="Arial"/>
          <w:sz w:val="17"/>
          <w:szCs w:val="17"/>
          <w:color w:val="auto"/>
        </w:rPr>
        <w:t>. (i) The Transfer is being effected pursuant to and in accordance with Rule 144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7"/>
          <w:szCs w:val="17"/>
          <w:color w:val="auto"/>
        </w:rPr>
      </w:pPr>
    </w:p>
    <w:p>
      <w:pPr>
        <w:ind w:firstLine="987"/>
        <w:spacing w:after="0" w:line="224" w:lineRule="exact"/>
        <w:tabs>
          <w:tab w:leader="none" w:pos="1381" w:val="left"/>
        </w:tabs>
        <w:numPr>
          <w:ilvl w:val="0"/>
          <w:numId w:val="34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w:t>
      </w:r>
      <w:r>
        <w:rPr>
          <w:rFonts w:ascii="Arial" w:cs="Arial" w:eastAsia="Arial" w:hAnsi="Arial"/>
          <w:sz w:val="17"/>
          <w:szCs w:val="17"/>
          <w:color w:val="auto"/>
        </w:rPr>
        <w:t>. (i) The Transfer is being effected pursuant to and in accordance with Rule 903 or</w:t>
      </w:r>
      <w:r>
        <w:rPr>
          <w:rFonts w:ascii="Arial" w:cs="Arial" w:eastAsia="Arial" w:hAnsi="Arial"/>
          <w:sz w:val="17"/>
          <w:szCs w:val="17"/>
          <w:b w:val="1"/>
          <w:bCs w:val="1"/>
          <w:color w:val="auto"/>
        </w:rPr>
        <w:t xml:space="preserve"> </w:t>
      </w:r>
      <w:r>
        <w:rPr>
          <w:rFonts w:ascii="Arial" w:cs="Arial" w:eastAsia="Arial" w:hAnsi="Arial"/>
          <w:sz w:val="17"/>
          <w:szCs w:val="17"/>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7"/>
          <w:szCs w:val="17"/>
          <w:color w:val="auto"/>
        </w:rPr>
      </w:pPr>
    </w:p>
    <w:p>
      <w:pPr>
        <w:ind w:right="80" w:firstLine="987"/>
        <w:spacing w:after="0" w:line="223" w:lineRule="exact"/>
        <w:tabs>
          <w:tab w:leader="none" w:pos="1371" w:val="left"/>
        </w:tabs>
        <w:numPr>
          <w:ilvl w:val="0"/>
          <w:numId w:val="3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Other Exemption</w:t>
      </w:r>
      <w:r>
        <w:rPr>
          <w:rFonts w:ascii="Arial" w:cs="Arial" w:eastAsia="Arial" w:hAnsi="Arial"/>
          <w:sz w:val="18"/>
          <w:szCs w:val="18"/>
          <w:color w:val="auto"/>
        </w:rPr>
        <w:t>. (i) The Transfer is being effected pursuant to and in compliance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41" w:right="459" w:bottom="1440" w:gutter="0" w:footer="0" w:header="0"/>
        </w:sectPr>
      </w:pPr>
    </w:p>
    <w:bookmarkStart w:id="328" w:name="page329"/>
    <w:bookmarkEnd w:id="328"/>
    <w:p>
      <w:pPr>
        <w:jc w:val="right"/>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320675</wp:posOffset>
            </wp:positionV>
            <wp:extent cx="27946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2">
                      <a:extLst>
                        <a:ext uri="{28A0092B-C50C-407E-A947-70E740481C1C}"/>
                      </a:extLst>
                    </a:blip>
                    <a:srcRect/>
                    <a:stretch>
                      <a:fillRect/>
                    </a:stretch>
                  </pic:blipFill>
                  <pic:spPr bwMode="auto">
                    <a:xfrm>
                      <a:off x="0" y="0"/>
                      <a:ext cx="2794635" cy="8890"/>
                    </a:xfrm>
                    <a:prstGeom prst="rect">
                      <a:avLst/>
                    </a:prstGeom>
                    <a:noFill/>
                  </pic:spPr>
                </pic:pic>
              </a:graphicData>
            </a:graphic>
          </wp:anchor>
        </w:drawing>
        <w:t>[Insert Name of Transferor]</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-1905</wp:posOffset>
            </wp:positionV>
            <wp:extent cx="25628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019"/>
          </w:cols>
          <w:pgMar w:left="440" w:top="517" w:right="1440" w:bottom="1440" w:gutter="0" w:footer="0" w:header="0"/>
        </w:sectPr>
      </w:pPr>
    </w:p>
    <w:bookmarkStart w:id="329" w:name="page330"/>
    <w:bookmarkEnd w:id="329"/>
    <w:p>
      <w:pPr>
        <w:jc w:val="right"/>
        <w:ind w:right="2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 TO CERTIFICATE OF TRANSFER</w:t>
      </w:r>
    </w:p>
    <w:p>
      <w:pPr>
        <w:spacing w:after="0" w:line="229" w:lineRule="exact"/>
        <w:rPr>
          <w:sz w:val="20"/>
          <w:szCs w:val="20"/>
          <w:color w:val="auto"/>
        </w:rPr>
      </w:pPr>
    </w:p>
    <w:p>
      <w:pPr>
        <w:ind w:left="364" w:hanging="364"/>
        <w:spacing w:after="0"/>
        <w:tabs>
          <w:tab w:leader="none" w:pos="36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4404"/>
        <w:spacing w:after="0"/>
        <w:rPr>
          <w:sz w:val="20"/>
          <w:szCs w:val="20"/>
          <w:color w:val="auto"/>
        </w:rPr>
      </w:pPr>
      <w:r>
        <w:rPr>
          <w:rFonts w:ascii="Arial" w:cs="Arial" w:eastAsia="Arial" w:hAnsi="Arial"/>
          <w:sz w:val="18"/>
          <w:szCs w:val="18"/>
          <w:color w:val="auto"/>
        </w:rPr>
        <w:t>[CHECK ONE OF (a) OR (b)]</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4520" w:type="dxa"/>
            <w:vAlign w:val="bottom"/>
            <w:gridSpan w:val="3"/>
          </w:tcPr>
          <w:p>
            <w:pPr>
              <w:ind w:left="9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3"/>
        </w:trPr>
        <w:tc>
          <w:tcPr>
            <w:tcW w:w="3980" w:type="dxa"/>
            <w:vAlign w:val="bottom"/>
          </w:tcPr>
          <w:p>
            <w:pPr>
              <w:ind w:left="1380"/>
              <w:spacing w:after="0" w:line="207" w:lineRule="exact"/>
              <w:rPr>
                <w:sz w:val="20"/>
                <w:szCs w:val="20"/>
                <w:color w:val="auto"/>
              </w:rPr>
            </w:pPr>
            <w:r>
              <w:rPr>
                <w:rFonts w:ascii="Arial" w:cs="Arial" w:eastAsia="Arial" w:hAnsi="Arial"/>
                <w:sz w:val="18"/>
                <w:szCs w:val="18"/>
                <w:color w:val="auto"/>
                <w:w w:val="98"/>
              </w:rPr>
              <w:t xml:space="preserve">(i)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144A Global Note (CUSIP</w:t>
            </w:r>
          </w:p>
        </w:tc>
        <w:tc>
          <w:tcPr>
            <w:tcW w:w="540" w:type="dxa"/>
            <w:vAlign w:val="bottom"/>
            <w:tcBorders>
              <w:bottom w:val="single" w:sz="8" w:color="auto"/>
            </w:tcBorders>
            <w:gridSpan w:val="2"/>
          </w:tcPr>
          <w:p>
            <w:pPr>
              <w:spacing w:after="0"/>
              <w:rPr>
                <w:sz w:val="22"/>
                <w:szCs w:val="22"/>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auto"/>
              </w:rPr>
              <w:t>), or</w:t>
            </w:r>
          </w:p>
        </w:tc>
      </w:tr>
      <w:tr>
        <w:trPr>
          <w:trHeight w:val="304"/>
        </w:trPr>
        <w:tc>
          <w:tcPr>
            <w:tcW w:w="4520" w:type="dxa"/>
            <w:vAlign w:val="bottom"/>
            <w:gridSpan w:val="3"/>
          </w:tcPr>
          <w:p>
            <w:pPr>
              <w:ind w:left="1380"/>
              <w:spacing w:after="0" w:line="207" w:lineRule="exact"/>
              <w:rPr>
                <w:sz w:val="20"/>
                <w:szCs w:val="20"/>
                <w:color w:val="auto"/>
              </w:rPr>
            </w:pPr>
            <w:r>
              <w:rPr>
                <w:rFonts w:ascii="Arial" w:cs="Arial" w:eastAsia="Arial" w:hAnsi="Arial"/>
                <w:sz w:val="18"/>
                <w:szCs w:val="18"/>
                <w:color w:val="auto"/>
                <w:w w:val="96"/>
              </w:rPr>
              <w:t xml:space="preserve">(ii)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Regulation S Global Note (CUSIP</w:t>
            </w:r>
          </w:p>
        </w:tc>
        <w:tc>
          <w:tcPr>
            <w:tcW w:w="40" w:type="dxa"/>
            <w:vAlign w:val="bottom"/>
          </w:tcPr>
          <w:p>
            <w:pPr>
              <w:spacing w:after="0"/>
              <w:rPr>
                <w:sz w:val="24"/>
                <w:szCs w:val="24"/>
                <w:color w:val="auto"/>
              </w:rPr>
            </w:pPr>
          </w:p>
        </w:tc>
        <w:tc>
          <w:tcPr>
            <w:tcW w:w="1520" w:type="dxa"/>
            <w:vAlign w:val="bottom"/>
            <w:gridSpan w:val="3"/>
          </w:tcPr>
          <w:p>
            <w:pPr>
              <w:ind w:left="500"/>
              <w:spacing w:after="0"/>
              <w:rPr>
                <w:sz w:val="20"/>
                <w:szCs w:val="20"/>
                <w:color w:val="auto"/>
              </w:rPr>
            </w:pPr>
            <w:r>
              <w:rPr>
                <w:rFonts w:ascii="Arial" w:cs="Arial" w:eastAsia="Arial" w:hAnsi="Arial"/>
                <w:sz w:val="18"/>
                <w:szCs w:val="18"/>
                <w:color w:val="auto"/>
              </w:rPr>
              <w:t>); or</w:t>
            </w:r>
          </w:p>
        </w:tc>
      </w:tr>
      <w:tr>
        <w:trPr>
          <w:trHeight w:val="365"/>
        </w:trPr>
        <w:tc>
          <w:tcPr>
            <w:tcW w:w="4520" w:type="dxa"/>
            <w:vAlign w:val="bottom"/>
            <w:gridSpan w:val="3"/>
          </w:tcPr>
          <w:p>
            <w:pPr>
              <w:ind w:left="9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tc>
        <w:tc>
          <w:tcPr>
            <w:tcW w:w="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4"/>
        </w:trPr>
        <w:tc>
          <w:tcPr>
            <w:tcW w:w="4520" w:type="dxa"/>
            <w:vAlign w:val="bottom"/>
            <w:gridSpan w:val="3"/>
          </w:tcPr>
          <w:p>
            <w:pPr>
              <w:spacing w:after="0"/>
              <w:rPr>
                <w:sz w:val="20"/>
                <w:szCs w:val="20"/>
                <w:color w:val="auto"/>
              </w:rPr>
            </w:pPr>
            <w:r>
              <w:rPr>
                <w:rFonts w:ascii="Arial" w:cs="Arial" w:eastAsia="Arial" w:hAnsi="Arial"/>
                <w:sz w:val="18"/>
                <w:szCs w:val="18"/>
                <w:color w:val="auto"/>
              </w:rPr>
              <w:t>2.   After the Transfer the Transferee will hold:</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3"/>
          </w:tcPr>
          <w:p>
            <w:pPr>
              <w:jc w:val="center"/>
              <w:ind w:left="290"/>
              <w:spacing w:after="0"/>
              <w:rPr>
                <w:sz w:val="20"/>
                <w:szCs w:val="20"/>
                <w:color w:val="auto"/>
              </w:rPr>
            </w:pPr>
            <w:r>
              <w:rPr>
                <w:rFonts w:ascii="Arial" w:cs="Arial" w:eastAsia="Arial" w:hAnsi="Arial"/>
                <w:sz w:val="18"/>
                <w:szCs w:val="18"/>
                <w:color w:val="auto"/>
                <w:w w:val="97"/>
              </w:rPr>
              <w:t>[CHECK ONE]</w:t>
            </w:r>
          </w:p>
        </w:tc>
      </w:tr>
      <w:tr>
        <w:trPr>
          <w:trHeight w:val="452"/>
        </w:trPr>
        <w:tc>
          <w:tcPr>
            <w:tcW w:w="4520" w:type="dxa"/>
            <w:vAlign w:val="bottom"/>
            <w:gridSpan w:val="3"/>
          </w:tcPr>
          <w:p>
            <w:pPr>
              <w:ind w:left="9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3"/>
        </w:trPr>
        <w:tc>
          <w:tcPr>
            <w:tcW w:w="4020" w:type="dxa"/>
            <w:vAlign w:val="bottom"/>
            <w:gridSpan w:val="2"/>
          </w:tcPr>
          <w:p>
            <w:pPr>
              <w:ind w:left="1380"/>
              <w:spacing w:after="0" w:line="207" w:lineRule="exact"/>
              <w:rPr>
                <w:sz w:val="20"/>
                <w:szCs w:val="20"/>
                <w:color w:val="auto"/>
              </w:rPr>
            </w:pPr>
            <w:r>
              <w:rPr>
                <w:rFonts w:ascii="Arial" w:cs="Arial" w:eastAsia="Arial" w:hAnsi="Arial"/>
                <w:sz w:val="18"/>
                <w:szCs w:val="18"/>
                <w:color w:val="auto"/>
                <w:w w:val="99"/>
              </w:rPr>
              <w:t xml:space="preserve">(i)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144A Global Note (CUSIP</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 or</w:t>
            </w:r>
          </w:p>
        </w:tc>
      </w:tr>
      <w:tr>
        <w:trPr>
          <w:trHeight w:val="304"/>
        </w:trPr>
        <w:tc>
          <w:tcPr>
            <w:tcW w:w="4520" w:type="dxa"/>
            <w:vAlign w:val="bottom"/>
            <w:gridSpan w:val="3"/>
          </w:tcPr>
          <w:p>
            <w:pPr>
              <w:ind w:left="1380"/>
              <w:spacing w:after="0" w:line="207" w:lineRule="exact"/>
              <w:rPr>
                <w:sz w:val="20"/>
                <w:szCs w:val="20"/>
                <w:color w:val="auto"/>
              </w:rPr>
            </w:pPr>
            <w:r>
              <w:rPr>
                <w:rFonts w:ascii="Arial" w:cs="Arial" w:eastAsia="Arial" w:hAnsi="Arial"/>
                <w:sz w:val="18"/>
                <w:szCs w:val="18"/>
                <w:color w:val="auto"/>
                <w:w w:val="95"/>
              </w:rPr>
              <w:t xml:space="preserve">(ii)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Regulation S Global Note (CUSIP</w:t>
            </w:r>
          </w:p>
        </w:tc>
        <w:tc>
          <w:tcPr>
            <w:tcW w:w="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 or</w:t>
            </w:r>
          </w:p>
        </w:tc>
      </w:tr>
      <w:tr>
        <w:trPr>
          <w:trHeight w:val="304"/>
        </w:trPr>
        <w:tc>
          <w:tcPr>
            <w:tcW w:w="4520" w:type="dxa"/>
            <w:vAlign w:val="bottom"/>
            <w:gridSpan w:val="3"/>
          </w:tcPr>
          <w:p>
            <w:pPr>
              <w:ind w:left="1380"/>
              <w:spacing w:after="0" w:line="207" w:lineRule="exact"/>
              <w:rPr>
                <w:sz w:val="20"/>
                <w:szCs w:val="20"/>
                <w:color w:val="auto"/>
              </w:rPr>
            </w:pPr>
            <w:r>
              <w:rPr>
                <w:rFonts w:ascii="Arial" w:cs="Arial" w:eastAsia="Arial" w:hAnsi="Arial"/>
                <w:sz w:val="18"/>
                <w:szCs w:val="18"/>
                <w:color w:val="auto"/>
                <w:w w:val="97"/>
              </w:rPr>
              <w:t xml:space="preserve">(iii)  </w:t>
            </w: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Unrestricted Global Note (CUSIP</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 or</w:t>
            </w:r>
          </w:p>
        </w:tc>
      </w:tr>
      <w:tr>
        <w:trPr>
          <w:trHeight w:val="473"/>
        </w:trPr>
        <w:tc>
          <w:tcPr>
            <w:tcW w:w="4520" w:type="dxa"/>
            <w:vAlign w:val="bottom"/>
            <w:gridSpan w:val="3"/>
          </w:tcPr>
          <w:p>
            <w:pPr>
              <w:ind w:left="9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4520" w:type="dxa"/>
            <w:vAlign w:val="bottom"/>
            <w:gridSpan w:val="3"/>
          </w:tcPr>
          <w:p>
            <w:pPr>
              <w:ind w:left="980"/>
              <w:spacing w:after="0" w:line="207" w:lineRule="exact"/>
              <w:rPr>
                <w:sz w:val="20"/>
                <w:szCs w:val="20"/>
                <w:color w:val="auto"/>
              </w:rPr>
            </w:pPr>
            <w:r>
              <w:rPr>
                <w:rFonts w:ascii="Arial" w:cs="Arial" w:eastAsia="Arial" w:hAnsi="Arial"/>
                <w:sz w:val="18"/>
                <w:szCs w:val="18"/>
                <w:color w:val="auto"/>
              </w:rPr>
              <w:t xml:space="preserve">(c)   </w:t>
            </w: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2"/>
        </w:trPr>
        <w:tc>
          <w:tcPr>
            <w:tcW w:w="4520" w:type="dxa"/>
            <w:vAlign w:val="bottom"/>
            <w:gridSpan w:val="3"/>
          </w:tcPr>
          <w:p>
            <w:pPr>
              <w:ind w:left="980"/>
              <w:spacing w:after="0"/>
              <w:rPr>
                <w:sz w:val="20"/>
                <w:szCs w:val="20"/>
                <w:color w:val="auto"/>
              </w:rPr>
            </w:pPr>
            <w:r>
              <w:rPr>
                <w:rFonts w:ascii="Arial" w:cs="Arial" w:eastAsia="Arial" w:hAnsi="Arial"/>
                <w:sz w:val="18"/>
                <w:szCs w:val="18"/>
                <w:color w:val="auto"/>
                <w:w w:val="96"/>
              </w:rPr>
              <w:t>in accordance with the terms of the Indenture.</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4"/>
        </w:trPr>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99"/>
              </w:rPr>
              <w:t>B-4</w:t>
            </w:r>
          </w:p>
        </w:tc>
      </w:tr>
    </w:tbl>
    <w:p>
      <w:pPr>
        <w:sectPr>
          <w:pgSz w:w="11900" w:h="16838" w:orient="portrait"/>
          <w:cols w:equalWidth="0" w:num="1">
            <w:col w:w="10023"/>
          </w:cols>
          <w:pgMar w:left="436" w:top="270" w:right="1440"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 address block</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Re: 6.000% Senior Notes due 2025 of Studio City Finance Limited</w:t>
      </w:r>
    </w:p>
    <w:p>
      <w:pPr>
        <w:spacing w:after="0" w:line="225" w:lineRule="exact"/>
        <w:rPr>
          <w:sz w:val="20"/>
          <w:szCs w:val="20"/>
          <w:color w:val="auto"/>
        </w:rPr>
      </w:pPr>
    </w:p>
    <w:p>
      <w:pPr>
        <w:ind w:left="4904"/>
        <w:spacing w:after="0"/>
        <w:tabs>
          <w:tab w:leader="none" w:pos="6044"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-10160</wp:posOffset>
            </wp:positionV>
            <wp:extent cx="3429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Reference is hereby made to the Indenture, dated as of July 15, 2020 (the “</w:t>
      </w:r>
      <w:r>
        <w:rPr>
          <w:rFonts w:ascii="Arial" w:cs="Arial" w:eastAsia="Arial" w:hAnsi="Arial"/>
          <w:sz w:val="18"/>
          <w:szCs w:val="18"/>
          <w:i w:val="1"/>
          <w:iCs w:val="1"/>
          <w:color w:val="auto"/>
        </w:rPr>
        <w:t>Indenture</w:t>
      </w:r>
      <w:r>
        <w:rPr>
          <w:rFonts w:ascii="Arial" w:cs="Arial" w:eastAsia="Arial" w:hAnsi="Arial"/>
          <w:sz w:val="18"/>
          <w:szCs w:val="18"/>
          <w:color w:val="auto"/>
        </w:rPr>
        <w:t>”), among Studio City Finance Limited, as issuer (the “</w:t>
      </w:r>
      <w:r>
        <w:rPr>
          <w:rFonts w:ascii="Arial" w:cs="Arial" w:eastAsia="Arial" w:hAnsi="Arial"/>
          <w:sz w:val="18"/>
          <w:szCs w:val="18"/>
          <w:i w:val="1"/>
          <w:iCs w:val="1"/>
          <w:color w:val="auto"/>
        </w:rPr>
        <w:t>Company</w:t>
      </w:r>
      <w:r>
        <w:rPr>
          <w:rFonts w:ascii="Arial" w:cs="Arial" w:eastAsia="Arial" w:hAnsi="Arial"/>
          <w:sz w:val="18"/>
          <w:szCs w:val="18"/>
          <w:color w:val="auto"/>
        </w:rPr>
        <w:t>”), each Subsidiary Guarantor and Deutsche Bank Trust Company Americas, as trustee. Capitalized terms used but not defined herein shall have the meanings given to them in the Indenture.</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w w:val="91"/>
              </w:rPr>
              <w:t>, (the “</w:t>
            </w:r>
            <w:r>
              <w:rPr>
                <w:rFonts w:ascii="Arial" w:cs="Arial" w:eastAsia="Arial" w:hAnsi="Arial"/>
                <w:sz w:val="18"/>
                <w:szCs w:val="18"/>
                <w:i w:val="1"/>
                <w:iCs w:val="1"/>
                <w:color w:val="auto"/>
                <w:w w:val="91"/>
              </w:rPr>
              <w:t>Owner</w:t>
            </w:r>
            <w:r>
              <w:rPr>
                <w:rFonts w:ascii="Arial" w:cs="Arial" w:eastAsia="Arial" w:hAnsi="Arial"/>
                <w:sz w:val="18"/>
                <w:szCs w:val="18"/>
                <w:color w:val="auto"/>
                <w:w w:val="91"/>
              </w:rPr>
              <w:t>”) owns and proposes to exchange the Note[s] or interest in such Note[s] specified herein, in the principal</w:t>
            </w:r>
          </w:p>
        </w:tc>
      </w:tr>
      <w:tr>
        <w:trPr>
          <w:trHeight w:val="196"/>
        </w:trPr>
        <w:tc>
          <w:tcPr>
            <w:tcW w:w="1100" w:type="dxa"/>
            <w:vAlign w:val="bottom"/>
            <w:gridSpan w:val="2"/>
          </w:tcPr>
          <w:p>
            <w:pPr>
              <w:spacing w:after="0" w:line="196" w:lineRule="exact"/>
              <w:rPr>
                <w:sz w:val="20"/>
                <w:szCs w:val="20"/>
                <w:color w:val="auto"/>
              </w:rPr>
            </w:pPr>
            <w:r>
              <w:rPr>
                <w:rFonts w:ascii="Arial" w:cs="Arial" w:eastAsia="Arial" w:hAnsi="Arial"/>
                <w:sz w:val="18"/>
                <w:szCs w:val="18"/>
                <w:color w:val="auto"/>
                <w:w w:val="89"/>
              </w:rPr>
              <w:t>amount of US$</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60" w:type="dxa"/>
            <w:vAlign w:val="bottom"/>
          </w:tcPr>
          <w:p>
            <w:pPr>
              <w:ind w:left="40"/>
              <w:spacing w:after="0" w:line="196" w:lineRule="exact"/>
              <w:rPr>
                <w:sz w:val="20"/>
                <w:szCs w:val="20"/>
                <w:color w:val="auto"/>
              </w:rPr>
            </w:pPr>
            <w:r>
              <w:rPr>
                <w:rFonts w:ascii="Arial" w:cs="Arial" w:eastAsia="Arial" w:hAnsi="Arial"/>
                <w:sz w:val="18"/>
                <w:szCs w:val="18"/>
                <w:color w:val="auto"/>
                <w:w w:val="95"/>
              </w:rPr>
              <w:t>in such Note[s] or interests (the “</w:t>
            </w:r>
            <w:r>
              <w:rPr>
                <w:rFonts w:ascii="Arial" w:cs="Arial" w:eastAsia="Arial" w:hAnsi="Arial"/>
                <w:sz w:val="18"/>
                <w:szCs w:val="18"/>
                <w:i w:val="1"/>
                <w:iCs w:val="1"/>
                <w:color w:val="auto"/>
                <w:w w:val="95"/>
              </w:rPr>
              <w:t>Exchange</w:t>
            </w:r>
            <w:r>
              <w:rPr>
                <w:rFonts w:ascii="Arial" w:cs="Arial" w:eastAsia="Arial" w:hAnsi="Arial"/>
                <w:sz w:val="18"/>
                <w:szCs w:val="18"/>
                <w:color w:val="auto"/>
                <w:w w:val="95"/>
              </w:rPr>
              <w:t>”). In connection with the Exchange, the Owner hereby certifies that:</w:t>
            </w:r>
          </w:p>
        </w:tc>
      </w:tr>
    </w:tbl>
    <w:p>
      <w:pPr>
        <w:spacing w:after="0" w:line="225" w:lineRule="exact"/>
        <w:rPr>
          <w:sz w:val="20"/>
          <w:szCs w:val="20"/>
          <w:color w:val="auto"/>
        </w:rPr>
      </w:pPr>
    </w:p>
    <w:p>
      <w:pPr>
        <w:ind w:left="4" w:right="40" w:firstLine="987"/>
        <w:spacing w:after="0" w:line="282" w:lineRule="auto"/>
        <w:tabs>
          <w:tab w:leader="none" w:pos="1310" w:val="left"/>
        </w:tabs>
        <w:numPr>
          <w:ilvl w:val="0"/>
          <w:numId w:val="347"/>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3" w:lineRule="exact"/>
        <w:rPr>
          <w:sz w:val="20"/>
          <w:szCs w:val="20"/>
          <w:color w:val="auto"/>
        </w:rPr>
      </w:pPr>
    </w:p>
    <w:p>
      <w:pPr>
        <w:jc w:val="both"/>
        <w:ind w:left="4" w:right="120" w:firstLine="987"/>
        <w:spacing w:after="0" w:line="232" w:lineRule="exact"/>
        <w:tabs>
          <w:tab w:leader="none" w:pos="1420" w:val="left"/>
        </w:tabs>
        <w:numPr>
          <w:ilvl w:val="1"/>
          <w:numId w:val="34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beneficial interest in an Unrestricted Global Note</w:t>
      </w:r>
      <w:r>
        <w:rPr>
          <w:rFonts w:ascii="Arial" w:cs="Arial" w:eastAsia="Arial" w:hAnsi="Arial"/>
          <w:sz w:val="16"/>
          <w:szCs w:val="16"/>
          <w:color w:val="auto"/>
        </w:rPr>
        <w:t>. In connection with the Exchange of the Owner’s beneficial interest in a Restricted Global Note for a beneficial interest in an Unrestricted Global</w:t>
      </w:r>
      <w:r>
        <w:rPr>
          <w:rFonts w:ascii="Arial" w:cs="Arial" w:eastAsia="Arial" w:hAnsi="Arial"/>
          <w:sz w:val="16"/>
          <w:szCs w:val="16"/>
          <w:b w:val="1"/>
          <w:bCs w:val="1"/>
          <w:color w:val="auto"/>
        </w:rPr>
        <w:t xml:space="preserve"> </w:t>
      </w:r>
      <w:r>
        <w:rPr>
          <w:rFonts w:ascii="Arial" w:cs="Arial" w:eastAsia="Arial" w:hAnsi="Arial"/>
          <w:sz w:val="16"/>
          <w:szCs w:val="16"/>
          <w:color w:val="auto"/>
        </w:rPr>
        <w:t>Note in an equal principal amount, the Owner hereby certifies (i) the beneficial interest is being acquired for the Owner’s own account without transfer,</w:t>
      </w:r>
    </w:p>
    <w:p>
      <w:pPr>
        <w:ind w:left="4" w:right="160" w:hanging="4"/>
        <w:spacing w:after="0" w:line="273" w:lineRule="auto"/>
        <w:tabs>
          <w:tab w:leader="none" w:pos="269" w:val="left"/>
        </w:tabs>
        <w:numPr>
          <w:ilvl w:val="0"/>
          <w:numId w:val="349"/>
        </w:numPr>
        <w:rPr>
          <w:rFonts w:ascii="Arial" w:cs="Arial" w:eastAsia="Arial" w:hAnsi="Arial"/>
          <w:sz w:val="17"/>
          <w:szCs w:val="17"/>
          <w:color w:val="auto"/>
        </w:rPr>
      </w:pPr>
      <w:r>
        <w:rPr>
          <w:rFonts w:ascii="Arial" w:cs="Arial" w:eastAsia="Arial" w:hAnsi="Arial"/>
          <w:sz w:val="17"/>
          <w:szCs w:val="17"/>
          <w:color w:val="auto"/>
        </w:rPr>
        <w:t>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43" w:lineRule="exact"/>
        <w:rPr>
          <w:rFonts w:ascii="Arial" w:cs="Arial" w:eastAsia="Arial" w:hAnsi="Arial"/>
          <w:sz w:val="17"/>
          <w:szCs w:val="17"/>
          <w:color w:val="auto"/>
        </w:rPr>
      </w:pPr>
    </w:p>
    <w:p>
      <w:pPr>
        <w:ind w:left="4" w:right="160" w:firstLine="987"/>
        <w:spacing w:after="0" w:line="224" w:lineRule="exact"/>
        <w:tabs>
          <w:tab w:leader="none" w:pos="1430" w:val="left"/>
        </w:tabs>
        <w:numPr>
          <w:ilvl w:val="1"/>
          <w:numId w:val="34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Unrestricted Definitive Note</w:t>
      </w:r>
      <w:r>
        <w:rPr>
          <w:rFonts w:ascii="Arial" w:cs="Arial" w:eastAsia="Arial" w:hAnsi="Arial"/>
          <w:sz w:val="16"/>
          <w:szCs w:val="16"/>
          <w:color w:val="auto"/>
        </w:rPr>
        <w:t>.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73" w:lineRule="exact"/>
        <w:rPr>
          <w:rFonts w:ascii="Arial" w:cs="Arial" w:eastAsia="Arial" w:hAnsi="Arial"/>
          <w:sz w:val="16"/>
          <w:szCs w:val="16"/>
          <w:color w:val="auto"/>
        </w:rPr>
      </w:pPr>
    </w:p>
    <w:p>
      <w:pPr>
        <w:ind w:left="4" w:right="20" w:firstLine="987"/>
        <w:spacing w:after="0" w:line="224" w:lineRule="exact"/>
        <w:tabs>
          <w:tab w:leader="none" w:pos="1375" w:val="left"/>
        </w:tabs>
        <w:numPr>
          <w:ilvl w:val="1"/>
          <w:numId w:val="34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an Unrestricted Global Note</w:t>
      </w:r>
      <w:r>
        <w:rPr>
          <w:rFonts w:ascii="Arial" w:cs="Arial" w:eastAsia="Arial" w:hAnsi="Arial"/>
          <w:sz w:val="16"/>
          <w:szCs w:val="16"/>
          <w:color w:val="auto"/>
        </w:rPr>
        <w:t>.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4"/>
          </w:cols>
          <w:pgMar w:left="436" w:top="270" w:right="439" w:bottom="1440" w:gutter="0" w:footer="0" w:header="0"/>
        </w:sectPr>
      </w:pPr>
    </w:p>
    <w:bookmarkStart w:id="331" w:name="page332"/>
    <w:bookmarkEnd w:id="331"/>
    <w:p>
      <w:pPr>
        <w:ind w:left="-20" w:right="60" w:firstLine="987"/>
        <w:spacing w:after="0" w:line="224" w:lineRule="exact"/>
        <w:tabs>
          <w:tab w:leader="none" w:pos="1361" w:val="left"/>
        </w:tabs>
        <w:numPr>
          <w:ilvl w:val="0"/>
          <w:numId w:val="350"/>
        </w:numPr>
        <w:rPr>
          <w:rFonts w:ascii="Arial" w:cs="Arial" w:eastAsia="Arial" w:hAnsi="Arial"/>
          <w:sz w:val="17"/>
          <w:szCs w:val="17"/>
          <w:color w:val="auto"/>
        </w:rPr>
      </w:pPr>
      <w:r>
        <w:rPr>
          <w:rFonts w:ascii="MS PGothic" w:cs="MS PGothic" w:eastAsia="MS PGothic" w:hAnsi="MS PGothic"/>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 xml:space="preserve"> Check if Exchange is from Restricted Definitive Note to Unrestricted Definitive Note</w:t>
      </w:r>
      <w:r>
        <w:rPr>
          <w:rFonts w:ascii="Arial" w:cs="Arial" w:eastAsia="Arial" w:hAnsi="Arial"/>
          <w:sz w:val="17"/>
          <w:szCs w:val="17"/>
          <w:color w:val="auto"/>
        </w:rPr>
        <w:t>. In connection with the Owner’s</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2" w:lineRule="exact"/>
        <w:rPr>
          <w:sz w:val="20"/>
          <w:szCs w:val="20"/>
          <w:color w:val="auto"/>
        </w:rPr>
      </w:pPr>
    </w:p>
    <w:p>
      <w:pPr>
        <w:ind w:left="-20" w:right="240" w:firstLine="987"/>
        <w:spacing w:after="0" w:line="282" w:lineRule="auto"/>
        <w:tabs>
          <w:tab w:leader="none" w:pos="1286" w:val="left"/>
        </w:tabs>
        <w:numPr>
          <w:ilvl w:val="0"/>
          <w:numId w:val="351"/>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3" w:lineRule="exact"/>
        <w:rPr>
          <w:sz w:val="20"/>
          <w:szCs w:val="20"/>
          <w:color w:val="auto"/>
        </w:rPr>
      </w:pPr>
    </w:p>
    <w:p>
      <w:pPr>
        <w:ind w:left="-20" w:firstLine="987"/>
        <w:spacing w:after="0" w:line="226" w:lineRule="exact"/>
        <w:tabs>
          <w:tab w:leader="none" w:pos="1351" w:val="left"/>
        </w:tabs>
        <w:numPr>
          <w:ilvl w:val="0"/>
          <w:numId w:val="35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Restricted Definitive Note. </w:t>
      </w:r>
      <w:r>
        <w:rPr>
          <w:rFonts w:ascii="Arial" w:cs="Arial" w:eastAsia="Arial" w:hAnsi="Arial"/>
          <w:sz w:val="16"/>
          <w:szCs w:val="16"/>
          <w:color w:val="auto"/>
        </w:rPr>
        <w:t>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69" w:lineRule="exact"/>
        <w:rPr>
          <w:rFonts w:ascii="Arial" w:cs="Arial" w:eastAsia="Arial" w:hAnsi="Arial"/>
          <w:sz w:val="16"/>
          <w:szCs w:val="16"/>
          <w:color w:val="auto"/>
        </w:rPr>
      </w:pPr>
    </w:p>
    <w:p>
      <w:pPr>
        <w:ind w:left="-20" w:right="160" w:firstLine="987"/>
        <w:spacing w:after="0" w:line="223" w:lineRule="exact"/>
        <w:tabs>
          <w:tab w:leader="none" w:pos="1361" w:val="left"/>
        </w:tabs>
        <w:numPr>
          <w:ilvl w:val="0"/>
          <w:numId w:val="35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Exchange of the Owner’s 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306070</wp:posOffset>
            </wp:positionV>
            <wp:extent cx="27946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-19050</wp:posOffset>
            </wp:positionV>
            <wp:extent cx="256286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5085080</wp:posOffset>
            </wp:positionH>
            <wp:positionV relativeFrom="paragraph">
              <wp:posOffset>14605</wp:posOffset>
            </wp:positionV>
            <wp:extent cx="189420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0">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60"/>
          </w:cols>
          <w:pgMar w:left="460" w:top="241" w:right="479" w:bottom="1440" w:gutter="0" w:footer="0" w:header="0"/>
        </w:sectPr>
      </w:pPr>
    </w:p>
    <w:bookmarkStart w:id="332" w:name="page333"/>
    <w:bookmarkEnd w:id="332"/>
    <w:tbl>
      <w:tblPr>
        <w:tblLayout w:type="fixed"/>
        <w:tblInd w:w="44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ind w:left="2920"/>
              <w:spacing w:after="0"/>
              <w:rPr>
                <w:sz w:val="20"/>
                <w:szCs w:val="20"/>
                <w:color w:val="auto"/>
              </w:rPr>
            </w:pPr>
            <w:r>
              <w:rPr>
                <w:rFonts w:ascii="Arial" w:cs="Arial" w:eastAsia="Arial" w:hAnsi="Arial"/>
                <w:sz w:val="18"/>
                <w:szCs w:val="18"/>
                <w:b w:val="1"/>
                <w:bCs w:val="1"/>
                <w:color w:val="auto"/>
              </w:rPr>
              <w:t>EXHIBIT D</w:t>
            </w:r>
          </w:p>
        </w:tc>
      </w:tr>
      <w:tr>
        <w:trPr>
          <w:trHeight w:val="391"/>
        </w:trPr>
        <w:tc>
          <w:tcPr>
            <w:tcW w:w="3420" w:type="dxa"/>
            <w:vAlign w:val="bottom"/>
          </w:tcPr>
          <w:p>
            <w:pPr>
              <w:spacing w:after="0"/>
              <w:rPr>
                <w:sz w:val="24"/>
                <w:szCs w:val="24"/>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FORM OF SUPPLEMENTAL INDENTURE</w:t>
            </w:r>
          </w:p>
        </w:tc>
      </w:tr>
      <w:tr>
        <w:trPr>
          <w:trHeight w:val="20"/>
        </w:trPr>
        <w:tc>
          <w:tcPr>
            <w:tcW w:w="34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12"/>
        </w:trPr>
        <w:tc>
          <w:tcPr>
            <w:tcW w:w="5680" w:type="dxa"/>
            <w:vAlign w:val="bottom"/>
            <w:gridSpan w:val="2"/>
          </w:tcPr>
          <w:p>
            <w:pPr>
              <w:spacing w:after="0"/>
              <w:rPr>
                <w:sz w:val="20"/>
                <w:szCs w:val="20"/>
                <w:color w:val="auto"/>
              </w:rPr>
            </w:pPr>
            <w:r>
              <w:rPr>
                <w:rFonts w:ascii="Arial" w:cs="Arial" w:eastAsia="Arial" w:hAnsi="Arial"/>
                <w:sz w:val="18"/>
                <w:szCs w:val="18"/>
                <w:color w:val="auto"/>
                <w:w w:val="94"/>
              </w:rPr>
              <w:t>SUPPLEMENTAL INDENTURE (this “</w:t>
            </w:r>
            <w:r>
              <w:rPr>
                <w:rFonts w:ascii="Arial" w:cs="Arial" w:eastAsia="Arial" w:hAnsi="Arial"/>
                <w:sz w:val="18"/>
                <w:szCs w:val="18"/>
                <w:i w:val="1"/>
                <w:iCs w:val="1"/>
                <w:color w:val="auto"/>
                <w:w w:val="94"/>
              </w:rPr>
              <w:t>Supplemental Indenture</w:t>
            </w:r>
            <w:r>
              <w:rPr>
                <w:rFonts w:ascii="Arial" w:cs="Arial" w:eastAsia="Arial" w:hAnsi="Arial"/>
                <w:sz w:val="18"/>
                <w:szCs w:val="18"/>
                <w:color w:val="auto"/>
                <w:w w:val="94"/>
              </w:rPr>
              <w:t>”) dated as of</w:t>
            </w:r>
          </w:p>
        </w:tc>
        <w:tc>
          <w:tcPr>
            <w:tcW w:w="900" w:type="dxa"/>
            <w:vAlign w:val="bottom"/>
            <w:tcBorders>
              <w:bottom w:val="single" w:sz="8" w:color="auto"/>
            </w:tcBorders>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5"/>
              </w:rPr>
              <w:t>, among [name of New Subsidiary Guarantor[s]] (the</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Subsidiary Guarantor</w:t>
      </w:r>
      <w:r>
        <w:rPr>
          <w:rFonts w:ascii="Arial" w:cs="Arial" w:eastAsia="Arial" w:hAnsi="Arial"/>
          <w:sz w:val="18"/>
          <w:szCs w:val="18"/>
          <w:color w:val="auto"/>
        </w:rPr>
        <w:t>”), Studio City Finance Limited, a BVI business company with limited liability incorporated under the laws of British Virgin Islands (the “</w:t>
      </w:r>
      <w:r>
        <w:rPr>
          <w:rFonts w:ascii="Arial" w:cs="Arial" w:eastAsia="Arial" w:hAnsi="Arial"/>
          <w:sz w:val="18"/>
          <w:szCs w:val="18"/>
          <w:i w:val="1"/>
          <w:iCs w:val="1"/>
          <w:color w:val="auto"/>
        </w:rPr>
        <w:t>Company</w:t>
      </w:r>
      <w:r>
        <w:rPr>
          <w:rFonts w:ascii="Arial" w:cs="Arial" w:eastAsia="Arial" w:hAnsi="Arial"/>
          <w:sz w:val="18"/>
          <w:szCs w:val="18"/>
          <w:color w:val="auto"/>
        </w:rPr>
        <w:t>”) and Deutsche Bank Trust Company Americas, as Trustee (in such role,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WHEREAS the Company, the Trustee and each of the parties described above are parties to an Indenture, dated as of July 15, 2020, as amended (as amended, supplemented, waived or otherwise modified, the “</w:t>
      </w:r>
      <w:r>
        <w:rPr>
          <w:rFonts w:ascii="Arial" w:cs="Arial" w:eastAsia="Arial" w:hAnsi="Arial"/>
          <w:sz w:val="18"/>
          <w:szCs w:val="18"/>
          <w:i w:val="1"/>
          <w:iCs w:val="1"/>
          <w:color w:val="auto"/>
        </w:rPr>
        <w:t>Indenture</w:t>
      </w:r>
      <w:r>
        <w:rPr>
          <w:rFonts w:ascii="Arial" w:cs="Arial" w:eastAsia="Arial" w:hAnsi="Arial"/>
          <w:sz w:val="18"/>
          <w:szCs w:val="18"/>
          <w:color w:val="auto"/>
        </w:rPr>
        <w:t>”), providing for the issuance of the Company’s 6.000% Senior Notes due 2025;</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9.03 of the Indenture, each New Subsidiary Guarantor is required to execute a supplemental Indenture;</w:t>
      </w:r>
    </w:p>
    <w:p>
      <w:pPr>
        <w:spacing w:after="0" w:line="237"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Subsidiary Guarantor, the Company, the Trustee and the other parties hereto mutually covenant and agree for the equal and ratable benefit of the Holders as follows:</w:t>
      </w:r>
    </w:p>
    <w:p>
      <w:pPr>
        <w:spacing w:after="0" w:line="184" w:lineRule="exact"/>
        <w:rPr>
          <w:sz w:val="20"/>
          <w:szCs w:val="20"/>
          <w:color w:val="auto"/>
        </w:rPr>
      </w:pPr>
    </w:p>
    <w:p>
      <w:pPr>
        <w:ind w:left="760" w:hanging="324"/>
        <w:spacing w:after="0"/>
        <w:tabs>
          <w:tab w:leader="none" w:pos="76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but not defined herein shall have the meanings assigned to them in the Indenture.</w:t>
      </w:r>
    </w:p>
    <w:p>
      <w:pPr>
        <w:spacing w:after="0" w:line="225" w:lineRule="exact"/>
        <w:rPr>
          <w:rFonts w:ascii="Arial" w:cs="Arial" w:eastAsia="Arial" w:hAnsi="Arial"/>
          <w:sz w:val="18"/>
          <w:szCs w:val="18"/>
          <w:color w:val="auto"/>
        </w:rPr>
      </w:pPr>
    </w:p>
    <w:p>
      <w:pPr>
        <w:ind w:right="60" w:firstLine="436"/>
        <w:spacing w:after="0" w:line="287" w:lineRule="auto"/>
        <w:tabs>
          <w:tab w:leader="none" w:pos="755"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xml:space="preserve"> Pursuant to, and subject to the provisions of, Article 11 of the Indenture, [each][the] New Subsidiary Guarantor (which term includes each other New Subsidiary Guarantor that hereinafter guarantees the Notes pursuant to the terms of the Indenture) hereby unconditionally and irrevocably guarantees, jointly and severally with each other New Subsidiary Guarantor and all Subsidiary Guarantors, to each Holder and to the Trustee and their successors and assigns to the extent set forth in the Indenture and subject to the provisions thereof (a) the full and punctual payment when due, whether at Stated Maturity, by acceleration, by redemption or otherwise, of all obligations of the Company under the Indenture (including obligations to the Trustee) and the Notes, whether for payment of principal of, or interest, premium, if any, on, the Notes and all other monetary obligations of the Company under the Indenture and the Notes and (b) the full and punctual performance within applicable grace periods of all other obligations of the Company whether for fees, expenses, indemnification or otherwise under the Indenture and the Notes (all the foregoing being hereinafter collectively called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[Each][The] New Subsidiary Guarantor further agrees that the Guaranteed Obligations may be extended or renewed, in whole or in part, without notice or further assent from such New Subsidiary Guarantor and that such New Subsidiary Guarantor[s] will remain bound under Article 11 of the Indenture, notwithstanding any extension or renewal of any Guaranteed Obligation.</w:t>
      </w:r>
    </w:p>
    <w:p>
      <w:pPr>
        <w:spacing w:after="0" w:line="172"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The Guaranteed Obligations of [each][the] New Subsidiary Guarantor to the Holders of Notes and to the Trustee pursuant to the Indenture as supplemented hereby, are expressly set forth in Article 11 of the Indenture and reference is hereby made to the Indenture for the precise terms of the Note Guarantee.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limitations imposed by local law analogous to Section 11.02 of the Indenture to be inserted, if and as applicable</w:t>
      </w:r>
      <w:r>
        <w:rPr>
          <w:rFonts w:ascii="Arial" w:cs="Arial" w:eastAsia="Arial" w:hAnsi="Arial"/>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0"/>
          </w:cols>
          <w:pgMar w:left="440" w:top="270" w:right="439" w:bottom="1440" w:gutter="0" w:footer="0" w:header="0"/>
        </w:sectPr>
      </w:pPr>
    </w:p>
    <w:bookmarkStart w:id="333" w:name="page334"/>
    <w:bookmarkEnd w:id="333"/>
    <w:p>
      <w:pPr>
        <w:ind w:firstLine="436"/>
        <w:spacing w:after="0" w:line="271" w:lineRule="auto"/>
        <w:tabs>
          <w:tab w:leader="none" w:pos="755"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Ratification of Indenture: Supplemental Indentures Part of Indenture.</w:t>
      </w:r>
      <w:r>
        <w:rPr>
          <w:rFonts w:ascii="Arial" w:cs="Arial" w:eastAsia="Arial" w:hAnsi="Arial"/>
          <w:sz w:val="17"/>
          <w:szCs w:val="17"/>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each Holder, by accepting the Notes whether heretofore or hereafter authenticated and delivered (a) 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[the][each] New Subsidiary Guarantor and each Subsidiary Guarantor shall be released from all its obligations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this Guarantee in accordance with the terms of the Indenture, including Section 11.08 of the Indenture and upon any defeasance of the Notes in accordance with Article 8 of the Indenture.</w:t>
      </w:r>
    </w:p>
    <w:p>
      <w:pPr>
        <w:spacing w:after="0" w:line="178" w:lineRule="exact"/>
        <w:rPr>
          <w:rFonts w:ascii="Arial" w:cs="Arial" w:eastAsia="Arial" w:hAnsi="Arial"/>
          <w:sz w:val="17"/>
          <w:szCs w:val="17"/>
          <w:color w:val="auto"/>
        </w:rPr>
      </w:pPr>
    </w:p>
    <w:p>
      <w:pPr>
        <w:ind w:left="760" w:hanging="324"/>
        <w:spacing w:after="0"/>
        <w:tabs>
          <w:tab w:leader="none" w:pos="760"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SUPPLEMENTAL INDENTURE SHALL BE GOVERNED BY, AND CONSTRUED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LAWS OF THE STATE OF NEW YORK.</w:t>
      </w:r>
    </w:p>
    <w:p>
      <w:pPr>
        <w:spacing w:after="0" w:line="210" w:lineRule="exact"/>
        <w:rPr>
          <w:rFonts w:ascii="Arial" w:cs="Arial" w:eastAsia="Arial" w:hAnsi="Arial"/>
          <w:sz w:val="17"/>
          <w:szCs w:val="17"/>
          <w:color w:val="auto"/>
        </w:rPr>
      </w:pPr>
    </w:p>
    <w:p>
      <w:pPr>
        <w:ind w:right="140" w:firstLine="436"/>
        <w:spacing w:after="0" w:line="277" w:lineRule="auto"/>
        <w:tabs>
          <w:tab w:leader="none" w:pos="755"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Trustee Makes No Representation.</w:t>
      </w:r>
      <w:r>
        <w:rPr>
          <w:rFonts w:ascii="Arial" w:cs="Arial" w:eastAsia="Arial" w:hAnsi="Arial"/>
          <w:sz w:val="18"/>
          <w:szCs w:val="18"/>
          <w:color w:val="auto"/>
        </w:rPr>
        <w:t xml:space="preserve"> The Trustee makes no representation as to the validity or sufficiency of this Supplemental Indenture. The recitals of fact contained herein shall be treated as statements of the other parties hereto and not the Trustee.</w:t>
      </w:r>
    </w:p>
    <w:p>
      <w:pPr>
        <w:spacing w:after="0" w:line="170" w:lineRule="exact"/>
        <w:rPr>
          <w:rFonts w:ascii="Arial" w:cs="Arial" w:eastAsia="Arial" w:hAnsi="Arial"/>
          <w:sz w:val="18"/>
          <w:szCs w:val="18"/>
          <w:color w:val="auto"/>
        </w:rPr>
      </w:pPr>
    </w:p>
    <w:p>
      <w:pPr>
        <w:ind w:right="340" w:firstLine="436"/>
        <w:spacing w:after="0" w:line="277" w:lineRule="auto"/>
        <w:tabs>
          <w:tab w:leader="none" w:pos="755"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shall not affect the construction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000"/>
          </w:cols>
          <w:pgMar w:left="440" w:top="274" w:right="459" w:bottom="1440" w:gutter="0" w:footer="0" w:header="0"/>
        </w:sectPr>
      </w:pPr>
    </w:p>
    <w:bookmarkStart w:id="334" w:name="page335"/>
    <w:bookmarkEnd w:id="334"/>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[NAME OF NEW SUBSIDIARY GUARANTOR], as New</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FINANCE LIMITED, as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DEUTSCHE BANK TRUST COMPANY AMERICAS, as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0900"/>
          </w:cols>
          <w:pgMar w:left="440" w:top="274" w:right="55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2.17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STUDIO CITY FINANCE LIMITED,</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Company</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SUBSIDIARY GUARANTORS PARTIES HERETO,</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6.500%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July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 Paying Agent, Registrar and Transfer Agent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OTHER PERSONS FROM TIME TO TIME PARTY HERETO</w:t>
      </w:r>
    </w:p>
    <w:p>
      <w:pPr>
        <w:sectPr>
          <w:pgSz w:w="11900" w:h="16838" w:orient="portrait"/>
          <w:cols w:equalWidth="0" w:num="1">
            <w:col w:w="10020"/>
          </w:cols>
          <w:pgMar w:left="1440" w:top="121" w:right="43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840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980" w:type="dxa"/>
            <w:vAlign w:val="bottom"/>
          </w:tcPr>
          <w:p>
            <w:pPr>
              <w:spacing w:after="0"/>
              <w:rPr>
                <w:sz w:val="24"/>
                <w:szCs w:val="24"/>
                <w:color w:val="auto"/>
              </w:rPr>
            </w:pPr>
          </w:p>
        </w:tc>
        <w:tc>
          <w:tcPr>
            <w:tcW w:w="8400" w:type="dxa"/>
            <w:vAlign w:val="bottom"/>
            <w:vMerge w:val="restart"/>
          </w:tcPr>
          <w:p>
            <w:pPr>
              <w:jc w:val="center"/>
              <w:ind w:left="510"/>
              <w:spacing w:after="0"/>
              <w:rPr>
                <w:sz w:val="20"/>
                <w:szCs w:val="20"/>
                <w:color w:val="auto"/>
              </w:rPr>
            </w:pPr>
            <w:r>
              <w:rPr>
                <w:rFonts w:ascii="Arial" w:cs="Arial" w:eastAsia="Arial" w:hAnsi="Arial"/>
                <w:sz w:val="18"/>
                <w:szCs w:val="18"/>
                <w:color w:val="auto"/>
                <w:w w:val="96"/>
              </w:rPr>
              <w:t>ARTICLE 1</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840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8400" w:type="dxa"/>
            <w:vAlign w:val="bottom"/>
          </w:tcPr>
          <w:p>
            <w:pPr>
              <w:jc w:val="center"/>
              <w:ind w:left="510"/>
              <w:spacing w:after="0"/>
              <w:rPr>
                <w:sz w:val="20"/>
                <w:szCs w:val="20"/>
                <w:color w:val="auto"/>
              </w:rPr>
            </w:pPr>
            <w:r>
              <w:rPr>
                <w:rFonts w:ascii="Arial" w:cs="Arial" w:eastAsia="Arial" w:hAnsi="Arial"/>
                <w:sz w:val="18"/>
                <w:szCs w:val="18"/>
                <w:color w:val="auto"/>
                <w:w w:val="98"/>
              </w:rPr>
              <w:t>DEFINITIONS</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840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1.02</w:t>
            </w:r>
          </w:p>
        </w:tc>
        <w:tc>
          <w:tcPr>
            <w:tcW w:w="840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Section 1.03  Rules of Construction</w:t>
            </w: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8400" w:type="dxa"/>
            <w:vAlign w:val="bottom"/>
          </w:tcPr>
          <w:p>
            <w:pPr>
              <w:jc w:val="center"/>
              <w:ind w:left="510"/>
              <w:spacing w:after="0"/>
              <w:rPr>
                <w:sz w:val="20"/>
                <w:szCs w:val="20"/>
                <w:color w:val="auto"/>
              </w:rPr>
            </w:pPr>
            <w:r>
              <w:rPr>
                <w:rFonts w:ascii="Arial" w:cs="Arial" w:eastAsia="Arial" w:hAnsi="Arial"/>
                <w:sz w:val="18"/>
                <w:szCs w:val="18"/>
                <w:color w:val="auto"/>
                <w:w w:val="96"/>
              </w:rPr>
              <w:t>ARTICLE 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8400" w:type="dxa"/>
            <w:vAlign w:val="bottom"/>
          </w:tcPr>
          <w:p>
            <w:pPr>
              <w:jc w:val="center"/>
              <w:ind w:left="490"/>
              <w:spacing w:after="0"/>
              <w:rPr>
                <w:sz w:val="20"/>
                <w:szCs w:val="20"/>
                <w:color w:val="auto"/>
              </w:rPr>
            </w:pPr>
            <w:r>
              <w:rPr>
                <w:rFonts w:ascii="Arial" w:cs="Arial" w:eastAsia="Arial" w:hAnsi="Arial"/>
                <w:sz w:val="18"/>
                <w:szCs w:val="18"/>
                <w:color w:val="auto"/>
                <w:w w:val="95"/>
              </w:rPr>
              <w:t>THE NOTES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2.01  Form and Dating</w:t>
            </w: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2.02  Execution and Authentication</w:t>
            </w: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2.03  Registrar, Paying Agent and Transfer Agent</w:t>
            </w: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2.04  Paying Agent to Hold Money in Trust</w:t>
            </w: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2.05</w:t>
            </w:r>
          </w:p>
        </w:tc>
        <w:tc>
          <w:tcPr>
            <w:tcW w:w="8400" w:type="dxa"/>
            <w:vAlign w:val="bottom"/>
          </w:tcPr>
          <w:p>
            <w:pPr>
              <w:ind w:left="100"/>
              <w:spacing w:after="0"/>
              <w:rPr>
                <w:sz w:val="20"/>
                <w:szCs w:val="20"/>
                <w:color w:val="auto"/>
              </w:rPr>
            </w:pPr>
            <w:r>
              <w:rPr>
                <w:rFonts w:ascii="Arial" w:cs="Arial" w:eastAsia="Arial" w:hAnsi="Arial"/>
                <w:sz w:val="18"/>
                <w:szCs w:val="18"/>
                <w:color w:val="auto"/>
              </w:rPr>
              <w:t>Holder Lists</w:t>
            </w: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2.06  Transfer and Exchange</w:t>
            </w:r>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2.07</w:t>
            </w:r>
          </w:p>
        </w:tc>
        <w:tc>
          <w:tcPr>
            <w:tcW w:w="8400" w:type="dxa"/>
            <w:vAlign w:val="bottom"/>
          </w:tcPr>
          <w:p>
            <w:pPr>
              <w:ind w:left="100"/>
              <w:spacing w:after="0"/>
              <w:rPr>
                <w:sz w:val="20"/>
                <w:szCs w:val="20"/>
                <w:color w:val="auto"/>
              </w:rPr>
            </w:pPr>
            <w:r>
              <w:rPr>
                <w:rFonts w:ascii="Arial" w:cs="Arial" w:eastAsia="Arial" w:hAnsi="Arial"/>
                <w:sz w:val="18"/>
                <w:szCs w:val="18"/>
                <w:color w:val="auto"/>
              </w:rPr>
              <w:t>Replacement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2.08</w:t>
            </w:r>
          </w:p>
        </w:tc>
        <w:tc>
          <w:tcPr>
            <w:tcW w:w="8400" w:type="dxa"/>
            <w:vAlign w:val="bottom"/>
          </w:tcPr>
          <w:p>
            <w:pPr>
              <w:ind w:left="100"/>
              <w:spacing w:after="0"/>
              <w:rPr>
                <w:sz w:val="20"/>
                <w:szCs w:val="20"/>
                <w:color w:val="auto"/>
              </w:rPr>
            </w:pPr>
            <w:r>
              <w:rPr>
                <w:rFonts w:ascii="Arial" w:cs="Arial" w:eastAsia="Arial" w:hAnsi="Arial"/>
                <w:sz w:val="18"/>
                <w:szCs w:val="18"/>
                <w:color w:val="auto"/>
              </w:rPr>
              <w:t>Outstanding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2.09</w:t>
            </w:r>
          </w:p>
        </w:tc>
        <w:tc>
          <w:tcPr>
            <w:tcW w:w="8400" w:type="dxa"/>
            <w:vAlign w:val="bottom"/>
          </w:tcPr>
          <w:p>
            <w:pPr>
              <w:ind w:left="100"/>
              <w:spacing w:after="0"/>
              <w:rPr>
                <w:sz w:val="20"/>
                <w:szCs w:val="20"/>
                <w:color w:val="auto"/>
              </w:rPr>
            </w:pPr>
            <w:r>
              <w:rPr>
                <w:rFonts w:ascii="Arial" w:cs="Arial" w:eastAsia="Arial" w:hAnsi="Arial"/>
                <w:sz w:val="18"/>
                <w:szCs w:val="18"/>
                <w:color w:val="auto"/>
              </w:rPr>
              <w:t>Treasury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2.10</w:t>
            </w:r>
          </w:p>
        </w:tc>
        <w:tc>
          <w:tcPr>
            <w:tcW w:w="840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2.11</w:t>
            </w:r>
          </w:p>
        </w:tc>
        <w:tc>
          <w:tcPr>
            <w:tcW w:w="840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2.12</w:t>
            </w:r>
          </w:p>
        </w:tc>
        <w:tc>
          <w:tcPr>
            <w:tcW w:w="8400" w:type="dxa"/>
            <w:vAlign w:val="bottom"/>
          </w:tcPr>
          <w:p>
            <w:pPr>
              <w:ind w:left="100"/>
              <w:spacing w:after="0"/>
              <w:rPr>
                <w:sz w:val="20"/>
                <w:szCs w:val="20"/>
                <w:color w:val="auto"/>
              </w:rPr>
            </w:pPr>
            <w:r>
              <w:rPr>
                <w:rFonts w:ascii="Arial" w:cs="Arial" w:eastAsia="Arial" w:hAnsi="Arial"/>
                <w:sz w:val="18"/>
                <w:szCs w:val="18"/>
                <w:color w:val="auto"/>
              </w:rPr>
              <w:t>Defaulted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2.13</w:t>
            </w:r>
          </w:p>
        </w:tc>
        <w:tc>
          <w:tcPr>
            <w:tcW w:w="8400" w:type="dxa"/>
            <w:vAlign w:val="bottom"/>
          </w:tcPr>
          <w:p>
            <w:pPr>
              <w:ind w:left="100"/>
              <w:spacing w:after="0"/>
              <w:rPr>
                <w:sz w:val="20"/>
                <w:szCs w:val="20"/>
                <w:color w:val="auto"/>
              </w:rPr>
            </w:pPr>
            <w:r>
              <w:rPr>
                <w:rFonts w:ascii="Arial" w:cs="Arial" w:eastAsia="Arial" w:hAnsi="Arial"/>
                <w:sz w:val="18"/>
                <w:szCs w:val="18"/>
                <w:color w:val="auto"/>
              </w:rPr>
              <w:t>Additional Amounts</w:t>
            </w: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Section 2.14  Forced Sale or Redemption for Non-QIBs</w:t>
            </w: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8400" w:type="dxa"/>
            <w:vAlign w:val="bottom"/>
          </w:tcPr>
          <w:p>
            <w:pPr>
              <w:jc w:val="center"/>
              <w:ind w:left="510"/>
              <w:spacing w:after="0"/>
              <w:rPr>
                <w:sz w:val="20"/>
                <w:szCs w:val="20"/>
                <w:color w:val="auto"/>
              </w:rPr>
            </w:pPr>
            <w:r>
              <w:rPr>
                <w:rFonts w:ascii="Arial" w:cs="Arial" w:eastAsia="Arial" w:hAnsi="Arial"/>
                <w:sz w:val="18"/>
                <w:szCs w:val="18"/>
                <w:color w:val="auto"/>
                <w:w w:val="96"/>
              </w:rPr>
              <w:t>ARTICLE 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8400" w:type="dxa"/>
            <w:vAlign w:val="bottom"/>
          </w:tcPr>
          <w:p>
            <w:pPr>
              <w:jc w:val="center"/>
              <w:ind w:left="510"/>
              <w:spacing w:after="0"/>
              <w:rPr>
                <w:sz w:val="20"/>
                <w:szCs w:val="20"/>
                <w:color w:val="auto"/>
              </w:rPr>
            </w:pPr>
            <w:r>
              <w:rPr>
                <w:rFonts w:ascii="Arial" w:cs="Arial" w:eastAsia="Arial" w:hAnsi="Arial"/>
                <w:sz w:val="18"/>
                <w:szCs w:val="18"/>
                <w:color w:val="auto"/>
                <w:w w:val="95"/>
              </w:rPr>
              <w:t>REDEMPTION AND PREPAYMENT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3.01  Notices to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3.02  Selection of Notes to Be Redeemed or Purchased</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3.03  Notice of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3.04  Effect of Notice of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3.05  Deposit of Redemption or Purchase Price</w:t>
            </w: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3.06  Notes Redeemed or Purchased in Part</w:t>
            </w: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3.07</w:t>
            </w:r>
          </w:p>
        </w:tc>
        <w:tc>
          <w:tcPr>
            <w:tcW w:w="8400" w:type="dxa"/>
            <w:vAlign w:val="bottom"/>
          </w:tcPr>
          <w:p>
            <w:pPr>
              <w:ind w:left="100"/>
              <w:spacing w:after="0"/>
              <w:rPr>
                <w:sz w:val="20"/>
                <w:szCs w:val="20"/>
                <w:color w:val="auto"/>
              </w:rPr>
            </w:pPr>
            <w:r>
              <w:rPr>
                <w:rFonts w:ascii="Arial" w:cs="Arial" w:eastAsia="Arial" w:hAnsi="Arial"/>
                <w:sz w:val="18"/>
                <w:szCs w:val="18"/>
                <w:color w:val="auto"/>
              </w:rPr>
              <w:t>Optional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3.08</w:t>
            </w:r>
          </w:p>
        </w:tc>
        <w:tc>
          <w:tcPr>
            <w:tcW w:w="8400" w:type="dxa"/>
            <w:vAlign w:val="bottom"/>
          </w:tcPr>
          <w:p>
            <w:pPr>
              <w:ind w:left="100"/>
              <w:spacing w:after="0"/>
              <w:rPr>
                <w:sz w:val="20"/>
                <w:szCs w:val="20"/>
                <w:color w:val="auto"/>
              </w:rPr>
            </w:pPr>
            <w:r>
              <w:rPr>
                <w:rFonts w:ascii="Arial" w:cs="Arial" w:eastAsia="Arial" w:hAnsi="Arial"/>
                <w:sz w:val="18"/>
                <w:szCs w:val="18"/>
                <w:color w:val="auto"/>
              </w:rPr>
              <w:t>Mandatory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3.09  Offer to Purchase by Application of Excess Proceeds</w:t>
            </w: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3.10  Redemption for Taxation Reasons</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3.11</w:t>
            </w:r>
          </w:p>
        </w:tc>
        <w:tc>
          <w:tcPr>
            <w:tcW w:w="8400" w:type="dxa"/>
            <w:vAlign w:val="bottom"/>
          </w:tcPr>
          <w:p>
            <w:pPr>
              <w:ind w:left="100"/>
              <w:spacing w:after="0"/>
              <w:rPr>
                <w:sz w:val="20"/>
                <w:szCs w:val="20"/>
                <w:color w:val="auto"/>
              </w:rPr>
            </w:pPr>
            <w:r>
              <w:rPr>
                <w:rFonts w:ascii="Arial" w:cs="Arial" w:eastAsia="Arial" w:hAnsi="Arial"/>
                <w:sz w:val="18"/>
                <w:szCs w:val="18"/>
                <w:color w:val="auto"/>
              </w:rPr>
              <w:t>Gaming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8400" w:type="dxa"/>
            <w:vAlign w:val="bottom"/>
          </w:tcPr>
          <w:p>
            <w:pPr>
              <w:jc w:val="center"/>
              <w:ind w:left="510"/>
              <w:spacing w:after="0"/>
              <w:rPr>
                <w:sz w:val="20"/>
                <w:szCs w:val="20"/>
                <w:color w:val="auto"/>
              </w:rPr>
            </w:pPr>
            <w:r>
              <w:rPr>
                <w:rFonts w:ascii="Arial" w:cs="Arial" w:eastAsia="Arial" w:hAnsi="Arial"/>
                <w:sz w:val="18"/>
                <w:szCs w:val="18"/>
                <w:color w:val="auto"/>
                <w:w w:val="96"/>
              </w:rPr>
              <w:t>ARTICLE 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8400" w:type="dxa"/>
            <w:vAlign w:val="bottom"/>
          </w:tcPr>
          <w:p>
            <w:pPr>
              <w:jc w:val="center"/>
              <w:ind w:left="510"/>
              <w:spacing w:after="0"/>
              <w:rPr>
                <w:sz w:val="20"/>
                <w:szCs w:val="20"/>
                <w:color w:val="auto"/>
              </w:rPr>
            </w:pPr>
            <w:r>
              <w:rPr>
                <w:rFonts w:ascii="Arial" w:cs="Arial" w:eastAsia="Arial" w:hAnsi="Arial"/>
                <w:sz w:val="18"/>
                <w:szCs w:val="18"/>
                <w:color w:val="auto"/>
                <w:w w:val="96"/>
              </w:rPr>
              <w:t>COVENANTS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4.01  Payment of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4.03</w:t>
            </w:r>
          </w:p>
        </w:tc>
        <w:tc>
          <w:tcPr>
            <w:tcW w:w="8400" w:type="dxa"/>
            <w:vAlign w:val="bottom"/>
          </w:tcPr>
          <w:p>
            <w:pPr>
              <w:ind w:left="100"/>
              <w:spacing w:after="0"/>
              <w:rPr>
                <w:sz w:val="20"/>
                <w:szCs w:val="20"/>
                <w:color w:val="auto"/>
              </w:rPr>
            </w:pPr>
            <w:r>
              <w:rPr>
                <w:rFonts w:ascii="Arial" w:cs="Arial" w:eastAsia="Arial" w:hAnsi="Arial"/>
                <w:sz w:val="18"/>
                <w:szCs w:val="18"/>
                <w:color w:val="auto"/>
              </w:rPr>
              <w:t>Reports</w:t>
            </w: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4.04</w:t>
            </w:r>
          </w:p>
        </w:tc>
        <w:tc>
          <w:tcPr>
            <w:tcW w:w="840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4.05</w:t>
            </w:r>
          </w:p>
        </w:tc>
        <w:tc>
          <w:tcPr>
            <w:tcW w:w="8400" w:type="dxa"/>
            <w:vAlign w:val="bottom"/>
          </w:tcPr>
          <w:p>
            <w:pPr>
              <w:ind w:left="100"/>
              <w:spacing w:after="0"/>
              <w:rPr>
                <w:sz w:val="20"/>
                <w:szCs w:val="20"/>
                <w:color w:val="auto"/>
              </w:rPr>
            </w:pPr>
            <w:r>
              <w:rPr>
                <w:rFonts w:ascii="Arial" w:cs="Arial" w:eastAsia="Arial" w:hAnsi="Arial"/>
                <w:sz w:val="18"/>
                <w:szCs w:val="18"/>
                <w:color w:val="auto"/>
              </w:rPr>
              <w:t>Taxes</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4.06  Stay, Extension and Usury Laws</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4.07  Limitation on Restricted Payments</w:t>
            </w: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4.08  Dividend and Other Payment Restrictions Affecting Subsidiaries</w:t>
            </w: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4.09  Limitation on Incurrence of Indebtedness and Issuance of Disqualified Stock and Preferred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8400" w:type="dxa"/>
            <w:vAlign w:val="bottom"/>
          </w:tcPr>
          <w:p>
            <w:pPr>
              <w:ind w:left="100"/>
              <w:spacing w:after="0"/>
              <w:rPr>
                <w:sz w:val="20"/>
                <w:szCs w:val="20"/>
                <w:color w:val="auto"/>
              </w:rPr>
            </w:pPr>
            <w:r>
              <w:rPr>
                <w:rFonts w:ascii="Arial" w:cs="Arial" w:eastAsia="Arial" w:hAnsi="Arial"/>
                <w:sz w:val="18"/>
                <w:szCs w:val="18"/>
                <w:color w:val="auto"/>
              </w:rPr>
              <w:t>Asset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Section 4.11  Transactions with Affiliates</w:t>
            </w:r>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4.12</w:t>
            </w:r>
          </w:p>
        </w:tc>
        <w:tc>
          <w:tcPr>
            <w:tcW w:w="8260" w:type="dxa"/>
            <w:vAlign w:val="bottom"/>
          </w:tcPr>
          <w:p>
            <w:pPr>
              <w:ind w:left="100"/>
              <w:spacing w:after="0"/>
              <w:rPr>
                <w:sz w:val="20"/>
                <w:szCs w:val="20"/>
                <w:color w:val="auto"/>
              </w:rPr>
            </w:pPr>
            <w:r>
              <w:rPr>
                <w:rFonts w:ascii="Arial" w:cs="Arial" w:eastAsia="Arial" w:hAnsi="Arial"/>
                <w:sz w:val="18"/>
                <w:szCs w:val="18"/>
                <w:color w:val="auto"/>
              </w:rPr>
              <w:t>Liens</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4.13</w:t>
            </w:r>
          </w:p>
        </w:tc>
        <w:tc>
          <w:tcPr>
            <w:tcW w:w="8260" w:type="dxa"/>
            <w:vAlign w:val="bottom"/>
          </w:tcPr>
          <w:p>
            <w:pPr>
              <w:ind w:left="100"/>
              <w:spacing w:after="0"/>
              <w:rPr>
                <w:sz w:val="20"/>
                <w:szCs w:val="20"/>
                <w:color w:val="auto"/>
              </w:rPr>
            </w:pPr>
            <w:r>
              <w:rPr>
                <w:rFonts w:ascii="Arial" w:cs="Arial" w:eastAsia="Arial" w:hAnsi="Arial"/>
                <w:sz w:val="18"/>
                <w:szCs w:val="18"/>
                <w:color w:val="auto"/>
              </w:rPr>
              <w:t>Business Activities</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4.14</w:t>
            </w:r>
          </w:p>
        </w:tc>
        <w:tc>
          <w:tcPr>
            <w:tcW w:w="8260" w:type="dxa"/>
            <w:vAlign w:val="bottom"/>
          </w:tcPr>
          <w:p>
            <w:pPr>
              <w:ind w:left="100"/>
              <w:spacing w:after="0"/>
              <w:rPr>
                <w:sz w:val="20"/>
                <w:szCs w:val="20"/>
                <w:color w:val="auto"/>
              </w:rPr>
            </w:pPr>
            <w:r>
              <w:rPr>
                <w:rFonts w:ascii="Arial" w:cs="Arial" w:eastAsia="Arial" w:hAnsi="Arial"/>
                <w:sz w:val="18"/>
                <w:szCs w:val="18"/>
                <w:color w:val="auto"/>
              </w:rPr>
              <w:t>Corporate Existence</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4.15  Offer to Repurchase upon Change of Control</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4.16  Payments for Consents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4.17  Future Subsidiary Guarantors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4.18  Designation of Restricted and Unrestricted Subsidiaries</w:t>
            </w:r>
          </w:p>
        </w:tc>
        <w:tc>
          <w:tcPr>
            <w:tcW w:w="1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4.19</w:t>
            </w:r>
          </w:p>
        </w:tc>
        <w:tc>
          <w:tcPr>
            <w:tcW w:w="8260" w:type="dxa"/>
            <w:vAlign w:val="bottom"/>
          </w:tcPr>
          <w:p>
            <w:pPr>
              <w:ind w:left="100"/>
              <w:spacing w:after="0"/>
              <w:rPr>
                <w:sz w:val="20"/>
                <w:szCs w:val="20"/>
                <w:color w:val="auto"/>
              </w:rPr>
            </w:pPr>
            <w:r>
              <w:rPr>
                <w:rFonts w:ascii="Arial" w:cs="Arial" w:eastAsia="Arial" w:hAnsi="Arial"/>
                <w:sz w:val="18"/>
                <w:szCs w:val="18"/>
                <w:color w:val="auto"/>
              </w:rPr>
              <w:t>Listing</w:t>
            </w: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4.20  Limitations on Use of Proceeds</w:t>
            </w: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4.21  Special Put Option</w:t>
            </w: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4.22  Intercompany Note Proceeds Loans</w:t>
            </w:r>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Section 4.23  Suspension of Covenants</w:t>
            </w: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0"/>
        </w:trPr>
        <w:tc>
          <w:tcPr>
            <w:tcW w:w="980" w:type="dxa"/>
            <w:vAlign w:val="bottom"/>
          </w:tcPr>
          <w:p>
            <w:pPr>
              <w:spacing w:after="0"/>
              <w:rPr>
                <w:sz w:val="24"/>
                <w:szCs w:val="24"/>
                <w:color w:val="auto"/>
              </w:rPr>
            </w:pPr>
          </w:p>
        </w:tc>
        <w:tc>
          <w:tcPr>
            <w:tcW w:w="8260" w:type="dxa"/>
            <w:vAlign w:val="bottom"/>
          </w:tcPr>
          <w:p>
            <w:pPr>
              <w:jc w:val="center"/>
              <w:ind w:left="650"/>
              <w:spacing w:after="0"/>
              <w:rPr>
                <w:sz w:val="20"/>
                <w:szCs w:val="20"/>
                <w:color w:val="auto"/>
              </w:rPr>
            </w:pPr>
            <w:r>
              <w:rPr>
                <w:rFonts w:ascii="Arial" w:cs="Arial" w:eastAsia="Arial" w:hAnsi="Arial"/>
                <w:sz w:val="18"/>
                <w:szCs w:val="18"/>
                <w:color w:val="auto"/>
                <w:w w:val="96"/>
              </w:rPr>
              <w:t>ARTICLE 5</w:t>
            </w:r>
          </w:p>
        </w:tc>
        <w:tc>
          <w:tcPr>
            <w:tcW w:w="172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8260" w:type="dxa"/>
            <w:vAlign w:val="bottom"/>
          </w:tcPr>
          <w:p>
            <w:pPr>
              <w:jc w:val="center"/>
              <w:ind w:left="650"/>
              <w:spacing w:after="0"/>
              <w:rPr>
                <w:sz w:val="20"/>
                <w:szCs w:val="20"/>
                <w:color w:val="auto"/>
              </w:rPr>
            </w:pPr>
            <w:r>
              <w:rPr>
                <w:rFonts w:ascii="Arial" w:cs="Arial" w:eastAsia="Arial" w:hAnsi="Arial"/>
                <w:sz w:val="18"/>
                <w:szCs w:val="18"/>
                <w:color w:val="auto"/>
                <w:w w:val="88"/>
              </w:rPr>
              <w:t>SUCCESSORS</w:t>
            </w:r>
          </w:p>
        </w:tc>
        <w:tc>
          <w:tcPr>
            <w:tcW w:w="1720" w:type="dxa"/>
            <w:vAlign w:val="bottom"/>
          </w:tcPr>
          <w:p>
            <w:pPr>
              <w:spacing w:after="0"/>
              <w:rPr>
                <w:sz w:val="20"/>
                <w:szCs w:val="20"/>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Section 5.01  Merger, Consolidation, or Sale of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Section 5.02  Successor Corporation Substituted</w:t>
            </w:r>
          </w:p>
        </w:tc>
        <w:tc>
          <w:tcPr>
            <w:tcW w:w="1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980" w:type="dxa"/>
            <w:vAlign w:val="bottom"/>
          </w:tcPr>
          <w:p>
            <w:pPr>
              <w:spacing w:after="0"/>
              <w:rPr>
                <w:sz w:val="24"/>
                <w:szCs w:val="24"/>
                <w:color w:val="auto"/>
              </w:rPr>
            </w:pPr>
          </w:p>
        </w:tc>
        <w:tc>
          <w:tcPr>
            <w:tcW w:w="8260" w:type="dxa"/>
            <w:vAlign w:val="bottom"/>
          </w:tcPr>
          <w:p>
            <w:pPr>
              <w:jc w:val="center"/>
              <w:ind w:left="650"/>
              <w:spacing w:after="0"/>
              <w:rPr>
                <w:sz w:val="20"/>
                <w:szCs w:val="20"/>
                <w:color w:val="auto"/>
              </w:rPr>
            </w:pPr>
            <w:r>
              <w:rPr>
                <w:rFonts w:ascii="Arial" w:cs="Arial" w:eastAsia="Arial" w:hAnsi="Arial"/>
                <w:sz w:val="18"/>
                <w:szCs w:val="18"/>
                <w:color w:val="auto"/>
                <w:w w:val="96"/>
              </w:rPr>
              <w:t>ARTICLE 6</w:t>
            </w:r>
          </w:p>
        </w:tc>
        <w:tc>
          <w:tcPr>
            <w:tcW w:w="1720" w:type="dxa"/>
            <w:vAlign w:val="bottom"/>
          </w:tcPr>
          <w:p>
            <w:pPr>
              <w:spacing w:after="0"/>
              <w:rPr>
                <w:sz w:val="24"/>
                <w:szCs w:val="24"/>
                <w:color w:val="auto"/>
              </w:rPr>
            </w:pPr>
          </w:p>
        </w:tc>
      </w:tr>
      <w:tr>
        <w:trPr>
          <w:trHeight w:val="230"/>
        </w:trPr>
        <w:tc>
          <w:tcPr>
            <w:tcW w:w="980" w:type="dxa"/>
            <w:vAlign w:val="bottom"/>
          </w:tcPr>
          <w:p>
            <w:pPr>
              <w:spacing w:after="0"/>
              <w:rPr>
                <w:sz w:val="19"/>
                <w:szCs w:val="19"/>
                <w:color w:val="auto"/>
              </w:rPr>
            </w:pPr>
          </w:p>
        </w:tc>
        <w:tc>
          <w:tcPr>
            <w:tcW w:w="8260" w:type="dxa"/>
            <w:vAlign w:val="bottom"/>
          </w:tcPr>
          <w:p>
            <w:pPr>
              <w:jc w:val="center"/>
              <w:ind w:left="650"/>
              <w:spacing w:after="0"/>
              <w:rPr>
                <w:sz w:val="20"/>
                <w:szCs w:val="20"/>
                <w:color w:val="auto"/>
              </w:rPr>
            </w:pPr>
            <w:r>
              <w:rPr>
                <w:rFonts w:ascii="Arial" w:cs="Arial" w:eastAsia="Arial" w:hAnsi="Arial"/>
                <w:sz w:val="18"/>
                <w:szCs w:val="18"/>
                <w:color w:val="auto"/>
                <w:w w:val="96"/>
              </w:rPr>
              <w:t>DEFAULTS AND REMEDIES</w:t>
            </w:r>
          </w:p>
        </w:tc>
        <w:tc>
          <w:tcPr>
            <w:tcW w:w="1720" w:type="dxa"/>
            <w:vAlign w:val="bottom"/>
          </w:tcPr>
          <w:p>
            <w:pPr>
              <w:spacing w:after="0"/>
              <w:rPr>
                <w:sz w:val="19"/>
                <w:szCs w:val="19"/>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6.01  Events of Default</w:t>
            </w:r>
          </w:p>
        </w:tc>
        <w:tc>
          <w:tcPr>
            <w:tcW w:w="1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6.02</w:t>
            </w:r>
          </w:p>
        </w:tc>
        <w:tc>
          <w:tcPr>
            <w:tcW w:w="8260" w:type="dxa"/>
            <w:vAlign w:val="bottom"/>
          </w:tcPr>
          <w:p>
            <w:pPr>
              <w:ind w:left="100"/>
              <w:spacing w:after="0"/>
              <w:rPr>
                <w:sz w:val="20"/>
                <w:szCs w:val="20"/>
                <w:color w:val="auto"/>
              </w:rPr>
            </w:pPr>
            <w:r>
              <w:rPr>
                <w:rFonts w:ascii="Arial" w:cs="Arial" w:eastAsia="Arial" w:hAnsi="Arial"/>
                <w:sz w:val="18"/>
                <w:szCs w:val="18"/>
                <w:color w:val="auto"/>
              </w:rPr>
              <w:t>Acceleration</w:t>
            </w: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6.03</w:t>
            </w:r>
          </w:p>
        </w:tc>
        <w:tc>
          <w:tcPr>
            <w:tcW w:w="8260" w:type="dxa"/>
            <w:vAlign w:val="bottom"/>
          </w:tcPr>
          <w:p>
            <w:pPr>
              <w:ind w:left="100"/>
              <w:spacing w:after="0"/>
              <w:rPr>
                <w:sz w:val="20"/>
                <w:szCs w:val="20"/>
                <w:color w:val="auto"/>
              </w:rPr>
            </w:pPr>
            <w:r>
              <w:rPr>
                <w:rFonts w:ascii="Arial" w:cs="Arial" w:eastAsia="Arial" w:hAnsi="Arial"/>
                <w:sz w:val="18"/>
                <w:szCs w:val="18"/>
                <w:color w:val="auto"/>
              </w:rPr>
              <w:t>Other Remedies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6.04  Waiver of Past Defaults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6.06  Limitation on Suits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6.07  Rights of Holders to Receive Payment</w:t>
            </w: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6.08  Collection Suit by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6.09  Trustee May File Proofs of Claim</w:t>
            </w: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6.10</w:t>
            </w:r>
          </w:p>
        </w:tc>
        <w:tc>
          <w:tcPr>
            <w:tcW w:w="826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Section 6.11  Undertaking for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0"/>
        </w:trPr>
        <w:tc>
          <w:tcPr>
            <w:tcW w:w="980" w:type="dxa"/>
            <w:vAlign w:val="bottom"/>
          </w:tcPr>
          <w:p>
            <w:pPr>
              <w:spacing w:after="0"/>
              <w:rPr>
                <w:sz w:val="24"/>
                <w:szCs w:val="24"/>
                <w:color w:val="auto"/>
              </w:rPr>
            </w:pPr>
          </w:p>
        </w:tc>
        <w:tc>
          <w:tcPr>
            <w:tcW w:w="8260" w:type="dxa"/>
            <w:vAlign w:val="bottom"/>
          </w:tcPr>
          <w:p>
            <w:pPr>
              <w:jc w:val="center"/>
              <w:ind w:left="650"/>
              <w:spacing w:after="0"/>
              <w:rPr>
                <w:sz w:val="20"/>
                <w:szCs w:val="20"/>
                <w:color w:val="auto"/>
              </w:rPr>
            </w:pPr>
            <w:r>
              <w:rPr>
                <w:rFonts w:ascii="Arial" w:cs="Arial" w:eastAsia="Arial" w:hAnsi="Arial"/>
                <w:sz w:val="18"/>
                <w:szCs w:val="18"/>
                <w:color w:val="auto"/>
                <w:w w:val="96"/>
              </w:rPr>
              <w:t>ARTICLE 7</w:t>
            </w:r>
          </w:p>
        </w:tc>
        <w:tc>
          <w:tcPr>
            <w:tcW w:w="172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8260" w:type="dxa"/>
            <w:vAlign w:val="bottom"/>
          </w:tcPr>
          <w:p>
            <w:pPr>
              <w:jc w:val="center"/>
              <w:ind w:left="650"/>
              <w:spacing w:after="0"/>
              <w:rPr>
                <w:sz w:val="20"/>
                <w:szCs w:val="20"/>
                <w:color w:val="auto"/>
              </w:rPr>
            </w:pPr>
            <w:r>
              <w:rPr>
                <w:rFonts w:ascii="Arial" w:cs="Arial" w:eastAsia="Arial" w:hAnsi="Arial"/>
                <w:sz w:val="18"/>
                <w:szCs w:val="18"/>
                <w:color w:val="auto"/>
                <w:w w:val="95"/>
              </w:rPr>
              <w:t>TRUSTEE</w:t>
            </w:r>
          </w:p>
        </w:tc>
        <w:tc>
          <w:tcPr>
            <w:tcW w:w="1720" w:type="dxa"/>
            <w:vAlign w:val="bottom"/>
          </w:tcPr>
          <w:p>
            <w:pPr>
              <w:spacing w:after="0"/>
              <w:rPr>
                <w:sz w:val="20"/>
                <w:szCs w:val="20"/>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Section 7.01  Duties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7.02  Rights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7.03</w:t>
            </w:r>
          </w:p>
        </w:tc>
        <w:tc>
          <w:tcPr>
            <w:tcW w:w="826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7.04  Individual Rights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7.05</w:t>
            </w:r>
          </w:p>
        </w:tc>
        <w:tc>
          <w:tcPr>
            <w:tcW w:w="826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7.06  Notice of Defaults</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7.07</w:t>
            </w:r>
          </w:p>
        </w:tc>
        <w:tc>
          <w:tcPr>
            <w:tcW w:w="826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7.08  Compensation and Indemnity</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7.09  Replacement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7.10  Successor Trustee by Merger, etc.</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7.11</w:t>
            </w:r>
          </w:p>
        </w:tc>
        <w:tc>
          <w:tcPr>
            <w:tcW w:w="826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7.12  Appointment of Co-Trustee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7.13  Resignation of Agents</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7.14  Agents General Provisions</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Section 7.15  Rights of Trustee in Other Roles</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0"/>
        </w:trPr>
        <w:tc>
          <w:tcPr>
            <w:tcW w:w="980" w:type="dxa"/>
            <w:vAlign w:val="bottom"/>
          </w:tcPr>
          <w:p>
            <w:pPr>
              <w:spacing w:after="0"/>
              <w:rPr>
                <w:sz w:val="24"/>
                <w:szCs w:val="24"/>
                <w:color w:val="auto"/>
              </w:rPr>
            </w:pPr>
          </w:p>
        </w:tc>
        <w:tc>
          <w:tcPr>
            <w:tcW w:w="8260" w:type="dxa"/>
            <w:vAlign w:val="bottom"/>
          </w:tcPr>
          <w:p>
            <w:pPr>
              <w:jc w:val="center"/>
              <w:ind w:left="650"/>
              <w:spacing w:after="0"/>
              <w:rPr>
                <w:sz w:val="20"/>
                <w:szCs w:val="20"/>
                <w:color w:val="auto"/>
              </w:rPr>
            </w:pPr>
            <w:r>
              <w:rPr>
                <w:rFonts w:ascii="Arial" w:cs="Arial" w:eastAsia="Arial" w:hAnsi="Arial"/>
                <w:sz w:val="18"/>
                <w:szCs w:val="18"/>
                <w:color w:val="auto"/>
                <w:w w:val="96"/>
              </w:rPr>
              <w:t>ARTICLE 8</w:t>
            </w:r>
          </w:p>
        </w:tc>
        <w:tc>
          <w:tcPr>
            <w:tcW w:w="172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8260" w:type="dxa"/>
            <w:vAlign w:val="bottom"/>
          </w:tcPr>
          <w:p>
            <w:pPr>
              <w:jc w:val="center"/>
              <w:ind w:left="650"/>
              <w:spacing w:after="0"/>
              <w:rPr>
                <w:sz w:val="20"/>
                <w:szCs w:val="20"/>
                <w:color w:val="auto"/>
              </w:rPr>
            </w:pPr>
            <w:r>
              <w:rPr>
                <w:rFonts w:ascii="Arial" w:cs="Arial" w:eastAsia="Arial" w:hAnsi="Arial"/>
                <w:sz w:val="18"/>
                <w:szCs w:val="18"/>
                <w:color w:val="auto"/>
                <w:w w:val="97"/>
              </w:rPr>
              <w:t>LEGAL DEFEASANCE AND COVENANT DEFEASANCE</w:t>
            </w:r>
          </w:p>
        </w:tc>
        <w:tc>
          <w:tcPr>
            <w:tcW w:w="1720" w:type="dxa"/>
            <w:vAlign w:val="bottom"/>
          </w:tcPr>
          <w:p>
            <w:pPr>
              <w:spacing w:after="0"/>
              <w:rPr>
                <w:sz w:val="20"/>
                <w:szCs w:val="20"/>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Section 8.02  Legal Defeasance and Discharge</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8.03</w:t>
            </w:r>
          </w:p>
        </w:tc>
        <w:tc>
          <w:tcPr>
            <w:tcW w:w="8260" w:type="dxa"/>
            <w:vAlign w:val="bottom"/>
          </w:tcPr>
          <w:p>
            <w:pPr>
              <w:ind w:left="100"/>
              <w:spacing w:after="0"/>
              <w:rPr>
                <w:sz w:val="20"/>
                <w:szCs w:val="20"/>
                <w:color w:val="auto"/>
              </w:rPr>
            </w:pPr>
            <w:r>
              <w:rPr>
                <w:rFonts w:ascii="Arial" w:cs="Arial" w:eastAsia="Arial" w:hAnsi="Arial"/>
                <w:sz w:val="18"/>
                <w:szCs w:val="18"/>
                <w:color w:val="auto"/>
              </w:rPr>
              <w:t>Covenant Defeasance</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8.04</w:t>
            </w:r>
          </w:p>
        </w:tc>
        <w:tc>
          <w:tcPr>
            <w:tcW w:w="8640" w:type="dxa"/>
            <w:vAlign w:val="bottom"/>
          </w:tcPr>
          <w:p>
            <w:pPr>
              <w:ind w:left="100"/>
              <w:spacing w:after="0"/>
              <w:rPr>
                <w:sz w:val="20"/>
                <w:szCs w:val="20"/>
                <w:color w:val="auto"/>
              </w:rPr>
            </w:pPr>
            <w:r>
              <w:rPr>
                <w:rFonts w:ascii="Arial" w:cs="Arial" w:eastAsia="Arial" w:hAnsi="Arial"/>
                <w:sz w:val="18"/>
                <w:szCs w:val="18"/>
                <w:color w:val="auto"/>
              </w:rPr>
              <w:t>Conditions to Legal or Covenant Defeasance</w:t>
            </w: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8.05</w:t>
            </w:r>
          </w:p>
        </w:tc>
        <w:tc>
          <w:tcPr>
            <w:tcW w:w="8640" w:type="dxa"/>
            <w:vAlign w:val="bottom"/>
          </w:tcPr>
          <w:p>
            <w:pPr>
              <w:ind w:left="10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8.06</w:t>
            </w:r>
          </w:p>
        </w:tc>
        <w:tc>
          <w:tcPr>
            <w:tcW w:w="8640" w:type="dxa"/>
            <w:vAlign w:val="bottom"/>
          </w:tcPr>
          <w:p>
            <w:pPr>
              <w:ind w:left="100"/>
              <w:spacing w:after="0"/>
              <w:rPr>
                <w:sz w:val="20"/>
                <w:szCs w:val="20"/>
                <w:color w:val="auto"/>
              </w:rPr>
            </w:pPr>
            <w:r>
              <w:rPr>
                <w:rFonts w:ascii="Arial" w:cs="Arial" w:eastAsia="Arial" w:hAnsi="Arial"/>
                <w:sz w:val="18"/>
                <w:szCs w:val="18"/>
                <w:color w:val="auto"/>
              </w:rPr>
              <w:t>Repayment to Company</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8.07</w:t>
            </w:r>
          </w:p>
        </w:tc>
        <w:tc>
          <w:tcPr>
            <w:tcW w:w="864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10"/>
        </w:trPr>
        <w:tc>
          <w:tcPr>
            <w:tcW w:w="1080" w:type="dxa"/>
            <w:vAlign w:val="bottom"/>
          </w:tcPr>
          <w:p>
            <w:pPr>
              <w:spacing w:after="0"/>
              <w:rPr>
                <w:sz w:val="24"/>
                <w:szCs w:val="24"/>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6"/>
              </w:rPr>
              <w:t>ARTICLE 9</w:t>
            </w:r>
          </w:p>
        </w:tc>
        <w:tc>
          <w:tcPr>
            <w:tcW w:w="1240" w:type="dxa"/>
            <w:vAlign w:val="bottom"/>
          </w:tcPr>
          <w:p>
            <w:pPr>
              <w:spacing w:after="0"/>
              <w:rPr>
                <w:sz w:val="24"/>
                <w:szCs w:val="24"/>
                <w:color w:val="auto"/>
              </w:rPr>
            </w:pPr>
          </w:p>
        </w:tc>
      </w:tr>
      <w:tr>
        <w:trPr>
          <w:trHeight w:val="229"/>
        </w:trPr>
        <w:tc>
          <w:tcPr>
            <w:tcW w:w="1080" w:type="dxa"/>
            <w:vAlign w:val="bottom"/>
          </w:tcPr>
          <w:p>
            <w:pPr>
              <w:spacing w:after="0"/>
              <w:rPr>
                <w:sz w:val="19"/>
                <w:szCs w:val="19"/>
                <w:color w:val="auto"/>
              </w:rPr>
            </w:pPr>
          </w:p>
        </w:tc>
        <w:tc>
          <w:tcPr>
            <w:tcW w:w="8640" w:type="dxa"/>
            <w:vAlign w:val="bottom"/>
          </w:tcPr>
          <w:p>
            <w:pPr>
              <w:jc w:val="center"/>
              <w:ind w:left="50"/>
              <w:spacing w:after="0"/>
              <w:rPr>
                <w:sz w:val="20"/>
                <w:szCs w:val="20"/>
                <w:color w:val="auto"/>
              </w:rPr>
            </w:pPr>
            <w:r>
              <w:rPr>
                <w:rFonts w:ascii="Arial" w:cs="Arial" w:eastAsia="Arial" w:hAnsi="Arial"/>
                <w:sz w:val="18"/>
                <w:szCs w:val="18"/>
                <w:color w:val="auto"/>
                <w:w w:val="97"/>
              </w:rPr>
              <w:t>AMENDMENT, SUPPLEMENT AND WAIVER</w:t>
            </w:r>
          </w:p>
        </w:tc>
        <w:tc>
          <w:tcPr>
            <w:tcW w:w="1240" w:type="dxa"/>
            <w:vAlign w:val="bottom"/>
          </w:tcPr>
          <w:p>
            <w:pPr>
              <w:spacing w:after="0"/>
              <w:rPr>
                <w:sz w:val="19"/>
                <w:szCs w:val="19"/>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9.01</w:t>
            </w:r>
          </w:p>
        </w:tc>
        <w:tc>
          <w:tcPr>
            <w:tcW w:w="8640" w:type="dxa"/>
            <w:vAlign w:val="bottom"/>
          </w:tcPr>
          <w:p>
            <w:pPr>
              <w:ind w:left="100"/>
              <w:spacing w:after="0"/>
              <w:rPr>
                <w:sz w:val="20"/>
                <w:szCs w:val="20"/>
                <w:color w:val="auto"/>
              </w:rPr>
            </w:pPr>
            <w:r>
              <w:rPr>
                <w:rFonts w:ascii="Arial" w:cs="Arial" w:eastAsia="Arial" w:hAnsi="Arial"/>
                <w:sz w:val="18"/>
                <w:szCs w:val="18"/>
                <w:color w:val="auto"/>
              </w:rPr>
              <w:t>Without Consent of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9.02</w:t>
            </w:r>
          </w:p>
        </w:tc>
        <w:tc>
          <w:tcPr>
            <w:tcW w:w="8640" w:type="dxa"/>
            <w:vAlign w:val="bottom"/>
          </w:tcPr>
          <w:p>
            <w:pPr>
              <w:ind w:left="100"/>
              <w:spacing w:after="0"/>
              <w:rPr>
                <w:sz w:val="20"/>
                <w:szCs w:val="20"/>
                <w:color w:val="auto"/>
              </w:rPr>
            </w:pPr>
            <w:r>
              <w:rPr>
                <w:rFonts w:ascii="Arial" w:cs="Arial" w:eastAsia="Arial" w:hAnsi="Arial"/>
                <w:sz w:val="18"/>
                <w:szCs w:val="18"/>
                <w:color w:val="auto"/>
              </w:rPr>
              <w:t>With Consent of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9.03</w:t>
            </w:r>
          </w:p>
        </w:tc>
        <w:tc>
          <w:tcPr>
            <w:tcW w:w="8640" w:type="dxa"/>
            <w:vAlign w:val="bottom"/>
          </w:tcPr>
          <w:p>
            <w:pPr>
              <w:ind w:left="100"/>
              <w:spacing w:after="0"/>
              <w:rPr>
                <w:sz w:val="20"/>
                <w:szCs w:val="20"/>
                <w:color w:val="auto"/>
              </w:rPr>
            </w:pPr>
            <w:r>
              <w:rPr>
                <w:rFonts w:ascii="Arial" w:cs="Arial" w:eastAsia="Arial" w:hAnsi="Arial"/>
                <w:sz w:val="18"/>
                <w:szCs w:val="18"/>
                <w:color w:val="auto"/>
              </w:rPr>
              <w:t>Supplemental Indenture</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9.04</w:t>
            </w:r>
          </w:p>
        </w:tc>
        <w:tc>
          <w:tcPr>
            <w:tcW w:w="8640" w:type="dxa"/>
            <w:vAlign w:val="bottom"/>
          </w:tcPr>
          <w:p>
            <w:pPr>
              <w:ind w:left="100"/>
              <w:spacing w:after="0"/>
              <w:rPr>
                <w:sz w:val="20"/>
                <w:szCs w:val="20"/>
                <w:color w:val="auto"/>
              </w:rPr>
            </w:pPr>
            <w:r>
              <w:rPr>
                <w:rFonts w:ascii="Arial" w:cs="Arial" w:eastAsia="Arial" w:hAnsi="Arial"/>
                <w:sz w:val="18"/>
                <w:szCs w:val="18"/>
                <w:color w:val="auto"/>
              </w:rPr>
              <w:t>Revocation and Effect of Consents</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9.05</w:t>
            </w:r>
          </w:p>
        </w:tc>
        <w:tc>
          <w:tcPr>
            <w:tcW w:w="8640" w:type="dxa"/>
            <w:vAlign w:val="bottom"/>
          </w:tcPr>
          <w:p>
            <w:pPr>
              <w:ind w:left="100"/>
              <w:spacing w:after="0"/>
              <w:rPr>
                <w:sz w:val="20"/>
                <w:szCs w:val="20"/>
                <w:color w:val="auto"/>
              </w:rPr>
            </w:pPr>
            <w:r>
              <w:rPr>
                <w:rFonts w:ascii="Arial" w:cs="Arial" w:eastAsia="Arial" w:hAnsi="Arial"/>
                <w:sz w:val="18"/>
                <w:szCs w:val="18"/>
                <w:color w:val="auto"/>
              </w:rPr>
              <w:t>Notation on or Exchange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9.06</w:t>
            </w:r>
          </w:p>
        </w:tc>
        <w:tc>
          <w:tcPr>
            <w:tcW w:w="8640" w:type="dxa"/>
            <w:vAlign w:val="bottom"/>
          </w:tcPr>
          <w:p>
            <w:pPr>
              <w:ind w:left="100"/>
              <w:spacing w:after="0"/>
              <w:rPr>
                <w:sz w:val="20"/>
                <w:szCs w:val="20"/>
                <w:color w:val="auto"/>
              </w:rPr>
            </w:pPr>
            <w:r>
              <w:rPr>
                <w:rFonts w:ascii="Arial" w:cs="Arial" w:eastAsia="Arial" w:hAnsi="Arial"/>
                <w:sz w:val="18"/>
                <w:szCs w:val="18"/>
                <w:color w:val="auto"/>
              </w:rPr>
              <w:t>Trustee to Sign Amendments, etc.</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10"/>
        </w:trPr>
        <w:tc>
          <w:tcPr>
            <w:tcW w:w="1080" w:type="dxa"/>
            <w:vAlign w:val="bottom"/>
          </w:tcPr>
          <w:p>
            <w:pPr>
              <w:spacing w:after="0"/>
              <w:rPr>
                <w:sz w:val="24"/>
                <w:szCs w:val="24"/>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4"/>
              </w:rPr>
              <w:t>ARTICLE 10</w:t>
            </w:r>
          </w:p>
        </w:tc>
        <w:tc>
          <w:tcPr>
            <w:tcW w:w="12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6"/>
              </w:rPr>
              <w:t>[Intentionally omitted]</w:t>
            </w:r>
          </w:p>
        </w:tc>
        <w:tc>
          <w:tcPr>
            <w:tcW w:w="1240" w:type="dxa"/>
            <w:vAlign w:val="bottom"/>
          </w:tcPr>
          <w:p>
            <w:pPr>
              <w:spacing w:after="0"/>
              <w:rPr>
                <w:sz w:val="20"/>
                <w:szCs w:val="20"/>
                <w:color w:val="auto"/>
              </w:rPr>
            </w:pPr>
          </w:p>
        </w:tc>
      </w:tr>
      <w:tr>
        <w:trPr>
          <w:trHeight w:val="323"/>
        </w:trPr>
        <w:tc>
          <w:tcPr>
            <w:tcW w:w="1080" w:type="dxa"/>
            <w:vAlign w:val="bottom"/>
          </w:tcPr>
          <w:p>
            <w:pPr>
              <w:spacing w:after="0"/>
              <w:rPr>
                <w:sz w:val="24"/>
                <w:szCs w:val="24"/>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4"/>
              </w:rPr>
              <w:t>ARTICLE 11</w:t>
            </w:r>
          </w:p>
        </w:tc>
        <w:tc>
          <w:tcPr>
            <w:tcW w:w="12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6"/>
              </w:rPr>
              <w:t>NOTE GUARANTEES</w:t>
            </w:r>
          </w:p>
        </w:tc>
        <w:tc>
          <w:tcPr>
            <w:tcW w:w="1240" w:type="dxa"/>
            <w:vAlign w:val="bottom"/>
          </w:tcPr>
          <w:p>
            <w:pPr>
              <w:spacing w:after="0"/>
              <w:rPr>
                <w:sz w:val="20"/>
                <w:szCs w:val="20"/>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8"/>
                <w:szCs w:val="18"/>
                <w:color w:val="auto"/>
                <w:w w:val="96"/>
              </w:rPr>
              <w:t>Section 11.01</w:t>
            </w:r>
          </w:p>
        </w:tc>
        <w:tc>
          <w:tcPr>
            <w:tcW w:w="8640" w:type="dxa"/>
            <w:vAlign w:val="bottom"/>
          </w:tcPr>
          <w:p>
            <w:pPr>
              <w:ind w:left="100"/>
              <w:spacing w:after="0"/>
              <w:rPr>
                <w:sz w:val="20"/>
                <w:szCs w:val="20"/>
                <w:color w:val="auto"/>
              </w:rPr>
            </w:pPr>
            <w:r>
              <w:rPr>
                <w:rFonts w:ascii="Arial" w:cs="Arial" w:eastAsia="Arial" w:hAnsi="Arial"/>
                <w:sz w:val="18"/>
                <w:szCs w:val="18"/>
                <w:color w:val="auto"/>
              </w:rPr>
              <w:t>Guarantee</w:t>
            </w: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11.02</w:t>
            </w:r>
          </w:p>
        </w:tc>
        <w:tc>
          <w:tcPr>
            <w:tcW w:w="8640" w:type="dxa"/>
            <w:vAlign w:val="bottom"/>
          </w:tcPr>
          <w:p>
            <w:pPr>
              <w:ind w:left="100"/>
              <w:spacing w:after="0"/>
              <w:rPr>
                <w:sz w:val="20"/>
                <w:szCs w:val="20"/>
                <w:color w:val="auto"/>
              </w:rPr>
            </w:pPr>
            <w:r>
              <w:rPr>
                <w:rFonts w:ascii="Arial" w:cs="Arial" w:eastAsia="Arial" w:hAnsi="Arial"/>
                <w:sz w:val="18"/>
                <w:szCs w:val="18"/>
                <w:color w:val="auto"/>
              </w:rPr>
              <w:t>Limitation on Liability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11.03</w:t>
            </w:r>
          </w:p>
        </w:tc>
        <w:tc>
          <w:tcPr>
            <w:tcW w:w="864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11.04</w:t>
            </w:r>
          </w:p>
        </w:tc>
        <w:tc>
          <w:tcPr>
            <w:tcW w:w="8640" w:type="dxa"/>
            <w:vAlign w:val="bottom"/>
          </w:tcPr>
          <w:p>
            <w:pPr>
              <w:ind w:left="100"/>
              <w:spacing w:after="0"/>
              <w:rPr>
                <w:sz w:val="20"/>
                <w:szCs w:val="20"/>
                <w:color w:val="auto"/>
              </w:rPr>
            </w:pPr>
            <w:r>
              <w:rPr>
                <w:rFonts w:ascii="Arial" w:cs="Arial" w:eastAsia="Arial" w:hAnsi="Arial"/>
                <w:sz w:val="18"/>
                <w:szCs w:val="18"/>
                <w:color w:val="auto"/>
              </w:rPr>
              <w:t>No Waiver</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11.05</w:t>
            </w:r>
          </w:p>
        </w:tc>
        <w:tc>
          <w:tcPr>
            <w:tcW w:w="8640" w:type="dxa"/>
            <w:vAlign w:val="bottom"/>
          </w:tcPr>
          <w:p>
            <w:pPr>
              <w:ind w:left="100"/>
              <w:spacing w:after="0"/>
              <w:rPr>
                <w:sz w:val="20"/>
                <w:szCs w:val="20"/>
                <w:color w:val="auto"/>
              </w:rPr>
            </w:pPr>
            <w:r>
              <w:rPr>
                <w:rFonts w:ascii="Arial" w:cs="Arial" w:eastAsia="Arial" w:hAnsi="Arial"/>
                <w:sz w:val="18"/>
                <w:szCs w:val="18"/>
                <w:color w:val="auto"/>
              </w:rPr>
              <w:t>Modification</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11.06</w:t>
            </w:r>
          </w:p>
        </w:tc>
        <w:tc>
          <w:tcPr>
            <w:tcW w:w="8640" w:type="dxa"/>
            <w:vAlign w:val="bottom"/>
          </w:tcPr>
          <w:p>
            <w:pPr>
              <w:ind w:left="100"/>
              <w:spacing w:after="0"/>
              <w:rPr>
                <w:sz w:val="20"/>
                <w:szCs w:val="20"/>
                <w:color w:val="auto"/>
              </w:rPr>
            </w:pPr>
            <w:r>
              <w:rPr>
                <w:rFonts w:ascii="Arial" w:cs="Arial" w:eastAsia="Arial" w:hAnsi="Arial"/>
                <w:sz w:val="18"/>
                <w:szCs w:val="18"/>
                <w:color w:val="auto"/>
              </w:rPr>
              <w:t>Execution of Supplemental Indenture for Future Subsidiary Guarantors</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11.07</w:t>
            </w:r>
          </w:p>
        </w:tc>
        <w:tc>
          <w:tcPr>
            <w:tcW w:w="8640" w:type="dxa"/>
            <w:vAlign w:val="bottom"/>
          </w:tcPr>
          <w:p>
            <w:pPr>
              <w:ind w:left="100"/>
              <w:spacing w:after="0"/>
              <w:rPr>
                <w:sz w:val="20"/>
                <w:szCs w:val="20"/>
                <w:color w:val="auto"/>
              </w:rPr>
            </w:pPr>
            <w:r>
              <w:rPr>
                <w:rFonts w:ascii="Arial" w:cs="Arial" w:eastAsia="Arial" w:hAnsi="Arial"/>
                <w:sz w:val="18"/>
                <w:szCs w:val="18"/>
                <w:color w:val="auto"/>
              </w:rPr>
              <w:t>Non-Impairment</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11.08</w:t>
            </w:r>
          </w:p>
        </w:tc>
        <w:tc>
          <w:tcPr>
            <w:tcW w:w="8640" w:type="dxa"/>
            <w:vAlign w:val="bottom"/>
          </w:tcPr>
          <w:p>
            <w:pPr>
              <w:ind w:left="100"/>
              <w:spacing w:after="0"/>
              <w:rPr>
                <w:sz w:val="20"/>
                <w:szCs w:val="20"/>
                <w:color w:val="auto"/>
              </w:rPr>
            </w:pPr>
            <w:r>
              <w:rPr>
                <w:rFonts w:ascii="Arial" w:cs="Arial" w:eastAsia="Arial" w:hAnsi="Arial"/>
                <w:sz w:val="18"/>
                <w:szCs w:val="18"/>
                <w:color w:val="auto"/>
              </w:rPr>
              <w:t>Release of Guarantees</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0"/>
        </w:trPr>
        <w:tc>
          <w:tcPr>
            <w:tcW w:w="1080" w:type="dxa"/>
            <w:vAlign w:val="bottom"/>
          </w:tcPr>
          <w:p>
            <w:pPr>
              <w:spacing w:after="0"/>
              <w:rPr>
                <w:sz w:val="24"/>
                <w:szCs w:val="24"/>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4"/>
              </w:rPr>
              <w:t>ARTICLE 12</w:t>
            </w:r>
          </w:p>
        </w:tc>
        <w:tc>
          <w:tcPr>
            <w:tcW w:w="12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6"/>
              </w:rPr>
              <w:t>SATISFACTION AND DISCHARGE</w:t>
            </w:r>
          </w:p>
        </w:tc>
        <w:tc>
          <w:tcPr>
            <w:tcW w:w="1240" w:type="dxa"/>
            <w:vAlign w:val="bottom"/>
          </w:tcPr>
          <w:p>
            <w:pPr>
              <w:spacing w:after="0"/>
              <w:rPr>
                <w:sz w:val="20"/>
                <w:szCs w:val="20"/>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8"/>
                <w:szCs w:val="18"/>
                <w:color w:val="auto"/>
                <w:w w:val="96"/>
              </w:rPr>
              <w:t>Section 12.01</w:t>
            </w:r>
          </w:p>
        </w:tc>
        <w:tc>
          <w:tcPr>
            <w:tcW w:w="8640" w:type="dxa"/>
            <w:vAlign w:val="bottom"/>
          </w:tcPr>
          <w:p>
            <w:pPr>
              <w:ind w:left="100"/>
              <w:spacing w:after="0"/>
              <w:rPr>
                <w:sz w:val="20"/>
                <w:szCs w:val="20"/>
                <w:color w:val="auto"/>
              </w:rPr>
            </w:pPr>
            <w:r>
              <w:rPr>
                <w:rFonts w:ascii="Arial" w:cs="Arial" w:eastAsia="Arial" w:hAnsi="Arial"/>
                <w:sz w:val="18"/>
                <w:szCs w:val="18"/>
                <w:color w:val="auto"/>
              </w:rPr>
              <w:t>Satisfaction and Discharge</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12.02</w:t>
            </w:r>
          </w:p>
        </w:tc>
        <w:tc>
          <w:tcPr>
            <w:tcW w:w="8640" w:type="dxa"/>
            <w:vAlign w:val="bottom"/>
          </w:tcPr>
          <w:p>
            <w:pPr>
              <w:ind w:left="100"/>
              <w:spacing w:after="0"/>
              <w:rPr>
                <w:sz w:val="20"/>
                <w:szCs w:val="20"/>
                <w:color w:val="auto"/>
              </w:rPr>
            </w:pPr>
            <w:r>
              <w:rPr>
                <w:rFonts w:ascii="Arial" w:cs="Arial" w:eastAsia="Arial" w:hAnsi="Arial"/>
                <w:sz w:val="18"/>
                <w:szCs w:val="18"/>
                <w:color w:val="auto"/>
              </w:rPr>
              <w:t>Application of Trust Money</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0"/>
        </w:trPr>
        <w:tc>
          <w:tcPr>
            <w:tcW w:w="1080" w:type="dxa"/>
            <w:vAlign w:val="bottom"/>
          </w:tcPr>
          <w:p>
            <w:pPr>
              <w:spacing w:after="0"/>
              <w:rPr>
                <w:sz w:val="24"/>
                <w:szCs w:val="24"/>
                <w:color w:val="auto"/>
              </w:rPr>
            </w:pPr>
          </w:p>
        </w:tc>
        <w:tc>
          <w:tcPr>
            <w:tcW w:w="8640" w:type="dxa"/>
            <w:vAlign w:val="bottom"/>
          </w:tcPr>
          <w:p>
            <w:pPr>
              <w:jc w:val="center"/>
              <w:ind w:left="70"/>
              <w:spacing w:after="0"/>
              <w:rPr>
                <w:sz w:val="20"/>
                <w:szCs w:val="20"/>
                <w:color w:val="auto"/>
              </w:rPr>
            </w:pPr>
            <w:r>
              <w:rPr>
                <w:rFonts w:ascii="Arial" w:cs="Arial" w:eastAsia="Arial" w:hAnsi="Arial"/>
                <w:sz w:val="18"/>
                <w:szCs w:val="18"/>
                <w:color w:val="auto"/>
                <w:w w:val="94"/>
              </w:rPr>
              <w:t>ARTICLE 13</w:t>
            </w:r>
          </w:p>
        </w:tc>
        <w:tc>
          <w:tcPr>
            <w:tcW w:w="12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640" w:type="dxa"/>
            <w:vAlign w:val="bottom"/>
          </w:tcPr>
          <w:p>
            <w:pPr>
              <w:jc w:val="center"/>
              <w:ind w:left="50"/>
              <w:spacing w:after="0"/>
              <w:rPr>
                <w:sz w:val="20"/>
                <w:szCs w:val="20"/>
                <w:color w:val="auto"/>
              </w:rPr>
            </w:pPr>
            <w:r>
              <w:rPr>
                <w:rFonts w:ascii="Arial" w:cs="Arial" w:eastAsia="Arial" w:hAnsi="Arial"/>
                <w:sz w:val="18"/>
                <w:szCs w:val="18"/>
                <w:color w:val="auto"/>
                <w:w w:val="97"/>
              </w:rPr>
              <w:t>MISCELLANEOUS</w:t>
            </w:r>
          </w:p>
        </w:tc>
        <w:tc>
          <w:tcPr>
            <w:tcW w:w="1240" w:type="dxa"/>
            <w:vAlign w:val="bottom"/>
          </w:tcPr>
          <w:p>
            <w:pPr>
              <w:spacing w:after="0"/>
              <w:rPr>
                <w:sz w:val="20"/>
                <w:szCs w:val="20"/>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8"/>
                <w:szCs w:val="18"/>
                <w:color w:val="auto"/>
                <w:w w:val="96"/>
              </w:rPr>
              <w:t>Section 13.01</w:t>
            </w:r>
          </w:p>
        </w:tc>
        <w:tc>
          <w:tcPr>
            <w:tcW w:w="864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13.02</w:t>
            </w:r>
          </w:p>
        </w:tc>
        <w:tc>
          <w:tcPr>
            <w:tcW w:w="8640" w:type="dxa"/>
            <w:vAlign w:val="bottom"/>
          </w:tcPr>
          <w:p>
            <w:pPr>
              <w:ind w:left="100"/>
              <w:spacing w:after="0"/>
              <w:rPr>
                <w:sz w:val="20"/>
                <w:szCs w:val="20"/>
                <w:color w:val="auto"/>
              </w:rPr>
            </w:pPr>
            <w:r>
              <w:rPr>
                <w:rFonts w:ascii="Arial" w:cs="Arial" w:eastAsia="Arial" w:hAnsi="Arial"/>
                <w:sz w:val="18"/>
                <w:szCs w:val="18"/>
                <w:color w:val="auto"/>
              </w:rPr>
              <w:t>Notices</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13.03</w:t>
            </w:r>
          </w:p>
        </w:tc>
        <w:tc>
          <w:tcPr>
            <w:tcW w:w="8640" w:type="dxa"/>
            <w:vAlign w:val="bottom"/>
          </w:tcPr>
          <w:p>
            <w:pPr>
              <w:ind w:left="100"/>
              <w:spacing w:after="0"/>
              <w:rPr>
                <w:sz w:val="20"/>
                <w:szCs w:val="20"/>
                <w:color w:val="auto"/>
              </w:rPr>
            </w:pPr>
            <w:r>
              <w:rPr>
                <w:rFonts w:ascii="Arial" w:cs="Arial" w:eastAsia="Arial" w:hAnsi="Arial"/>
                <w:sz w:val="18"/>
                <w:szCs w:val="18"/>
                <w:color w:val="auto"/>
              </w:rPr>
              <w:t>Communication by Holders of Notes with Other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13.04</w:t>
            </w:r>
          </w:p>
        </w:tc>
        <w:tc>
          <w:tcPr>
            <w:tcW w:w="8640" w:type="dxa"/>
            <w:vAlign w:val="bottom"/>
          </w:tcPr>
          <w:p>
            <w:pPr>
              <w:ind w:left="100"/>
              <w:spacing w:after="0"/>
              <w:rPr>
                <w:sz w:val="20"/>
                <w:szCs w:val="20"/>
                <w:color w:val="auto"/>
              </w:rPr>
            </w:pPr>
            <w:r>
              <w:rPr>
                <w:rFonts w:ascii="Arial" w:cs="Arial" w:eastAsia="Arial" w:hAnsi="Arial"/>
                <w:sz w:val="18"/>
                <w:szCs w:val="18"/>
                <w:color w:val="auto"/>
              </w:rPr>
              <w:t>Certificate and Opinion as to Conditions Precedent</w:t>
            </w: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13.05</w:t>
            </w:r>
          </w:p>
        </w:tc>
        <w:tc>
          <w:tcPr>
            <w:tcW w:w="8640" w:type="dxa"/>
            <w:vAlign w:val="bottom"/>
          </w:tcPr>
          <w:p>
            <w:pPr>
              <w:ind w:left="100"/>
              <w:spacing w:after="0"/>
              <w:rPr>
                <w:sz w:val="20"/>
                <w:szCs w:val="20"/>
                <w:color w:val="auto"/>
              </w:rPr>
            </w:pPr>
            <w:r>
              <w:rPr>
                <w:rFonts w:ascii="Arial" w:cs="Arial" w:eastAsia="Arial" w:hAnsi="Arial"/>
                <w:sz w:val="18"/>
                <w:szCs w:val="18"/>
                <w:color w:val="auto"/>
              </w:rPr>
              <w:t>Statements Required in Certificate or Opinion</w:t>
            </w: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13.06</w:t>
            </w:r>
          </w:p>
        </w:tc>
        <w:tc>
          <w:tcPr>
            <w:tcW w:w="8640" w:type="dxa"/>
            <w:vAlign w:val="bottom"/>
          </w:tcPr>
          <w:p>
            <w:pPr>
              <w:ind w:left="100"/>
              <w:spacing w:after="0"/>
              <w:rPr>
                <w:sz w:val="20"/>
                <w:szCs w:val="20"/>
                <w:color w:val="auto"/>
              </w:rPr>
            </w:pPr>
            <w:r>
              <w:rPr>
                <w:rFonts w:ascii="Arial" w:cs="Arial" w:eastAsia="Arial" w:hAnsi="Arial"/>
                <w:sz w:val="18"/>
                <w:szCs w:val="18"/>
                <w:color w:val="auto"/>
              </w:rPr>
              <w:t>Rules by Trustee and Agents</w:t>
            </w: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13.07</w:t>
            </w:r>
          </w:p>
        </w:tc>
        <w:tc>
          <w:tcPr>
            <w:tcW w:w="8640" w:type="dxa"/>
            <w:vAlign w:val="bottom"/>
          </w:tcPr>
          <w:p>
            <w:pPr>
              <w:ind w:left="10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13.08</w:t>
            </w:r>
          </w:p>
        </w:tc>
        <w:tc>
          <w:tcPr>
            <w:tcW w:w="86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13.09</w:t>
            </w:r>
          </w:p>
        </w:tc>
        <w:tc>
          <w:tcPr>
            <w:tcW w:w="8640" w:type="dxa"/>
            <w:vAlign w:val="bottom"/>
          </w:tcPr>
          <w:p>
            <w:pPr>
              <w:ind w:left="100"/>
              <w:spacing w:after="0"/>
              <w:rPr>
                <w:sz w:val="20"/>
                <w:szCs w:val="20"/>
                <w:color w:val="auto"/>
              </w:rPr>
            </w:pPr>
            <w:r>
              <w:rPr>
                <w:rFonts w:ascii="Arial" w:cs="Arial" w:eastAsia="Arial" w:hAnsi="Arial"/>
                <w:sz w:val="18"/>
                <w:szCs w:val="18"/>
                <w:color w:val="auto"/>
              </w:rPr>
              <w:t>No Adverse Interpretation of Other Agreements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13.10</w:t>
            </w:r>
          </w:p>
        </w:tc>
        <w:tc>
          <w:tcPr>
            <w:tcW w:w="864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13.11</w:t>
            </w:r>
          </w:p>
        </w:tc>
        <w:tc>
          <w:tcPr>
            <w:tcW w:w="86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13.12</w:t>
            </w:r>
          </w:p>
        </w:tc>
        <w:tc>
          <w:tcPr>
            <w:tcW w:w="8640" w:type="dxa"/>
            <w:vAlign w:val="bottom"/>
          </w:tcPr>
          <w:p>
            <w:pPr>
              <w:ind w:left="100"/>
              <w:spacing w:after="0"/>
              <w:rPr>
                <w:sz w:val="20"/>
                <w:szCs w:val="20"/>
                <w:color w:val="auto"/>
              </w:rPr>
            </w:pPr>
            <w:r>
              <w:rPr>
                <w:rFonts w:ascii="Arial" w:cs="Arial" w:eastAsia="Arial" w:hAnsi="Arial"/>
                <w:sz w:val="18"/>
                <w:szCs w:val="18"/>
                <w:color w:val="auto"/>
              </w:rPr>
              <w:t>Counterpart Originals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13.13</w:t>
            </w:r>
          </w:p>
        </w:tc>
        <w:tc>
          <w:tcPr>
            <w:tcW w:w="8640" w:type="dxa"/>
            <w:vAlign w:val="bottom"/>
          </w:tcPr>
          <w:p>
            <w:pPr>
              <w:ind w:left="100"/>
              <w:spacing w:after="0"/>
              <w:rPr>
                <w:sz w:val="20"/>
                <w:szCs w:val="20"/>
                <w:color w:val="auto"/>
              </w:rPr>
            </w:pPr>
            <w:r>
              <w:rPr>
                <w:rFonts w:ascii="Arial" w:cs="Arial" w:eastAsia="Arial" w:hAnsi="Arial"/>
                <w:sz w:val="18"/>
                <w:szCs w:val="18"/>
                <w:color w:val="auto"/>
              </w:rPr>
              <w:t>Table of Contents, Headings, etc.</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13.14</w:t>
            </w:r>
          </w:p>
        </w:tc>
        <w:tc>
          <w:tcPr>
            <w:tcW w:w="8640" w:type="dxa"/>
            <w:vAlign w:val="bottom"/>
          </w:tcPr>
          <w:p>
            <w:pPr>
              <w:ind w:left="100"/>
              <w:spacing w:after="0"/>
              <w:rPr>
                <w:sz w:val="20"/>
                <w:szCs w:val="20"/>
                <w:color w:val="auto"/>
              </w:rPr>
            </w:pPr>
            <w:r>
              <w:rPr>
                <w:rFonts w:ascii="Arial" w:cs="Arial" w:eastAsia="Arial" w:hAnsi="Arial"/>
                <w:sz w:val="18"/>
                <w:szCs w:val="18"/>
                <w:color w:val="auto"/>
              </w:rPr>
              <w:t>Patriot Act</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13.15</w:t>
            </w:r>
          </w:p>
        </w:tc>
        <w:tc>
          <w:tcPr>
            <w:tcW w:w="8640" w:type="dxa"/>
            <w:vAlign w:val="bottom"/>
          </w:tcPr>
          <w:p>
            <w:pPr>
              <w:ind w:left="100"/>
              <w:spacing w:after="0"/>
              <w:rPr>
                <w:sz w:val="20"/>
                <w:szCs w:val="20"/>
                <w:color w:val="auto"/>
              </w:rPr>
            </w:pPr>
            <w:r>
              <w:rPr>
                <w:rFonts w:ascii="Arial" w:cs="Arial" w:eastAsia="Arial" w:hAnsi="Arial"/>
                <w:sz w:val="18"/>
                <w:szCs w:val="18"/>
                <w:color w:val="auto"/>
              </w:rPr>
              <w:t>Submission to Jurisdiction; Waiver of Jury Trial</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300" w:type="dxa"/>
            <w:vAlign w:val="bottom"/>
          </w:tcPr>
          <w:p>
            <w:pPr>
              <w:jc w:val="right"/>
              <w:ind w:right="4990"/>
              <w:spacing w:after="0"/>
              <w:rPr>
                <w:sz w:val="20"/>
                <w:szCs w:val="20"/>
                <w:color w:val="auto"/>
              </w:rPr>
            </w:pPr>
            <w:r>
              <w:rPr>
                <w:rFonts w:ascii="Arial" w:cs="Arial" w:eastAsia="Arial" w:hAnsi="Arial"/>
                <w:sz w:val="18"/>
                <w:szCs w:val="18"/>
                <w:color w:val="auto"/>
              </w:rPr>
              <w:t>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Exhibit A</w:t>
            </w:r>
          </w:p>
        </w:tc>
        <w:tc>
          <w:tcPr>
            <w:tcW w:w="3840" w:type="dxa"/>
            <w:vAlign w:val="bottom"/>
          </w:tcPr>
          <w:p>
            <w:pPr>
              <w:ind w:left="140"/>
              <w:spacing w:after="0"/>
              <w:rPr>
                <w:sz w:val="20"/>
                <w:szCs w:val="20"/>
                <w:color w:val="auto"/>
              </w:rPr>
            </w:pPr>
            <w:r>
              <w:rPr>
                <w:rFonts w:ascii="Arial" w:cs="Arial" w:eastAsia="Arial" w:hAnsi="Arial"/>
                <w:sz w:val="18"/>
                <w:szCs w:val="18"/>
                <w:color w:val="auto"/>
              </w:rPr>
              <w:t>FORM OF NOTE</w:t>
            </w:r>
          </w:p>
        </w:tc>
        <w:tc>
          <w:tcPr>
            <w:tcW w:w="63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Exhibit B   FORM OF CERTIFICATE OF TRANSFER</w:t>
            </w:r>
          </w:p>
        </w:tc>
        <w:tc>
          <w:tcPr>
            <w:tcW w:w="63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Exhibit C</w:t>
            </w:r>
          </w:p>
        </w:tc>
        <w:tc>
          <w:tcPr>
            <w:tcW w:w="3840" w:type="dxa"/>
            <w:vAlign w:val="bottom"/>
          </w:tcPr>
          <w:p>
            <w:pPr>
              <w:ind w:left="140"/>
              <w:spacing w:after="0"/>
              <w:rPr>
                <w:sz w:val="20"/>
                <w:szCs w:val="20"/>
                <w:color w:val="auto"/>
              </w:rPr>
            </w:pPr>
            <w:r>
              <w:rPr>
                <w:rFonts w:ascii="Arial" w:cs="Arial" w:eastAsia="Arial" w:hAnsi="Arial"/>
                <w:sz w:val="18"/>
                <w:szCs w:val="18"/>
                <w:color w:val="auto"/>
              </w:rPr>
              <w:t>FORM OF CERTIFICATE OF EXCHANGE</w:t>
            </w:r>
          </w:p>
        </w:tc>
        <w:tc>
          <w:tcPr>
            <w:tcW w:w="630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Exhibit D   FORM OF SUPPLEMENTAL INDENTURE</w:t>
            </w:r>
          </w:p>
        </w:tc>
        <w:tc>
          <w:tcPr>
            <w:tcW w:w="6300" w:type="dxa"/>
            <w:vAlign w:val="bottom"/>
          </w:tcPr>
          <w:p>
            <w:pPr>
              <w:jc w:val="right"/>
              <w:spacing w:after="0"/>
              <w:rPr>
                <w:sz w:val="20"/>
                <w:szCs w:val="20"/>
                <w:color w:val="auto"/>
              </w:rPr>
            </w:pPr>
            <w:r>
              <w:rPr>
                <w:rFonts w:ascii="Arial" w:cs="Arial" w:eastAsia="Arial" w:hAnsi="Arial"/>
                <w:sz w:val="18"/>
                <w:szCs w:val="18"/>
                <w:color w:val="auto"/>
              </w:rPr>
              <w:t>D-1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340" w:name="page341"/>
    <w:bookmarkEnd w:id="340"/>
    <w:p>
      <w:pPr>
        <w:jc w:val="both"/>
        <w:ind w:right="8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July 15, 2020 among Studio City Finance Limited, a BVI business company with limited liability incorporated under the laws of the British Virgin Islands with company number 1673307 (the “</w:t>
      </w:r>
      <w:r>
        <w:rPr>
          <w:rFonts w:ascii="Arial" w:cs="Arial" w:eastAsia="Arial" w:hAnsi="Arial"/>
          <w:sz w:val="16"/>
          <w:szCs w:val="16"/>
          <w:i w:val="1"/>
          <w:iCs w:val="1"/>
          <w:color w:val="auto"/>
        </w:rPr>
        <w:t>Company</w:t>
      </w:r>
      <w:r>
        <w:rPr>
          <w:rFonts w:ascii="Arial" w:cs="Arial" w:eastAsia="Arial" w:hAnsi="Arial"/>
          <w:sz w:val="16"/>
          <w:szCs w:val="16"/>
          <w:color w:val="auto"/>
        </w:rPr>
        <w:t>”), the Subsidiary Guarantors named herein (the “</w:t>
      </w:r>
      <w:r>
        <w:rPr>
          <w:rFonts w:ascii="Arial" w:cs="Arial" w:eastAsia="Arial" w:hAnsi="Arial"/>
          <w:sz w:val="16"/>
          <w:szCs w:val="16"/>
          <w:i w:val="1"/>
          <w:iCs w:val="1"/>
          <w:color w:val="auto"/>
        </w:rPr>
        <w:t>Subsidiary</w:t>
      </w:r>
      <w:r>
        <w:rPr>
          <w:rFonts w:ascii="Arial" w:cs="Arial" w:eastAsia="Arial" w:hAnsi="Arial"/>
          <w:sz w:val="16"/>
          <w:szCs w:val="16"/>
          <w:color w:val="auto"/>
        </w:rPr>
        <w:t xml:space="preserve"> </w:t>
      </w:r>
      <w:r>
        <w:rPr>
          <w:rFonts w:ascii="Arial" w:cs="Arial" w:eastAsia="Arial" w:hAnsi="Arial"/>
          <w:sz w:val="16"/>
          <w:szCs w:val="16"/>
          <w:i w:val="1"/>
          <w:iCs w:val="1"/>
          <w:color w:val="auto"/>
        </w:rPr>
        <w:t>Guarantors</w:t>
      </w:r>
      <w:r>
        <w:rPr>
          <w:rFonts w:ascii="Arial" w:cs="Arial" w:eastAsia="Arial" w:hAnsi="Arial"/>
          <w:sz w:val="16"/>
          <w:szCs w:val="16"/>
          <w:color w:val="auto"/>
        </w:rPr>
        <w:t>”) and Deutsche Bank Trust Company Americas, a New York banking corporation as Trustee, Paying Agent, Registrar and Transfer Agent.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Each party agrees as follows for the benefit of each other and for the other parties hereto and for the equal and ratable benefit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 (as defined herein) of the 6.500%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117"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144A Global Note</w:t>
      </w:r>
      <w:r>
        <w:rPr>
          <w:rFonts w:ascii="Arial" w:cs="Arial" w:eastAsia="Arial" w:hAnsi="Arial"/>
          <w:sz w:val="16"/>
          <w:szCs w:val="16"/>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(subject to a maximum denomination of US$500 million) to the outstanding principal amount of the Notes sold in reliance on Rule 144A.</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980" w:right="60" w:firstLine="408"/>
        <w:spacing w:after="0" w:line="263" w:lineRule="auto"/>
        <w:tabs>
          <w:tab w:leader="none" w:pos="177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xml:space="preserve">” means additional Notes (other than the Initial Notes) issued under this Indenture in accordance with Section 2.02 and Section 4.09 hereof, as part of the same series as the Initial Notes;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Additional Notes that are not fungible with the Notes for U.S. federal income tax purposes shall have a separate CUSIP, ISIN or other identifying number than any previously issued Notes, but shall otherwise be treated as a single class with all other Notes issued under this Indenture.</w:t>
      </w:r>
    </w:p>
    <w:p>
      <w:pPr>
        <w:spacing w:after="0" w:line="18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7"/>
          <w:szCs w:val="17"/>
          <w:i w:val="1"/>
          <w:iCs w:val="1"/>
          <w:color w:val="auto"/>
        </w:rPr>
        <w:t>control</w:t>
      </w:r>
      <w:r>
        <w:rPr>
          <w:rFonts w:ascii="Arial" w:cs="Arial" w:eastAsia="Arial" w:hAnsi="Arial"/>
          <w:sz w:val="17"/>
          <w:szCs w:val="17"/>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beneficial ownership of 10% or more of the Voting Stock of a Person will be deemed to be control. For purposes of this definition, the terms “</w:t>
      </w:r>
      <w:r>
        <w:rPr>
          <w:rFonts w:ascii="Arial" w:cs="Arial" w:eastAsia="Arial" w:hAnsi="Arial"/>
          <w:sz w:val="17"/>
          <w:szCs w:val="17"/>
          <w:i w:val="1"/>
          <w:iCs w:val="1"/>
          <w:color w:val="auto"/>
        </w:rPr>
        <w:t>controlling,</w:t>
      </w:r>
      <w:r>
        <w:rPr>
          <w:rFonts w:ascii="Arial" w:cs="Arial" w:eastAsia="Arial" w:hAnsi="Arial"/>
          <w:sz w:val="17"/>
          <w:szCs w:val="17"/>
          <w:color w:val="auto"/>
        </w:rPr>
        <w:t>” “</w:t>
      </w:r>
      <w:r>
        <w:rPr>
          <w:rFonts w:ascii="Arial" w:cs="Arial" w:eastAsia="Arial" w:hAnsi="Arial"/>
          <w:sz w:val="17"/>
          <w:szCs w:val="17"/>
          <w:i w:val="1"/>
          <w:iCs w:val="1"/>
          <w:color w:val="auto"/>
        </w:rPr>
        <w:t>controlled by</w:t>
      </w:r>
      <w:r>
        <w:rPr>
          <w:rFonts w:ascii="Arial" w:cs="Arial" w:eastAsia="Arial" w:hAnsi="Arial"/>
          <w:sz w:val="17"/>
          <w:szCs w:val="17"/>
          <w:color w:val="auto"/>
        </w:rPr>
        <w:t>” and “</w:t>
      </w:r>
      <w:r>
        <w:rPr>
          <w:rFonts w:ascii="Arial" w:cs="Arial" w:eastAsia="Arial" w:hAnsi="Arial"/>
          <w:sz w:val="17"/>
          <w:szCs w:val="17"/>
          <w:i w:val="1"/>
          <w:iCs w:val="1"/>
          <w:color w:val="auto"/>
        </w:rPr>
        <w:t>under common control with</w:t>
      </w:r>
      <w:r>
        <w:rPr>
          <w:rFonts w:ascii="Arial" w:cs="Arial" w:eastAsia="Arial" w:hAnsi="Arial"/>
          <w:sz w:val="17"/>
          <w:szCs w:val="17"/>
          <w:color w:val="auto"/>
        </w:rPr>
        <w:t>” have correlative meanings.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co-registrar, Paying Agent, Transfer Agent or additional paying agents or transfer agents.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131" w:lineRule="exact"/>
        <w:rPr>
          <w:sz w:val="20"/>
          <w:szCs w:val="20"/>
          <w:color w:val="auto"/>
        </w:rPr>
      </w:pPr>
    </w:p>
    <w:p>
      <w:pPr>
        <w:ind w:left="1420" w:hanging="439"/>
        <w:spacing w:after="0"/>
        <w:tabs>
          <w:tab w:leader="none" w:pos="14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130" w:lineRule="exact"/>
        <w:rPr>
          <w:rFonts w:ascii="Arial" w:cs="Arial" w:eastAsia="Arial" w:hAnsi="Arial"/>
          <w:sz w:val="18"/>
          <w:szCs w:val="18"/>
          <w:color w:val="auto"/>
        </w:rPr>
      </w:pPr>
    </w:p>
    <w:p>
      <w:pPr>
        <w:ind w:left="1960" w:right="200" w:hanging="533"/>
        <w:spacing w:after="0" w:line="257" w:lineRule="auto"/>
        <w:tabs>
          <w:tab w:leader="none" w:pos="19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the Note at July 15, 2023, plus (ii) all required interest payments due on the Note through July 15, 2023 (such redemption price being set forth in the table appearing in Section 3.07 hereof) plus (ii) all required interest payments due on the Note through July 15, 2023 (excluding accrued but unpaid interest to but excluding the redemption date), computed using a discount rate equal to the Treasury Rate as of such redemption date plus 50 basis points; over</w:t>
      </w:r>
    </w:p>
    <w:p>
      <w:pPr>
        <w:sectPr>
          <w:pgSz w:w="11900" w:h="16838" w:orient="portrait"/>
          <w:cols w:equalWidth="0" w:num="1">
            <w:col w:w="11000"/>
          </w:cols>
          <w:pgMar w:left="440" w:top="274" w:right="459" w:bottom="1440" w:gutter="0" w:footer="0" w:header="0"/>
        </w:sectPr>
      </w:pPr>
    </w:p>
    <w:bookmarkStart w:id="341" w:name="page342"/>
    <w:bookmarkEnd w:id="341"/>
    <w:p>
      <w:pPr>
        <w:ind w:left="1960" w:hanging="533"/>
        <w:spacing w:after="0"/>
        <w:tabs>
          <w:tab w:leader="none" w:pos="19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principal amount of the Note, if greater,</w:t>
      </w:r>
    </w:p>
    <w:p>
      <w:pPr>
        <w:spacing w:after="0" w:line="117" w:lineRule="exact"/>
        <w:rPr>
          <w:sz w:val="20"/>
          <w:szCs w:val="20"/>
          <w:color w:val="auto"/>
        </w:rPr>
      </w:pPr>
    </w:p>
    <w:p>
      <w:pPr>
        <w:ind w:left="980" w:right="320"/>
        <w:spacing w:after="0" w:line="263" w:lineRule="auto"/>
        <w:rPr>
          <w:sz w:val="20"/>
          <w:szCs w:val="20"/>
          <w:color w:val="auto"/>
        </w:rPr>
      </w:pPr>
      <w:r>
        <w:rPr>
          <w:rFonts w:ascii="Arial" w:cs="Arial" w:eastAsia="Arial" w:hAnsi="Arial"/>
          <w:sz w:val="18"/>
          <w:szCs w:val="18"/>
          <w:color w:val="auto"/>
        </w:rPr>
        <w:t>as calculated by the Company or on behalf of the Company by such Person as the Company may engage. For the avoidance of doubt, calculation of the Applicable Premium shall not be a duty or obligation of the Trustee, the Paying Agent, the Transfer Agent, or the Registrar.</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Euroclear and Clearstream, Luxembourg that apply to such transfer or exchange.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980" w:firstLine="408"/>
        <w:spacing w:after="0" w:line="259" w:lineRule="auto"/>
        <w:tabs>
          <w:tab w:leader="none" w:pos="181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sale, lease, conveyance or other disposition of all or substantially all of the assets of the Company and its Restricted Subsidiaries taken as a whole will be governed by the provisions of this Indenture described in Section 4.15 hereof and/or the provisions described in Section 5.01 hereof and not by the provisions of Section 4.10 hereof;</w:t>
      </w:r>
    </w:p>
    <w:p>
      <w:pPr>
        <w:spacing w:after="0" w:line="78" w:lineRule="exact"/>
        <w:rPr>
          <w:rFonts w:ascii="Arial" w:cs="Arial" w:eastAsia="Arial" w:hAnsi="Arial"/>
          <w:sz w:val="18"/>
          <w:szCs w:val="18"/>
          <w:color w:val="auto"/>
        </w:rPr>
      </w:pPr>
    </w:p>
    <w:p>
      <w:pPr>
        <w:ind w:left="980" w:right="140" w:firstLine="408"/>
        <w:spacing w:after="0" w:line="277" w:lineRule="auto"/>
        <w:tabs>
          <w:tab w:leader="none" w:pos="181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issuance of Equity Interests in any of the Restricted Subsidiaries of the Company or the sale of Equity Interests in any of the Company’s Subsidiaries; and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Event of Loss.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117" w:lineRule="exact"/>
        <w:rPr>
          <w:sz w:val="20"/>
          <w:szCs w:val="20"/>
          <w:color w:val="auto"/>
        </w:rPr>
      </w:pPr>
    </w:p>
    <w:p>
      <w:pPr>
        <w:ind w:left="980" w:right="920" w:firstLine="408"/>
        <w:spacing w:after="0" w:line="277" w:lineRule="auto"/>
        <w:tabs>
          <w:tab w:leader="none" w:pos="1816"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US$5.0 million;</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 transfer of assets between or among the Company and its Restricted Subsidiaries;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the Company to the Company or a Restricted Subsidiary of the</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left="980" w:right="80" w:firstLine="408"/>
        <w:spacing w:after="0" w:line="257" w:lineRule="auto"/>
        <w:tabs>
          <w:tab w:leader="none" w:pos="1816"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sale, license, transfer, lease (including the right to use) or other disposal of products, services, rights, accounts receivable, undertakings, establishments or other current assets or cessation of any undertaking or establishment in the ordinary course of business (including pursuant to any shared services agreements (including the MSA), Revenue Sharing Agreement or any construction and development activities) and any sale or other disposition of damaged, worn-out, surplus or obsolete assets (or the dissolution of any Dormant Subsidiary) in the ordinary course of business;</w:t>
      </w:r>
    </w:p>
    <w:p>
      <w:pPr>
        <w:spacing w:after="0" w:line="79" w:lineRule="exact"/>
        <w:rPr>
          <w:rFonts w:ascii="Arial" w:cs="Arial" w:eastAsia="Arial" w:hAnsi="Arial"/>
          <w:sz w:val="18"/>
          <w:szCs w:val="18"/>
          <w:color w:val="auto"/>
        </w:rPr>
      </w:pPr>
    </w:p>
    <w:p>
      <w:pPr>
        <w:ind w:left="1820" w:hanging="432"/>
        <w:spacing w:after="0"/>
        <w:tabs>
          <w:tab w:leader="none" w:pos="18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any transfer, termination or unwinding or other disposition of Hedging Obligations in the ordinary course of business;</w:t>
      </w:r>
    </w:p>
    <w:p>
      <w:pPr>
        <w:spacing w:after="0" w:line="128" w:lineRule="exact"/>
        <w:rPr>
          <w:rFonts w:ascii="Arial" w:cs="Arial" w:eastAsia="Arial" w:hAnsi="Arial"/>
          <w:sz w:val="17"/>
          <w:szCs w:val="17"/>
          <w:color w:val="auto"/>
        </w:rPr>
      </w:pPr>
    </w:p>
    <w:p>
      <w:pPr>
        <w:ind w:left="1820" w:hanging="432"/>
        <w:spacing w:after="0"/>
        <w:tabs>
          <w:tab w:leader="none" w:pos="18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 transaction covered under Section 5.01 or Section 4.15;</w:t>
      </w:r>
    </w:p>
    <w:p>
      <w:pPr>
        <w:spacing w:after="0" w:line="117" w:lineRule="exact"/>
        <w:rPr>
          <w:rFonts w:ascii="Arial" w:cs="Arial" w:eastAsia="Arial" w:hAnsi="Arial"/>
          <w:sz w:val="18"/>
          <w:szCs w:val="18"/>
          <w:color w:val="auto"/>
        </w:rPr>
      </w:pPr>
    </w:p>
    <w:p>
      <w:pPr>
        <w:ind w:left="980" w:right="160" w:firstLine="408"/>
        <w:spacing w:after="0" w:line="263" w:lineRule="auto"/>
        <w:tabs>
          <w:tab w:leader="none" w:pos="177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lease of, right to use or equivalent interest under Macau law on that portion of real property granted to Studio City Developments Limited pursuant to the applicable land concession granted by the government of the Macau SAR in connection with the development of the Phase II Project in accordance with such applicable land concession;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4" w:right="559" w:bottom="1440" w:gutter="0" w:footer="0" w:header="0"/>
        </w:sectPr>
      </w:pPr>
    </w:p>
    <w:bookmarkStart w:id="342" w:name="page343"/>
    <w:bookmarkEnd w:id="342"/>
    <w:p>
      <w:pPr>
        <w:ind w:left="984" w:right="80" w:firstLine="408"/>
        <w:spacing w:after="0" w:line="257" w:lineRule="auto"/>
        <w:tabs>
          <w:tab w:leader="none" w:pos="1775" w:val="left"/>
        </w:tabs>
        <w:numPr>
          <w:ilvl w:val="0"/>
          <w:numId w:val="3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Restricted Payment that does not violate the provisions of Section 4.07 hereof or a Permitted Investment, and any other payment under the Services and Right to Use Agreement, the Reinvestment Agreement or the MSA and any transactions or arrangements involving contractual rights under, pursuant to or in connection with the Services and Right to Use Agreement, the Reinvestment Agreement or the MSA, including any amendments, modifications, supplements, extensions, replacements, terminations or renewals thereof;</w:t>
      </w:r>
    </w:p>
    <w:p>
      <w:pPr>
        <w:spacing w:after="0" w:line="79" w:lineRule="exact"/>
        <w:rPr>
          <w:rFonts w:ascii="Arial" w:cs="Arial" w:eastAsia="Arial" w:hAnsi="Arial"/>
          <w:sz w:val="18"/>
          <w:szCs w:val="18"/>
          <w:color w:val="auto"/>
        </w:rPr>
      </w:pPr>
    </w:p>
    <w:p>
      <w:pPr>
        <w:ind w:left="984" w:right="80" w:firstLine="408"/>
        <w:spacing w:after="0" w:line="271" w:lineRule="auto"/>
        <w:tabs>
          <w:tab w:leader="none" w:pos="1909" w:val="left"/>
        </w:tabs>
        <w:numPr>
          <w:ilvl w:val="0"/>
          <w:numId w:val="360"/>
        </w:numPr>
        <w:rPr>
          <w:rFonts w:ascii="Arial" w:cs="Arial" w:eastAsia="Arial" w:hAnsi="Arial"/>
          <w:sz w:val="17"/>
          <w:szCs w:val="17"/>
          <w:color w:val="auto"/>
        </w:rPr>
      </w:pPr>
      <w:r>
        <w:rPr>
          <w:rFonts w:ascii="Arial" w:cs="Arial" w:eastAsia="Arial" w:hAnsi="Arial"/>
          <w:sz w:val="17"/>
          <w:szCs w:val="17"/>
          <w:color w:val="auto"/>
        </w:rPr>
        <w:t>the (i) lease, sublease, license or right to use of any portion of the Property to persons who, either directly or through Affiliates of such persons, intend to develop, operate or manage gaming, hotel, nightclubs, bars, restaurants, malls, amusements, attractions, recreation, spa, pool, exercise or gym facilities, or entertainment facilities or venues or retail shops or venues or similar or related establishments or facilities within the Property and (ii) the grant of declarations of covenants, conditions and restrictions and/or easements or other rights to use with respect to common area spaces and similar instruments benefiting such tenants of such lease, subleases licenses and rights to use generally and/or entered into connection with the Property (collectively, the “</w:t>
      </w:r>
      <w:r>
        <w:rPr>
          <w:rFonts w:ascii="Arial" w:cs="Arial" w:eastAsia="Arial" w:hAnsi="Arial"/>
          <w:sz w:val="17"/>
          <w:szCs w:val="17"/>
          <w:i w:val="1"/>
          <w:iCs w:val="1"/>
          <w:color w:val="auto"/>
        </w:rPr>
        <w:t>Venue Easements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no Venue Easements or operations conducted pursuant thereto would reasonably be expected to materially interfere with, or</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impair or detract from, the operation of the Property;</w:t>
      </w:r>
    </w:p>
    <w:p>
      <w:pPr>
        <w:spacing w:after="0" w:line="70" w:lineRule="exact"/>
        <w:rPr>
          <w:rFonts w:ascii="Arial" w:cs="Arial" w:eastAsia="Arial" w:hAnsi="Arial"/>
          <w:sz w:val="17"/>
          <w:szCs w:val="17"/>
          <w:color w:val="auto"/>
        </w:rPr>
      </w:pPr>
    </w:p>
    <w:p>
      <w:pPr>
        <w:ind w:left="984" w:right="140" w:firstLine="408"/>
        <w:spacing w:after="0" w:line="259" w:lineRule="auto"/>
        <w:tabs>
          <w:tab w:leader="none" w:pos="190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the dedication of space or other dispositions of property in connection with and in furtherance of constructing structures or improvements reasonably related to the development, construction and operation of the Property; </w:t>
      </w:r>
      <w:r>
        <w:rPr>
          <w:rFonts w:ascii="Arial" w:cs="Arial" w:eastAsia="Arial" w:hAnsi="Arial"/>
          <w:sz w:val="18"/>
          <w:szCs w:val="18"/>
          <w:i w:val="1"/>
          <w:iCs w:val="1"/>
          <w:color w:val="auto"/>
        </w:rPr>
        <w:t>provided</w:t>
      </w:r>
      <w:r>
        <w:rPr>
          <w:rFonts w:ascii="Arial" w:cs="Arial" w:eastAsia="Arial" w:hAnsi="Arial"/>
          <w:sz w:val="18"/>
          <w:szCs w:val="18"/>
          <w:color w:val="auto"/>
        </w:rPr>
        <w:t>, that in each case such dedication or other disposition is in furtherance of, and does not materially impair or interfere with the use or operations (or intended use or operations) of, the Property;</w:t>
      </w:r>
    </w:p>
    <w:p>
      <w:pPr>
        <w:spacing w:after="0" w:line="78" w:lineRule="exact"/>
        <w:rPr>
          <w:rFonts w:ascii="Arial" w:cs="Arial" w:eastAsia="Arial" w:hAnsi="Arial"/>
          <w:sz w:val="18"/>
          <w:szCs w:val="18"/>
          <w:color w:val="auto"/>
        </w:rPr>
      </w:pPr>
    </w:p>
    <w:p>
      <w:pPr>
        <w:ind w:left="984" w:firstLine="408"/>
        <w:spacing w:after="0" w:line="259" w:lineRule="auto"/>
        <w:tabs>
          <w:tab w:leader="none" w:pos="190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granting of easements, rights of way, rights of access and/or similar rights to any governmental authority, utility providers, cable or other communication providers and/or other parties providing services or benefits to the Property, the real property held by the Company or a Restricted Subsidiary of the Company or the public at large that would not reasonably be expected to interfere in any material respect with the construction, development or operation of the Property;</w:t>
      </w:r>
    </w:p>
    <w:p>
      <w:pPr>
        <w:spacing w:after="0" w:line="78" w:lineRule="exact"/>
        <w:rPr>
          <w:rFonts w:ascii="Arial" w:cs="Arial" w:eastAsia="Arial" w:hAnsi="Arial"/>
          <w:sz w:val="18"/>
          <w:szCs w:val="18"/>
          <w:color w:val="auto"/>
        </w:rPr>
      </w:pPr>
    </w:p>
    <w:p>
      <w:pPr>
        <w:ind w:left="984" w:right="40" w:firstLine="408"/>
        <w:spacing w:after="0" w:line="263" w:lineRule="auto"/>
        <w:tabs>
          <w:tab w:leader="none" w:pos="190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granting of a lease, right to use or equivalent interest to Melco Resorts Macau or Melco Resorts or any of its Affiliates for purposes of operating a gaming facility at Studio City, including under the Services and Right to Use Agreement and any related agreements, or any transactions or arrangements contemplated thereby;</w:t>
      </w:r>
    </w:p>
    <w:p>
      <w:pPr>
        <w:spacing w:after="0" w:line="75" w:lineRule="exact"/>
        <w:rPr>
          <w:rFonts w:ascii="Arial" w:cs="Arial" w:eastAsia="Arial" w:hAnsi="Arial"/>
          <w:sz w:val="18"/>
          <w:szCs w:val="18"/>
          <w:color w:val="auto"/>
        </w:rPr>
      </w:pPr>
    </w:p>
    <w:p>
      <w:pPr>
        <w:ind w:left="984" w:right="40" w:firstLine="408"/>
        <w:spacing w:after="0" w:line="263" w:lineRule="auto"/>
        <w:tabs>
          <w:tab w:leader="none" w:pos="190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grant of licenses to intellectual property rights to third Persons (other than Affiliates of the Company or any Restricted Subsidiary of the Company) on an arm’s length basis in the ordinary course of business or to Melco Resorts Macau, Melco Resorts and its Affiliates in the ordinary course of business;</w:t>
      </w:r>
    </w:p>
    <w:p>
      <w:pPr>
        <w:spacing w:after="0" w:line="75" w:lineRule="exact"/>
        <w:rPr>
          <w:rFonts w:ascii="Arial" w:cs="Arial" w:eastAsia="Arial" w:hAnsi="Arial"/>
          <w:sz w:val="18"/>
          <w:szCs w:val="18"/>
          <w:color w:val="auto"/>
        </w:rPr>
      </w:pPr>
    </w:p>
    <w:p>
      <w:pPr>
        <w:ind w:left="984" w:right="780" w:firstLine="408"/>
        <w:spacing w:after="0" w:line="277" w:lineRule="auto"/>
        <w:tabs>
          <w:tab w:leader="none" w:pos="186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transfers, assignments or dispositions constituting an Incurrence of a Permitted Lien (but not the actual sale or other disposition of the property subject to such Lien); and</w:t>
      </w:r>
    </w:p>
    <w:p>
      <w:pPr>
        <w:spacing w:after="0" w:line="62" w:lineRule="exact"/>
        <w:rPr>
          <w:rFonts w:ascii="Arial" w:cs="Arial" w:eastAsia="Arial" w:hAnsi="Arial"/>
          <w:sz w:val="18"/>
          <w:szCs w:val="18"/>
          <w:color w:val="auto"/>
        </w:rPr>
      </w:pPr>
    </w:p>
    <w:p>
      <w:pPr>
        <w:ind w:left="984" w:right="140" w:firstLine="408"/>
        <w:spacing w:after="0" w:line="277" w:lineRule="auto"/>
        <w:tabs>
          <w:tab w:leader="none" w:pos="190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any surrender or waiver of contractual rights or settlement, release, recovery on or surrender of contract, tort or other claims in the ordinary course of business.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Law</w:t>
      </w:r>
      <w:r>
        <w:rPr>
          <w:rFonts w:ascii="Arial" w:cs="Arial" w:eastAsia="Arial" w:hAnsi="Arial"/>
          <w:sz w:val="16"/>
          <w:szCs w:val="16"/>
          <w:color w:val="auto"/>
        </w:rPr>
        <w:t>” means (i) the United States Bankruptcy Code of 1978 or any similar U.S. federal or state law for the relief of debtors,</w:t>
      </w:r>
    </w:p>
    <w:p>
      <w:pPr>
        <w:spacing w:after="0" w:line="46" w:lineRule="exact"/>
        <w:rPr>
          <w:sz w:val="20"/>
          <w:szCs w:val="20"/>
          <w:color w:val="auto"/>
        </w:rPr>
      </w:pPr>
    </w:p>
    <w:p>
      <w:pPr>
        <w:ind w:left="4" w:right="100" w:hanging="4"/>
        <w:spacing w:after="0" w:line="253" w:lineRule="auto"/>
        <w:tabs>
          <w:tab w:leader="none" w:pos="26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provisions of the Code of Civil Procedure of Macau that deal with the placement of a debtor into liquidation, the administration and disposal of its assets, the distribution of the proceeds thereof and the alternatives to such liquidation, or any laws of similar effect, and (iii) those laws included, principally within (but not limited to) the BVI Business Companies Act, 2004 (as amended) and the Insolvency Act, 2007 (as amended) concerning the solvency and insolvency of BVI companies.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343" w:name="page344"/>
    <w:bookmarkEnd w:id="343"/>
    <w:p>
      <w:pPr>
        <w:ind w:right="2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980" w:right="460" w:firstLine="408"/>
        <w:spacing w:after="0" w:line="277" w:lineRule="auto"/>
        <w:tabs>
          <w:tab w:leader="none" w:pos="181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980" w:right="460" w:firstLine="408"/>
        <w:spacing w:after="0" w:line="277" w:lineRule="auto"/>
        <w:tabs>
          <w:tab w:leader="none" w:pos="181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Legal Holiday.</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is to be made, the amount of the liability in respect of a finance or capital lease that would at that time be required to be capitalized on a balance sheet prepared in accordance with U.S.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820" w:hanging="432"/>
        <w:spacing w:after="0"/>
        <w:tabs>
          <w:tab w:leader="none" w:pos="18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the case of a corporation, corporate stock or shares;</w:t>
      </w:r>
    </w:p>
    <w:p>
      <w:pPr>
        <w:spacing w:after="0" w:line="117" w:lineRule="exact"/>
        <w:rPr>
          <w:rFonts w:ascii="Arial" w:cs="Arial" w:eastAsia="Arial" w:hAnsi="Arial"/>
          <w:sz w:val="18"/>
          <w:szCs w:val="18"/>
          <w:color w:val="auto"/>
        </w:rPr>
      </w:pPr>
    </w:p>
    <w:p>
      <w:pPr>
        <w:ind w:left="980" w:right="40" w:firstLine="408"/>
        <w:spacing w:after="0" w:line="277" w:lineRule="auto"/>
        <w:tabs>
          <w:tab w:leader="none" w:pos="181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or membership interests (whether general or limited); and</w:t>
      </w:r>
    </w:p>
    <w:p>
      <w:pPr>
        <w:spacing w:after="0" w:line="140" w:lineRule="exact"/>
        <w:rPr>
          <w:rFonts w:ascii="Arial" w:cs="Arial" w:eastAsia="Arial" w:hAnsi="Arial"/>
          <w:sz w:val="16"/>
          <w:szCs w:val="16"/>
          <w:color w:val="auto"/>
        </w:rPr>
      </w:pPr>
    </w:p>
    <w:p>
      <w:pPr>
        <w:ind w:left="980" w:right="340" w:firstLine="408"/>
        <w:spacing w:after="0" w:line="263" w:lineRule="auto"/>
        <w:tabs>
          <w:tab w:leader="none" w:pos="181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980" w:right="140" w:firstLine="408"/>
        <w:spacing w:after="0" w:line="263" w:lineRule="auto"/>
        <w:tabs>
          <w:tab w:leader="none" w:pos="1816"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full faith and credit of the United States is pledged in support of those securities) having maturities of not more than six months from the date of acquisition;</w:t>
      </w:r>
    </w:p>
    <w:p>
      <w:pPr>
        <w:spacing w:after="0" w:line="75" w:lineRule="exact"/>
        <w:rPr>
          <w:rFonts w:ascii="Arial" w:cs="Arial" w:eastAsia="Arial" w:hAnsi="Arial"/>
          <w:sz w:val="18"/>
          <w:szCs w:val="18"/>
          <w:color w:val="auto"/>
        </w:rPr>
      </w:pPr>
    </w:p>
    <w:p>
      <w:pPr>
        <w:ind w:left="980" w:right="40" w:firstLine="408"/>
        <w:spacing w:after="0" w:line="273" w:lineRule="auto"/>
        <w:tabs>
          <w:tab w:leader="none" w:pos="1816" w:val="left"/>
        </w:tabs>
        <w:numPr>
          <w:ilvl w:val="0"/>
          <w:numId w:val="364"/>
        </w:numPr>
        <w:rPr>
          <w:rFonts w:ascii="Arial" w:cs="Arial" w:eastAsia="Arial" w:hAnsi="Arial"/>
          <w:sz w:val="17"/>
          <w:szCs w:val="17"/>
          <w:color w:val="auto"/>
        </w:rPr>
      </w:pPr>
      <w:r>
        <w:rPr>
          <w:rFonts w:ascii="Arial" w:cs="Arial" w:eastAsia="Arial" w:hAnsi="Arial"/>
          <w:sz w:val="17"/>
          <w:szCs w:val="17"/>
          <w:color w:val="auto"/>
        </w:rPr>
        <w:t>demand deposits, certificates of deposit, time deposits and eurodollar time deposits with maturities of 12 months or less from the date of acquisition, bankers’ acceptances with maturities not exceeding six months and overnight bank deposits, in each case, with any commercial bank organized under the laws of Macau, Hong Kong, a member state of the European Union or of the United States of America or any state thereof having capital and surplus in excess of US$500.0 million (or the foreign currency equivalent thereof as of the date of such investment) and whose long-term debt is rated “A-3” or higher by Moody’s or “A-” or higher by S&amp;P or the equivalent rating category or another internationally recognized rating agency;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44" w:name="page345"/>
    <w:bookmarkEnd w:id="344"/>
    <w:p>
      <w:pPr>
        <w:ind w:left="1820" w:hanging="432"/>
        <w:spacing w:after="0"/>
        <w:tabs>
          <w:tab w:leader="none" w:pos="1820" w:val="left"/>
        </w:tabs>
        <w:numPr>
          <w:ilvl w:val="1"/>
          <w:numId w:val="3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 obligations with a term of not more than seven days for underlying securities of the types described in clauses</w:t>
      </w:r>
    </w:p>
    <w:p>
      <w:pPr>
        <w:spacing w:after="0" w:line="34" w:lineRule="exact"/>
        <w:rPr>
          <w:rFonts w:ascii="Arial" w:cs="Arial" w:eastAsia="Arial" w:hAnsi="Arial"/>
          <w:sz w:val="17"/>
          <w:szCs w:val="17"/>
          <w:color w:val="auto"/>
        </w:rPr>
      </w:pPr>
    </w:p>
    <w:p>
      <w:pPr>
        <w:ind w:left="1240" w:hanging="253"/>
        <w:spacing w:after="0"/>
        <w:tabs>
          <w:tab w:leader="none" w:pos="12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and (2) above entered into with any financial institution meeting the qualifications specified in clause (2) above;</w:t>
      </w:r>
    </w:p>
    <w:p>
      <w:pPr>
        <w:spacing w:after="0" w:line="102" w:lineRule="exact"/>
        <w:rPr>
          <w:rFonts w:ascii="Arial" w:cs="Arial" w:eastAsia="Arial" w:hAnsi="Arial"/>
          <w:sz w:val="18"/>
          <w:szCs w:val="18"/>
          <w:color w:val="auto"/>
        </w:rPr>
      </w:pPr>
    </w:p>
    <w:p>
      <w:pPr>
        <w:ind w:left="980" w:right="40" w:firstLine="408"/>
        <w:spacing w:after="0" w:line="277" w:lineRule="auto"/>
        <w:tabs>
          <w:tab w:leader="none" w:pos="1771" w:val="left"/>
        </w:tabs>
        <w:numPr>
          <w:ilvl w:val="1"/>
          <w:numId w:val="366"/>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12 months after the date of acquisition; and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money market funds at least 95% of the assets of which constitute Cash Equivalents of the kinds described in clauses</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through (4) of this definition.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Casualty</w:t>
      </w:r>
      <w:r>
        <w:rPr>
          <w:rFonts w:ascii="Arial" w:cs="Arial" w:eastAsia="Arial" w:hAnsi="Arial"/>
          <w:sz w:val="16"/>
          <w:szCs w:val="16"/>
          <w:color w:val="auto"/>
        </w:rPr>
        <w:t>” means any casualty, loss, damage, destruction or other similar loss with respect to real or personal property or improvements.</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jc w:val="both"/>
        <w:ind w:left="980" w:right="40" w:firstLine="408"/>
        <w:spacing w:after="0" w:line="259" w:lineRule="auto"/>
        <w:tabs>
          <w:tab w:leader="none" w:pos="177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or “group” (as such terms are used in Section 13(d) of the Exchange Act) (other than Melco Resorts or a Related Party of Melco Resorts);</w:t>
      </w:r>
    </w:p>
    <w:p>
      <w:pPr>
        <w:spacing w:after="0" w:line="186" w:lineRule="exact"/>
        <w:rPr>
          <w:rFonts w:ascii="Arial" w:cs="Arial" w:eastAsia="Arial" w:hAnsi="Arial"/>
          <w:sz w:val="18"/>
          <w:szCs w:val="18"/>
          <w:color w:val="auto"/>
        </w:rPr>
      </w:pPr>
    </w:p>
    <w:p>
      <w:pPr>
        <w:ind w:left="1780" w:hanging="392"/>
        <w:spacing w:after="0"/>
        <w:tabs>
          <w:tab w:leader="none" w:pos="17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 or</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first day on which:</w:t>
      </w:r>
    </w:p>
    <w:p>
      <w:pPr>
        <w:spacing w:after="0" w:line="130" w:lineRule="exact"/>
        <w:rPr>
          <w:rFonts w:ascii="Arial" w:cs="Arial" w:eastAsia="Arial" w:hAnsi="Arial"/>
          <w:sz w:val="18"/>
          <w:szCs w:val="18"/>
          <w:color w:val="auto"/>
        </w:rPr>
      </w:pPr>
    </w:p>
    <w:p>
      <w:pPr>
        <w:ind w:left="2400" w:hanging="433"/>
        <w:spacing w:after="0" w:line="296" w:lineRule="auto"/>
        <w:tabs>
          <w:tab w:leader="none" w:pos="2400" w:val="left"/>
        </w:tabs>
        <w:numPr>
          <w:ilvl w:val="1"/>
          <w:numId w:val="367"/>
        </w:numPr>
        <w:rPr>
          <w:rFonts w:ascii="Arial" w:cs="Arial" w:eastAsia="Arial" w:hAnsi="Arial"/>
          <w:sz w:val="16"/>
          <w:szCs w:val="16"/>
          <w:color w:val="auto"/>
        </w:rPr>
      </w:pPr>
      <w:r>
        <w:rPr>
          <w:rFonts w:ascii="Arial" w:cs="Arial" w:eastAsia="Arial" w:hAnsi="Arial"/>
          <w:sz w:val="16"/>
          <w:szCs w:val="16"/>
          <w:color w:val="auto"/>
        </w:rPr>
        <w:t>Melco Resorts ceases to own, directly or indirectly, (i) a majority, or (ii) if Melco Resorts is authorized by the relevant Gaming Authority or is otherwise permitted to hold less than 50.1% of Equity Interest in Studio City International, the greater of (x) such lesser percentage and (y) 35%, of the outstanding Equity Interests and/or Voting Stock of each of the Company and Studio City Holdings Five Limited (or any Person which becomes a “Golden Shareholder” and/or a “Preference Holder” under the Direct Agreement pursuant to the terms thereof, if any);</w:t>
      </w:r>
    </w:p>
    <w:p>
      <w:pPr>
        <w:spacing w:after="0" w:line="66" w:lineRule="exact"/>
        <w:rPr>
          <w:rFonts w:ascii="Arial" w:cs="Arial" w:eastAsia="Arial" w:hAnsi="Arial"/>
          <w:sz w:val="16"/>
          <w:szCs w:val="16"/>
          <w:color w:val="auto"/>
        </w:rPr>
      </w:pPr>
    </w:p>
    <w:p>
      <w:pPr>
        <w:ind w:left="2400" w:right="380" w:hanging="433"/>
        <w:spacing w:after="0" w:line="277" w:lineRule="auto"/>
        <w:tabs>
          <w:tab w:leader="none" w:pos="24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Melco Resorts ceases to own, directly or indirectly, less than 50.1% of Equity Interest in Melco Resorts Macau (or another operator of the Studio City Casino); or</w:t>
      </w:r>
    </w:p>
    <w:p>
      <w:pPr>
        <w:spacing w:after="0" w:line="75" w:lineRule="exact"/>
        <w:rPr>
          <w:rFonts w:ascii="Arial" w:cs="Arial" w:eastAsia="Arial" w:hAnsi="Arial"/>
          <w:sz w:val="18"/>
          <w:szCs w:val="18"/>
          <w:color w:val="auto"/>
        </w:rPr>
      </w:pPr>
    </w:p>
    <w:p>
      <w:pPr>
        <w:ind w:left="2400" w:right="140" w:hanging="433"/>
        <w:spacing w:after="0" w:line="263" w:lineRule="auto"/>
        <w:tabs>
          <w:tab w:leader="none" w:pos="24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Melco Resorts ceases to have, directly or indirectly (through a Subsidiary), the power to nominate a number of directors on the Board of Directors of the Company who are entitled to cast a majority of the votes which may be cast at a meeting of the Board of Directors of the Company.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 Luxembourg</w:t>
      </w:r>
      <w:r>
        <w:rPr>
          <w:rFonts w:ascii="Arial" w:cs="Arial" w:eastAsia="Arial" w:hAnsi="Arial"/>
          <w:sz w:val="18"/>
          <w:szCs w:val="18"/>
          <w:color w:val="auto"/>
        </w:rPr>
        <w:t>” means Clearstream Banking S.A.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Studio City Finance Limited, and any and all successors thereto.</w:t>
      </w:r>
    </w:p>
    <w:p>
      <w:pPr>
        <w:spacing w:after="0" w:line="225"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Condemnation</w:t>
      </w:r>
      <w:r>
        <w:rPr>
          <w:rFonts w:ascii="Arial" w:cs="Arial" w:eastAsia="Arial" w:hAnsi="Arial"/>
          <w:sz w:val="17"/>
          <w:szCs w:val="17"/>
          <w:color w:val="auto"/>
        </w:rPr>
        <w:t>” means any taking by a Governmental Authority of assets or property, or any part thereof or interest therein, for public or quasi-public use under the power of eminent domain, by reason of any public improvement or condemnation or in any other manner.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45" w:name="page346"/>
    <w:bookmarkEnd w:id="34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Person for any period, the aggregate of the Net Income of such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Subsidiaries for such period, on a consolidated basis, determined in accordance with U.S. GAAP;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03" w:lineRule="exact"/>
        <w:rPr>
          <w:sz w:val="20"/>
          <w:szCs w:val="20"/>
          <w:color w:val="auto"/>
        </w:rPr>
      </w:pPr>
    </w:p>
    <w:p>
      <w:pPr>
        <w:ind w:left="980" w:right="60" w:firstLine="408"/>
        <w:spacing w:after="0" w:line="263" w:lineRule="auto"/>
        <w:tabs>
          <w:tab w:leader="none" w:pos="177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Net Income (or loss) of any Person that is not a Restricted Subsidiary or that is accounted for by the equity method of accounting will be included only to the extent of the amount of dividends or similar distributions actually paid in cash to, or the amount of loss actually funded in cash by, the specified Person or a Restricted Subsidiary of the Person;</w:t>
      </w:r>
    </w:p>
    <w:p>
      <w:pPr>
        <w:spacing w:after="0" w:line="75" w:lineRule="exact"/>
        <w:rPr>
          <w:rFonts w:ascii="Arial" w:cs="Arial" w:eastAsia="Arial" w:hAnsi="Arial"/>
          <w:sz w:val="18"/>
          <w:szCs w:val="18"/>
          <w:color w:val="auto"/>
        </w:rPr>
      </w:pPr>
    </w:p>
    <w:p>
      <w:pPr>
        <w:ind w:left="980" w:firstLine="408"/>
        <w:spacing w:after="0" w:line="272" w:lineRule="auto"/>
        <w:tabs>
          <w:tab w:leader="none" w:pos="1771"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the Net Income of any Restricted Subsidiary that is not a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Consolidated Net Income of the specified Person will be increased by the amount of dividends or similar contributions actually paid in cash (or to the extent converted into cash) to the specified Person or any of its Restricted Subsidiaries that is a Subsidiary Guarantor, to the extent not already included therein;</w:t>
      </w:r>
    </w:p>
    <w:p>
      <w:pPr>
        <w:spacing w:after="0" w:line="69" w:lineRule="exact"/>
        <w:rPr>
          <w:rFonts w:ascii="Arial" w:cs="Arial" w:eastAsia="Arial" w:hAnsi="Arial"/>
          <w:sz w:val="17"/>
          <w:szCs w:val="17"/>
          <w:color w:val="auto"/>
        </w:rPr>
      </w:pPr>
    </w:p>
    <w:p>
      <w:pPr>
        <w:ind w:left="1780" w:hanging="392"/>
        <w:spacing w:after="0"/>
        <w:tabs>
          <w:tab w:leader="none" w:pos="17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 and</w:t>
      </w:r>
    </w:p>
    <w:p>
      <w:pPr>
        <w:spacing w:after="0" w:line="117" w:lineRule="exact"/>
        <w:rPr>
          <w:rFonts w:ascii="Arial" w:cs="Arial" w:eastAsia="Arial" w:hAnsi="Arial"/>
          <w:sz w:val="18"/>
          <w:szCs w:val="18"/>
          <w:color w:val="auto"/>
        </w:rPr>
      </w:pPr>
    </w:p>
    <w:p>
      <w:pPr>
        <w:jc w:val="both"/>
        <w:ind w:left="980" w:firstLine="408"/>
        <w:spacing w:after="0" w:line="286" w:lineRule="auto"/>
        <w:tabs>
          <w:tab w:leader="none" w:pos="1771" w:val="left"/>
        </w:tabs>
        <w:numPr>
          <w:ilvl w:val="0"/>
          <w:numId w:val="368"/>
        </w:numPr>
        <w:rPr>
          <w:rFonts w:ascii="Arial" w:cs="Arial" w:eastAsia="Arial" w:hAnsi="Arial"/>
          <w:sz w:val="17"/>
          <w:szCs w:val="17"/>
          <w:color w:val="auto"/>
        </w:rPr>
      </w:pPr>
      <w:r>
        <w:rPr>
          <w:rFonts w:ascii="Arial" w:cs="Arial" w:eastAsia="Arial" w:hAnsi="Arial"/>
          <w:sz w:val="17"/>
          <w:szCs w:val="17"/>
          <w:color w:val="auto"/>
        </w:rPr>
        <w:t>charges or expenses related to deferred financing fees and Indebtedness issuance costs, including related commissions, fees and expenses, premiums paid or other expenses incurred directly in connection with any early extinguishment of Indebtedness and any net gain (loss) from any write-off, extinguishment, repurchase, cancellation or forgiveness of Indebtedness will be excluded.</w:t>
      </w:r>
    </w:p>
    <w:p>
      <w:pPr>
        <w:spacing w:after="0" w:line="16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 of the Trustee</w:t>
      </w:r>
      <w:r>
        <w:rPr>
          <w:rFonts w:ascii="Arial" w:cs="Arial" w:eastAsia="Arial" w:hAnsi="Arial"/>
          <w:sz w:val="18"/>
          <w:szCs w:val="18"/>
          <w:color w:val="auto"/>
        </w:rPr>
        <w:t>” means the address of the Trustee specified in Section 13.02 hereof or such other address as to which the Trustee may give notice to the Company.</w:t>
      </w:r>
    </w:p>
    <w:p>
      <w:pPr>
        <w:spacing w:after="0" w:line="170"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indentures or commercial paper facilities, in each case, with banks or other lenders providing for revolving credit loans, term loans, receivables financing (including through the sale of receivables to such lenders or to special purpose entities formed to borrow from such lenders against such receivables), letters of credit or other forms of Indebtedness, in each case, as amended, restated, modified, renewed, refunded, replaced (whether upon or after termination or otherwise) or refinanced (including by means of sales of debt securities to investors) in whole or in part from time to time.</w:t>
      </w:r>
    </w:p>
    <w:p>
      <w:pPr>
        <w:spacing w:after="0" w:line="188"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 Documents</w:t>
      </w:r>
      <w:r>
        <w:rPr>
          <w:rFonts w:ascii="Arial" w:cs="Arial" w:eastAsia="Arial" w:hAnsi="Arial"/>
          <w:sz w:val="18"/>
          <w:szCs w:val="18"/>
          <w:color w:val="auto"/>
        </w:rPr>
        <w:t>” means the collective reference to any Credit Facilities, any notes issued pursuant thereto and the guarantees thereof, and the collateral or other documents relating thereto, as amended, supplemented, restated, renewed, refunded, replaced, restructured, repaid, refinanced or otherwise modified, in whole or in part, from time to time.</w:t>
      </w:r>
    </w:p>
    <w:p>
      <w:pPr>
        <w:spacing w:after="0" w:line="184"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Deutsche Bank Trust Company Americas, as custodian with respect to the Notes in global form, or any successor entity thereto.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w:t>
      </w:r>
      <w:r>
        <w:rPr>
          <w:rFonts w:ascii="Arial" w:cs="Arial" w:eastAsia="Arial" w:hAnsi="Arial"/>
          <w:sz w:val="18"/>
          <w:szCs w:val="18"/>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84"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46" w:name="page347"/>
    <w:bookmarkEnd w:id="346"/>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Direct Agreement</w:t>
      </w:r>
      <w:r>
        <w:rPr>
          <w:rFonts w:ascii="Arial" w:cs="Arial" w:eastAsia="Arial" w:hAnsi="Arial"/>
          <w:sz w:val="18"/>
          <w:szCs w:val="18"/>
          <w:color w:val="auto"/>
        </w:rPr>
        <w:t>” means the direct agreement dated November 26, 2013, in relation to (a) the Services and Right to Use Agreement and (b) the Reinvestment Agreement.</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Stock</w:t>
      </w:r>
      <w:r>
        <w:rPr>
          <w:rFonts w:ascii="Arial" w:cs="Arial" w:eastAsia="Arial" w:hAnsi="Arial"/>
          <w:sz w:val="17"/>
          <w:szCs w:val="17"/>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Company to repurchase such Capital Stock upon the occurrence of a change of control or an asset sale will not constitute Disqualified Stock if the terms of such Capital Stock provide that the Company may not repurchase or redeem any such Capital Stock pursuant to such provisions unless such repurchase or redemption complies with Section 4.07 hereof. The amount of Disqualified Stock deemed to be outstanding at any time for purposes of this Indenture will be the maximum amount that the Company may become obligated to pay upon the maturity of, or pursuant to any mandatory redemption provisions of, such Disqualified Stock, exclusive of accrued dividends.</w:t>
      </w:r>
    </w:p>
    <w:p>
      <w:pPr>
        <w:spacing w:after="0" w:line="185"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Dormant Subsidiary</w:t>
      </w:r>
      <w:r>
        <w:rPr>
          <w:rFonts w:ascii="Arial" w:cs="Arial" w:eastAsia="Arial" w:hAnsi="Arial"/>
          <w:sz w:val="16"/>
          <w:szCs w:val="16"/>
          <w:color w:val="auto"/>
        </w:rPr>
        <w:t>” means a Restricted Subsidiary of the Company which does not trade (for itself or as agent for any other person) and does not own, legally or beneficially, assets (including, without limitation, Indebtedness owed to it) which in aggregate have a book value greater than US$100,000 and has no third-party recourse Indebtedness or intercompany Indebtedness with the Company or any other Restricted Subsidiary.</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means, with respect to any Person for any period, the Consolidated Net Income of such Person for such period plus,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duplication:</w:t>
      </w:r>
    </w:p>
    <w:p>
      <w:pPr>
        <w:spacing w:after="0" w:line="103" w:lineRule="exact"/>
        <w:rPr>
          <w:sz w:val="20"/>
          <w:szCs w:val="20"/>
          <w:color w:val="auto"/>
        </w:rPr>
      </w:pPr>
    </w:p>
    <w:p>
      <w:pPr>
        <w:ind w:left="980" w:right="420" w:firstLine="408"/>
        <w:spacing w:after="0" w:line="342" w:lineRule="auto"/>
        <w:tabs>
          <w:tab w:leader="none" w:pos="1771"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6"/>
          <w:szCs w:val="16"/>
          <w:i w:val="1"/>
          <w:iCs w:val="1"/>
          <w:color w:val="auto"/>
        </w:rPr>
        <w:t>plus</w:t>
      </w:r>
    </w:p>
    <w:p>
      <w:pPr>
        <w:spacing w:after="0" w:line="15" w:lineRule="exact"/>
        <w:rPr>
          <w:rFonts w:ascii="Arial" w:cs="Arial" w:eastAsia="Arial" w:hAnsi="Arial"/>
          <w:sz w:val="16"/>
          <w:szCs w:val="16"/>
          <w:color w:val="auto"/>
        </w:rPr>
      </w:pPr>
    </w:p>
    <w:p>
      <w:pPr>
        <w:ind w:left="980" w:right="160" w:firstLine="408"/>
        <w:spacing w:after="0" w:line="277" w:lineRule="auto"/>
        <w:tabs>
          <w:tab w:leader="none" w:pos="177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80" w:right="300" w:firstLine="408"/>
        <w:spacing w:after="0" w:line="277" w:lineRule="auto"/>
        <w:tabs>
          <w:tab w:leader="none" w:pos="177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80" w:right="40" w:firstLine="408"/>
        <w:spacing w:after="0" w:line="257" w:lineRule="auto"/>
        <w:tabs>
          <w:tab w:leader="none" w:pos="177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8"/>
          <w:szCs w:val="18"/>
          <w:i w:val="1"/>
          <w:iCs w:val="1"/>
          <w:color w:val="auto"/>
        </w:rPr>
        <w:t>plus</w:t>
      </w:r>
    </w:p>
    <w:p>
      <w:pPr>
        <w:spacing w:after="0" w:line="79" w:lineRule="exact"/>
        <w:rPr>
          <w:rFonts w:ascii="Arial" w:cs="Arial" w:eastAsia="Arial" w:hAnsi="Arial"/>
          <w:sz w:val="18"/>
          <w:szCs w:val="18"/>
          <w:color w:val="auto"/>
        </w:rPr>
      </w:pPr>
    </w:p>
    <w:p>
      <w:pPr>
        <w:ind w:left="1780" w:hanging="392"/>
        <w:spacing w:after="0"/>
        <w:tabs>
          <w:tab w:leader="none" w:pos="178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any non-cash compensation charge arising from any grant of stock, stock options or other equity based awards; </w:t>
      </w:r>
      <w:r>
        <w:rPr>
          <w:rFonts w:ascii="Arial" w:cs="Arial" w:eastAsia="Arial" w:hAnsi="Arial"/>
          <w:sz w:val="17"/>
          <w:szCs w:val="17"/>
          <w:i w:val="1"/>
          <w:iCs w:val="1"/>
          <w:color w:val="auto"/>
        </w:rPr>
        <w:t>plus</w:t>
      </w:r>
    </w:p>
    <w:p>
      <w:pPr>
        <w:spacing w:after="0" w:line="128" w:lineRule="exact"/>
        <w:rPr>
          <w:rFonts w:ascii="Arial" w:cs="Arial" w:eastAsia="Arial" w:hAnsi="Arial"/>
          <w:sz w:val="17"/>
          <w:szCs w:val="17"/>
          <w:color w:val="auto"/>
        </w:rPr>
      </w:pPr>
    </w:p>
    <w:p>
      <w:pPr>
        <w:ind w:left="1780" w:hanging="392"/>
        <w:spacing w:after="0"/>
        <w:tabs>
          <w:tab w:leader="none" w:pos="17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Pre-Opening Expenses, to the extent such expense were deducted in computing Consolidated Net Income;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any goodwill or other intangible asset impairment charge; </w:t>
      </w:r>
      <w:r>
        <w:rPr>
          <w:rFonts w:ascii="Arial" w:cs="Arial" w:eastAsia="Arial" w:hAnsi="Arial"/>
          <w:sz w:val="18"/>
          <w:szCs w:val="18"/>
          <w:i w:val="1"/>
          <w:iCs w:val="1"/>
          <w:color w:val="auto"/>
        </w:rPr>
        <w:t>plus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47" w:name="page348"/>
    <w:bookmarkEnd w:id="347"/>
    <w:p>
      <w:pPr>
        <w:ind w:left="980" w:right="420" w:firstLine="408"/>
        <w:spacing w:after="0" w:line="277" w:lineRule="auto"/>
        <w:tabs>
          <w:tab w:leader="none" w:pos="1771" w:val="left"/>
        </w:tabs>
        <w:numPr>
          <w:ilvl w:val="0"/>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non-cash items increasing such Consolidated Net Income for such period, other than the accrual of revenue in the ordinary course of business,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on a consolidated basis and determined in accordance with U.S. GAAP.</w:t>
      </w:r>
    </w:p>
    <w:p>
      <w:pPr>
        <w:spacing w:after="0" w:line="225" w:lineRule="exact"/>
        <w:rPr>
          <w:sz w:val="20"/>
          <w:szCs w:val="20"/>
          <w:color w:val="auto"/>
        </w:rPr>
      </w:pPr>
    </w:p>
    <w:p>
      <w:pPr>
        <w:jc w:val="both"/>
        <w:ind w:right="140" w:firstLine="991"/>
        <w:spacing w:after="0" w:line="286" w:lineRule="auto"/>
        <w:rPr>
          <w:sz w:val="20"/>
          <w:szCs w:val="20"/>
          <w:color w:val="auto"/>
        </w:rPr>
      </w:pPr>
      <w:r>
        <w:rPr>
          <w:rFonts w:ascii="Arial" w:cs="Arial" w:eastAsia="Arial" w:hAnsi="Arial"/>
          <w:sz w:val="17"/>
          <w:szCs w:val="17"/>
          <w:color w:val="auto"/>
        </w:rPr>
        <w:t>Notwithstanding the preceding, the provision for taxes based on the income or profits of, and the depreciation and amortization and other non-cash expenses of, a Restricted Subsidiary of the Company will be added to Consolidated Net Income to compute EBITDA of the Company only to the extent that a corresponding amount was included in the calculation of Consolidated Net Income.</w:t>
      </w:r>
    </w:p>
    <w:p>
      <w:pPr>
        <w:spacing w:after="0" w:line="16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public sale or private issuance of Capital Stock (other than Disqualified Stock) of (1) the Company or (2) a direct or indirect parent of the Company to the extent the net proceeds from such issuance are contributed in cash to the common equity capital of the Company (in each case other than pursuant to a registration statement on Form S-8 or otherwise relating to equity securities issuable under any employee benefit plan of the Company).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the Company, any Subsidiary Guarantor or any Restricted Subsidiary of the Company that is a Significant Subsidiary, any (1) Casualty, (2) Condemnation or seizure (other than pursuant to foreclosure) or (3) settlement in lieu of clause (2) above, in each case having a fair market value in excess of US$20.0 million.</w:t>
      </w:r>
    </w:p>
    <w:p>
      <w:pPr>
        <w:spacing w:after="0" w:line="184"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United States Securities Exchange Act of 1934, as amended, and the rules and regulations of the SEC promulgated thereunder.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Contributions</w:t>
      </w:r>
      <w:r>
        <w:rPr>
          <w:rFonts w:ascii="Arial" w:cs="Arial" w:eastAsia="Arial" w:hAnsi="Arial"/>
          <w:sz w:val="18"/>
          <w:szCs w:val="18"/>
          <w:color w:val="auto"/>
        </w:rPr>
        <w:t>” means the net cash proceeds received by the Company subsequent to the Issue Date from:</w:t>
      </w:r>
    </w:p>
    <w:p>
      <w:pPr>
        <w:spacing w:after="0" w:line="117" w:lineRule="exact"/>
        <w:rPr>
          <w:sz w:val="20"/>
          <w:szCs w:val="20"/>
          <w:color w:val="auto"/>
        </w:rPr>
      </w:pPr>
    </w:p>
    <w:p>
      <w:pPr>
        <w:ind w:left="1780" w:hanging="392"/>
        <w:spacing w:after="0"/>
        <w:tabs>
          <w:tab w:leader="none" w:pos="17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117" w:lineRule="exact"/>
        <w:rPr>
          <w:rFonts w:ascii="Arial" w:cs="Arial" w:eastAsia="Arial" w:hAnsi="Arial"/>
          <w:sz w:val="18"/>
          <w:szCs w:val="18"/>
          <w:color w:val="auto"/>
        </w:rPr>
      </w:pPr>
    </w:p>
    <w:p>
      <w:pPr>
        <w:jc w:val="both"/>
        <w:ind w:left="980" w:right="200" w:firstLine="408"/>
        <w:spacing w:after="0" w:line="263" w:lineRule="auto"/>
        <w:tabs>
          <w:tab w:leader="none" w:pos="177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issuance or sale (other than to a Subsidiary of the Company or to any Company or Subsidiary management equity plan or stock option plan or any other management or employee benefit plan or agreement) by the Company of shares of its Capital Stock (other than Disqualified Stock) or a share capital increase;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each case, designated as Excluded Contributions on the date on which such Excluded Contributions were received pursuant to an Officer’s Certificate, and excluded from the calculation set forth in Section 4.07(a)(4)(C)(ii) hereof.</w:t>
      </w:r>
    </w:p>
    <w:p>
      <w:pPr>
        <w:spacing w:after="0" w:line="170" w:lineRule="exact"/>
        <w:rPr>
          <w:sz w:val="20"/>
          <w:szCs w:val="20"/>
          <w:color w:val="auto"/>
        </w:rPr>
      </w:pPr>
    </w:p>
    <w:p>
      <w:pPr>
        <w:jc w:val="both"/>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Subsidiary</w:t>
      </w:r>
      <w:r>
        <w:rPr>
          <w:rFonts w:ascii="Arial" w:cs="Arial" w:eastAsia="Arial" w:hAnsi="Arial"/>
          <w:sz w:val="16"/>
          <w:szCs w:val="16"/>
          <w:color w:val="auto"/>
        </w:rPr>
        <w:t>” means a Restricted Subsidiary of the Company which (a) is incorporated solely for the purpose of complying with the requirements of the government of Macau in connection with the conduct of the Permitted Business by the Company and its Restricted Subsidiaries, and (b) does not own, legally or beneficially, assets (including, without limitation, Indebtedness owed to it) which in aggregate have a book value greater than US$100,000 and has no third-party recourse Indebtedness or intercompany Indebtedness with the Company or any other Restricted Subsidiary.</w:t>
      </w:r>
    </w:p>
    <w:p>
      <w:pPr>
        <w:spacing w:after="0" w:line="157"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Studio City Company Notes</w:t>
      </w:r>
      <w:r>
        <w:rPr>
          <w:rFonts w:ascii="Arial" w:cs="Arial" w:eastAsia="Arial" w:hAnsi="Arial"/>
          <w:sz w:val="18"/>
          <w:szCs w:val="18"/>
          <w:color w:val="auto"/>
        </w:rPr>
        <w:t>” means the US$850,000,000 7.250% Senior Secured Notes due 2021 of Studio City Company Limited outstanding on the Issue Date.</w:t>
      </w:r>
    </w:p>
    <w:p>
      <w:pPr>
        <w:spacing w:after="0" w:line="170"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the Board of Directors of the Company (unless otherwise provided in this Indenture).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48" w:name="page349"/>
    <w:bookmarkEnd w:id="348"/>
    <w:p>
      <w:pPr>
        <w:ind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17" w:lineRule="exact"/>
        <w:rPr>
          <w:sz w:val="20"/>
          <w:szCs w:val="20"/>
          <w:color w:val="auto"/>
        </w:rPr>
      </w:pPr>
    </w:p>
    <w:p>
      <w:pPr>
        <w:ind w:left="980" w:right="200" w:firstLine="408"/>
        <w:spacing w:after="0" w:line="296" w:lineRule="auto"/>
        <w:tabs>
          <w:tab w:leader="none" w:pos="1771"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53" w:lineRule="exact"/>
        <w:rPr>
          <w:rFonts w:ascii="Arial" w:cs="Arial" w:eastAsia="Arial" w:hAnsi="Arial"/>
          <w:sz w:val="16"/>
          <w:szCs w:val="16"/>
          <w:color w:val="auto"/>
        </w:rPr>
      </w:pPr>
    </w:p>
    <w:p>
      <w:pPr>
        <w:ind w:left="980" w:right="760" w:firstLine="408"/>
        <w:spacing w:after="0" w:line="308" w:lineRule="auto"/>
        <w:tabs>
          <w:tab w:leader="none" w:pos="1771"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EBITDA attributable to discontinued operations, as determined in accordance with U.S. GAAP, and operations or businesses (and ownership interests therein) disposed of prior to the Calculation Date, will be excluded;</w:t>
      </w:r>
    </w:p>
    <w:p>
      <w:pPr>
        <w:spacing w:after="0" w:line="38" w:lineRule="exact"/>
        <w:rPr>
          <w:rFonts w:ascii="Arial" w:cs="Arial" w:eastAsia="Arial" w:hAnsi="Arial"/>
          <w:sz w:val="17"/>
          <w:szCs w:val="17"/>
          <w:color w:val="auto"/>
        </w:rPr>
      </w:pPr>
    </w:p>
    <w:p>
      <w:pPr>
        <w:jc w:val="both"/>
        <w:ind w:left="980" w:right="380" w:firstLine="408"/>
        <w:spacing w:after="0" w:line="259" w:lineRule="auto"/>
        <w:tabs>
          <w:tab w:leader="none" w:pos="177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U.S.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78" w:lineRule="exact"/>
        <w:rPr>
          <w:rFonts w:ascii="Arial" w:cs="Arial" w:eastAsia="Arial" w:hAnsi="Arial"/>
          <w:sz w:val="18"/>
          <w:szCs w:val="18"/>
          <w:color w:val="auto"/>
        </w:rPr>
      </w:pPr>
    </w:p>
    <w:p>
      <w:pPr>
        <w:ind w:left="980" w:right="260" w:firstLine="408"/>
        <w:spacing w:after="0" w:line="277" w:lineRule="auto"/>
        <w:tabs>
          <w:tab w:leader="none" w:pos="177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62" w:lineRule="exact"/>
        <w:rPr>
          <w:rFonts w:ascii="Arial" w:cs="Arial" w:eastAsia="Arial" w:hAnsi="Arial"/>
          <w:sz w:val="18"/>
          <w:szCs w:val="18"/>
          <w:color w:val="auto"/>
        </w:rPr>
      </w:pPr>
    </w:p>
    <w:p>
      <w:pPr>
        <w:ind w:left="980" w:right="100" w:firstLine="408"/>
        <w:spacing w:after="0" w:line="277" w:lineRule="auto"/>
        <w:tabs>
          <w:tab w:leader="none" w:pos="177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62" w:lineRule="exact"/>
        <w:rPr>
          <w:rFonts w:ascii="Arial" w:cs="Arial" w:eastAsia="Arial" w:hAnsi="Arial"/>
          <w:sz w:val="18"/>
          <w:szCs w:val="18"/>
          <w:color w:val="auto"/>
        </w:rPr>
      </w:pPr>
    </w:p>
    <w:p>
      <w:pPr>
        <w:jc w:val="both"/>
        <w:ind w:left="980" w:right="40" w:firstLine="408"/>
        <w:spacing w:after="0" w:line="311" w:lineRule="auto"/>
        <w:tabs>
          <w:tab w:leader="none" w:pos="1771" w:val="left"/>
        </w:tabs>
        <w:numPr>
          <w:ilvl w:val="0"/>
          <w:numId w:val="372"/>
        </w:numPr>
        <w:rPr>
          <w:rFonts w:ascii="Arial" w:cs="Arial" w:eastAsia="Arial" w:hAnsi="Arial"/>
          <w:sz w:val="16"/>
          <w:szCs w:val="16"/>
          <w:color w:val="auto"/>
        </w:rPr>
      </w:pPr>
      <w:r>
        <w:rPr>
          <w:rFonts w:ascii="Arial" w:cs="Arial" w:eastAsia="Arial" w:hAnsi="Arial"/>
          <w:sz w:val="16"/>
          <w:szCs w:val="16"/>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117" w:lineRule="exact"/>
        <w:rPr>
          <w:sz w:val="20"/>
          <w:szCs w:val="20"/>
          <w:color w:val="auto"/>
        </w:rPr>
      </w:pPr>
    </w:p>
    <w:p>
      <w:pPr>
        <w:ind w:left="980" w:right="500" w:firstLine="408"/>
        <w:spacing w:after="0" w:line="291" w:lineRule="auto"/>
        <w:tabs>
          <w:tab w:leader="none" w:pos="1771" w:val="left"/>
        </w:tabs>
        <w:numPr>
          <w:ilvl w:val="1"/>
          <w:numId w:val="373"/>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discount (but not (i) debt issuance costs, commissions, fees and expenses or</w:t>
      </w:r>
    </w:p>
    <w:p>
      <w:pPr>
        <w:ind w:left="980" w:right="140" w:firstLine="7"/>
        <w:spacing w:after="0" w:line="273" w:lineRule="auto"/>
        <w:tabs>
          <w:tab w:leader="none" w:pos="1245" w:val="left"/>
        </w:tabs>
        <w:numPr>
          <w:ilvl w:val="0"/>
          <w:numId w:val="374"/>
        </w:numPr>
        <w:rPr>
          <w:rFonts w:ascii="Arial" w:cs="Arial" w:eastAsia="Arial" w:hAnsi="Arial"/>
          <w:sz w:val="17"/>
          <w:szCs w:val="17"/>
          <w:color w:val="auto"/>
        </w:rPr>
      </w:pPr>
      <w:r>
        <w:rPr>
          <w:rFonts w:ascii="Arial" w:cs="Arial" w:eastAsia="Arial" w:hAnsi="Arial"/>
          <w:sz w:val="17"/>
          <w:szCs w:val="17"/>
          <w:color w:val="auto"/>
        </w:rPr>
        <w:t xml:space="preserve">amortization of discount on the Intercompany Note Proceeds Loans),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7"/>
          <w:szCs w:val="17"/>
          <w:i w:val="1"/>
          <w:iCs w:val="1"/>
          <w:color w:val="auto"/>
        </w:rPr>
        <w:t>plus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49" w:name="page350"/>
    <w:bookmarkEnd w:id="349"/>
    <w:p>
      <w:pPr>
        <w:ind w:left="1784" w:hanging="392"/>
        <w:spacing w:after="0"/>
        <w:tabs>
          <w:tab w:leader="none" w:pos="1784" w:val="left"/>
        </w:tabs>
        <w:numPr>
          <w:ilvl w:val="0"/>
          <w:numId w:val="3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consolidated interest expense of such Person and its Restricted Subsidiaries that was capitalized during such period; </w:t>
      </w:r>
      <w:r>
        <w:rPr>
          <w:rFonts w:ascii="Arial" w:cs="Arial" w:eastAsia="Arial" w:hAnsi="Arial"/>
          <w:sz w:val="16"/>
          <w:szCs w:val="16"/>
          <w:i w:val="1"/>
          <w:iCs w:val="1"/>
          <w:color w:val="auto"/>
        </w:rPr>
        <w:t>plus</w:t>
      </w:r>
    </w:p>
    <w:p>
      <w:pPr>
        <w:spacing w:after="0" w:line="140" w:lineRule="exact"/>
        <w:rPr>
          <w:rFonts w:ascii="Arial" w:cs="Arial" w:eastAsia="Arial" w:hAnsi="Arial"/>
          <w:sz w:val="16"/>
          <w:szCs w:val="16"/>
          <w:color w:val="auto"/>
        </w:rPr>
      </w:pPr>
    </w:p>
    <w:p>
      <w:pPr>
        <w:ind w:left="984" w:right="20" w:firstLine="408"/>
        <w:spacing w:after="0" w:line="286" w:lineRule="auto"/>
        <w:tabs>
          <w:tab w:leader="none" w:pos="1775"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any interest on Indebtedness of another Person that is guaranteed by such Person or one of its Restricted Subsidiaries or secured by a Lien on assets of such Person or one of its Restricted Subsidiaries (other than Indebtedness secured by a Lien of the type specified in clause (22) of the definition of “Permitted Liens”), whether or not such Guarantee or Lien is called upon; </w:t>
      </w:r>
      <w:r>
        <w:rPr>
          <w:rFonts w:ascii="Arial" w:cs="Arial" w:eastAsia="Arial" w:hAnsi="Arial"/>
          <w:sz w:val="17"/>
          <w:szCs w:val="17"/>
          <w:i w:val="1"/>
          <w:iCs w:val="1"/>
          <w:color w:val="auto"/>
        </w:rPr>
        <w:t>plus</w:t>
      </w:r>
    </w:p>
    <w:p>
      <w:pPr>
        <w:spacing w:after="0" w:line="57" w:lineRule="exact"/>
        <w:rPr>
          <w:rFonts w:ascii="Arial" w:cs="Arial" w:eastAsia="Arial" w:hAnsi="Arial"/>
          <w:sz w:val="17"/>
          <w:szCs w:val="17"/>
          <w:color w:val="auto"/>
        </w:rPr>
      </w:pPr>
    </w:p>
    <w:p>
      <w:pPr>
        <w:ind w:left="984" w:right="80" w:firstLine="408"/>
        <w:spacing w:after="0" w:line="275" w:lineRule="auto"/>
        <w:tabs>
          <w:tab w:leader="none" w:pos="1775"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such Person (other than Disqualified Stock) or to such Person or a Restricted Subsidiary of such Person, </w:t>
      </w:r>
      <w:r>
        <w:rPr>
          <w:rFonts w:ascii="Arial" w:cs="Arial" w:eastAsia="Arial" w:hAnsi="Arial"/>
          <w:sz w:val="17"/>
          <w:szCs w:val="17"/>
          <w:i w:val="1"/>
          <w:iCs w:val="1"/>
          <w:color w:val="auto"/>
        </w:rPr>
        <w:t>times</w:t>
      </w:r>
      <w:r>
        <w:rPr>
          <w:rFonts w:ascii="Arial" w:cs="Arial" w:eastAsia="Arial" w:hAnsi="Arial"/>
          <w:sz w:val="17"/>
          <w:szCs w:val="17"/>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U.S. GAAP.</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Authorities</w:t>
      </w:r>
      <w:r>
        <w:rPr>
          <w:rFonts w:ascii="Arial" w:cs="Arial" w:eastAsia="Arial" w:hAnsi="Arial"/>
          <w:sz w:val="16"/>
          <w:szCs w:val="16"/>
          <w:color w:val="auto"/>
        </w:rPr>
        <w:t>” means the applicable gaming board, commission, or other governmental gaming regulatory body or agency which</w:t>
      </w:r>
    </w:p>
    <w:p>
      <w:pPr>
        <w:spacing w:after="0" w:line="46" w:lineRule="exact"/>
        <w:rPr>
          <w:sz w:val="20"/>
          <w:szCs w:val="20"/>
          <w:color w:val="auto"/>
        </w:rPr>
      </w:pPr>
    </w:p>
    <w:p>
      <w:pPr>
        <w:ind w:left="4" w:right="260" w:hanging="4"/>
        <w:spacing w:after="0" w:line="253" w:lineRule="auto"/>
        <w:tabs>
          <w:tab w:leader="none" w:pos="24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has, or may at any time after issuance of the Notes have, jurisdiction over the gaming activities (i) at the Studio City Casino, (ii) of Melco Resorts Macau (or any other operator of the Studio City Casino including Melco Resorts or any of its Affiliates), or (iii) of the Company or any of its Subsidiaries, or any successor to such authority or (b) is, or may at any time after the issuance of the Notes be, responsible for interpreting, administering and enforcing the Gaming Laws.</w:t>
      </w:r>
    </w:p>
    <w:p>
      <w:pPr>
        <w:spacing w:after="0" w:line="193" w:lineRule="exact"/>
        <w:rPr>
          <w:sz w:val="20"/>
          <w:szCs w:val="20"/>
          <w:color w:val="auto"/>
        </w:rPr>
      </w:pPr>
    </w:p>
    <w:p>
      <w:pPr>
        <w:ind w:left="4" w:right="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Laws</w:t>
      </w:r>
      <w:r>
        <w:rPr>
          <w:rFonts w:ascii="Arial" w:cs="Arial" w:eastAsia="Arial" w:hAnsi="Arial"/>
          <w:sz w:val="18"/>
          <w:szCs w:val="18"/>
          <w:color w:val="auto"/>
        </w:rPr>
        <w:t>” means all applicable constitutions, treatises, resolutions, laws, regulations, instructions and statutes pursuant to which any Gaming Authority possesses regulatory, licensing or permit authority over gaming, gambling or casino activities, and all rules, rulings, orders, ordinances, regulations of any Gaming Authority applicable to the gambling, casino, gaming businesses or activities (i) at Studio City Casino, (ii) of Melco Resorts Macau (or any other operator of the Studio City Casino including Melco Resorts or any of its Affiliates), or (iii) of the Company or any of its Subsidiaries in any jurisdiction, as in effect from time to time, including the policies, interpretations and administration thereof by the Gaming Authorities.</w:t>
      </w:r>
    </w:p>
    <w:p>
      <w:pPr>
        <w:spacing w:after="0" w:line="192" w:lineRule="exact"/>
        <w:rPr>
          <w:sz w:val="20"/>
          <w:szCs w:val="20"/>
          <w:color w:val="auto"/>
        </w:rPr>
      </w:pPr>
    </w:p>
    <w:p>
      <w:pPr>
        <w:ind w:left="4"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Licenses</w:t>
      </w:r>
      <w:r>
        <w:rPr>
          <w:rFonts w:ascii="Arial" w:cs="Arial" w:eastAsia="Arial" w:hAnsi="Arial"/>
          <w:sz w:val="16"/>
          <w:szCs w:val="16"/>
          <w:color w:val="auto"/>
        </w:rPr>
        <w:t>” means any concession, subconcession, license, permit, franchise or other authorization at any time required under any Gaming Laws to own, lease, operate or otherwise conduct the gaming business (i) at Studio City Casino or (ii) of Melco Resorts Macau.</w:t>
      </w:r>
    </w:p>
    <w:p>
      <w:pPr>
        <w:spacing w:after="0" w:line="124"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 Legend</w:t>
      </w:r>
      <w:r>
        <w:rPr>
          <w:rFonts w:ascii="Arial" w:cs="Arial" w:eastAsia="Arial" w:hAnsi="Arial"/>
          <w:sz w:val="18"/>
          <w:szCs w:val="18"/>
          <w:color w:val="auto"/>
        </w:rPr>
        <w:t>” means the legend set forth in Section 2.06(f)(2) hereof, which is required to be placed on all Global Notes issued under this Indenture.</w:t>
      </w:r>
    </w:p>
    <w:p>
      <w:pPr>
        <w:spacing w:after="0" w:line="170"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individually and collectively, each of the Restricted Global Notes and the Unrestricted Global Notes deposited with or on behalf of and registered in the name of the Depository or its nominee, substantially in the form of Exhibit A hereto and that bears the Global Note Legend and that has the “Schedule of Exchanges of Interests in the Global Note” attached thereto, issued in accordance with Section 2.01, 2.06(b)(3), 2.06(b)(4), and with Section 2.06(d)(2) or 2.06(f) hereof.</w:t>
      </w:r>
    </w:p>
    <w:p>
      <w:pPr>
        <w:spacing w:after="0" w:line="187" w:lineRule="exact"/>
        <w:rPr>
          <w:sz w:val="20"/>
          <w:szCs w:val="20"/>
          <w:color w:val="auto"/>
        </w:rPr>
      </w:pPr>
    </w:p>
    <w:p>
      <w:pPr>
        <w:ind w:left="4"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Macau SAR or any other territory,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50" w:name="page351"/>
    <w:bookmarkEnd w:id="350"/>
    <w:p>
      <w:pPr>
        <w:ind w:right="4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17" w:lineRule="exact"/>
        <w:rPr>
          <w:sz w:val="20"/>
          <w:szCs w:val="20"/>
          <w:color w:val="auto"/>
        </w:rPr>
      </w:pPr>
    </w:p>
    <w:p>
      <w:pPr>
        <w:ind w:left="980" w:firstLine="408"/>
        <w:spacing w:after="0" w:line="277" w:lineRule="auto"/>
        <w:tabs>
          <w:tab w:leader="none" w:pos="177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980" w:right="860" w:firstLine="408"/>
        <w:spacing w:after="0" w:line="277" w:lineRule="auto"/>
        <w:tabs>
          <w:tab w:leader="none" w:pos="177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or commodity prices.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Note is registered.</w:t>
      </w:r>
    </w:p>
    <w:p>
      <w:pPr>
        <w:spacing w:after="0" w:line="225" w:lineRule="exact"/>
        <w:rPr>
          <w:sz w:val="20"/>
          <w:szCs w:val="20"/>
          <w:color w:val="auto"/>
        </w:rPr>
      </w:pPr>
    </w:p>
    <w:p>
      <w:pPr>
        <w:jc w:val="both"/>
        <w:ind w:right="40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Incur</w:t>
      </w:r>
      <w:r>
        <w:rPr>
          <w:rFonts w:ascii="Arial" w:cs="Arial" w:eastAsia="Arial" w:hAnsi="Arial"/>
          <w:sz w:val="16"/>
          <w:szCs w:val="16"/>
          <w:color w:val="auto"/>
        </w:rPr>
        <w:t>” means, with respect to any Indebtedness, Capital Stock or other Obligation of any Person, to create, issue, assume, guarantee, incur (by conversion, exchange, or otherwise) or otherwise become liable in respect of such Indebtedness, Capital Stock or other Obligation or the recording, as required pursuant to U.S. GAAP or otherwise, of any such Indebtedness or other Obligation on the balance sheet of such Person.</w:t>
      </w:r>
    </w:p>
    <w:p>
      <w:pPr>
        <w:spacing w:after="0" w:line="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Indebtedness or Capital Stock otherwise Incurred by a Person before it becomes a Restricted Subsidiary of the Company shall be deemed to be Incurred at the time at which such Person becomes a Restricted Subsidiary of the Company. The accretion of original issue discount, the accrual of interest, the accrual of dividends, the payment of interest in the form of additional Indebtedness and the payment of dividends on Preferred Stock in the form of additional shares of Preferred Stock shall not be considered an Incurrence of Indebtedness.</w:t>
      </w:r>
    </w:p>
    <w:p>
      <w:pPr>
        <w:spacing w:after="0" w:line="176"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62" w:lineRule="exact"/>
        <w:rPr>
          <w:sz w:val="20"/>
          <w:szCs w:val="20"/>
          <w:color w:val="auto"/>
        </w:rPr>
      </w:pPr>
    </w:p>
    <w:p>
      <w:pPr>
        <w:ind w:left="1780" w:hanging="392"/>
        <w:spacing w:after="0"/>
        <w:tabs>
          <w:tab w:leader="none" w:pos="17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102" w:lineRule="exact"/>
        <w:rPr>
          <w:rFonts w:ascii="Arial" w:cs="Arial" w:eastAsia="Arial" w:hAnsi="Arial"/>
          <w:sz w:val="17"/>
          <w:szCs w:val="17"/>
          <w:color w:val="auto"/>
        </w:rPr>
      </w:pPr>
    </w:p>
    <w:p>
      <w:pPr>
        <w:ind w:left="1780" w:hanging="392"/>
        <w:spacing w:after="0"/>
        <w:tabs>
          <w:tab w:leader="none" w:pos="17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17" w:lineRule="exact"/>
        <w:rPr>
          <w:rFonts w:ascii="Arial" w:cs="Arial" w:eastAsia="Arial" w:hAnsi="Arial"/>
          <w:sz w:val="18"/>
          <w:szCs w:val="18"/>
          <w:color w:val="auto"/>
        </w:rPr>
      </w:pPr>
    </w:p>
    <w:p>
      <w:pPr>
        <w:ind w:left="980" w:right="380" w:firstLine="408"/>
        <w:spacing w:after="0" w:line="277" w:lineRule="auto"/>
        <w:tabs>
          <w:tab w:leader="none" w:pos="177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one year after such property is acquired or such services are completed; or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if and to the extent any of the preceding items (other than letters of credit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51" w:name="page352"/>
    <w:bookmarkEnd w:id="351"/>
    <w:p>
      <w:pPr>
        <w:ind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“Indebtedness” will not include (i) any capital commitments, deposits or advances from customers or any contingent obligations to refund payments (including deposits) to customers (or any guarantee thereof), (ii) obligations of the Company or a Restricted Subsidiary of the Company to pay the deferred and unpaid purchase price of property or services due to suppliers of equipment or other assets (including parts thereof) not more than one year after such property is acquired or such services are completed and the amount of unpaid purchase price retained by the Company or any of its Restricted Subsidiaries in the ordinary course of business in connection with an acquisition of equipment or other assets (including parts thereof) pending full operation or contingent on certain conditions during a warranty period of such equipment or assets in accordance with the terms of the acquisition; </w:t>
      </w:r>
      <w:r>
        <w:rPr>
          <w:rFonts w:ascii="Arial" w:cs="Arial" w:eastAsia="Arial" w:hAnsi="Arial"/>
          <w:sz w:val="16"/>
          <w:szCs w:val="16"/>
          <w:i w:val="1"/>
          <w:iCs w:val="1"/>
          <w:color w:val="auto"/>
        </w:rPr>
        <w:t>provided that</w:t>
      </w:r>
      <w:r>
        <w:rPr>
          <w:rFonts w:ascii="Arial" w:cs="Arial" w:eastAsia="Arial" w:hAnsi="Arial"/>
          <w:sz w:val="16"/>
          <w:szCs w:val="16"/>
          <w:color w:val="auto"/>
        </w:rPr>
        <w:t>, in each case of clause (i) and (ii), such Indebtedness is not reflected as borrowings on the consolidated balance sheet of the Company (contingent obligations and commitments referred to in a footnote to financial statements and not otherwise reflected as borrowings on the balance sheet will not be deemed to be reflected on such balance sheet), or (iii) any lease of property which would be considered an operating lease under U.S. GAAP and any guarantee given by the Company or a Restricted Subsidiary in the ordinary course of business solely in connection with, or in respect of, the obligations of the Company or a Restricted Subsidiary under any operating lease.</w:t>
      </w:r>
    </w:p>
    <w:p>
      <w:pPr>
        <w:spacing w:after="0" w:line="172"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The amount of Indebtedness of any Person at any time shall be the outstanding balance at such time of all unconditional obligations as described above and, with respect to contingent obligations, the maximum liability upon the occurrence of the contingency giving rise to the obligation;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89" w:lineRule="exact"/>
        <w:rPr>
          <w:sz w:val="20"/>
          <w:szCs w:val="20"/>
          <w:color w:val="auto"/>
        </w:rPr>
      </w:pPr>
    </w:p>
    <w:p>
      <w:pPr>
        <w:ind w:left="2400" w:right="20" w:hanging="433"/>
        <w:spacing w:after="0" w:line="263" w:lineRule="auto"/>
        <w:tabs>
          <w:tab w:leader="none" w:pos="24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amount outstanding at any time of any Indebtedness issued with original issue discount is the face amount of such Indebtedness less the remaining unamortized portion of the original issue discount of such Indebtedness at such time as determined in conformity with U.S. GAAP;</w:t>
      </w:r>
    </w:p>
    <w:p>
      <w:pPr>
        <w:spacing w:after="0" w:line="89" w:lineRule="exact"/>
        <w:rPr>
          <w:rFonts w:ascii="Arial" w:cs="Arial" w:eastAsia="Arial" w:hAnsi="Arial"/>
          <w:sz w:val="18"/>
          <w:szCs w:val="18"/>
          <w:color w:val="auto"/>
        </w:rPr>
      </w:pPr>
    </w:p>
    <w:p>
      <w:pPr>
        <w:ind w:left="2400" w:right="60" w:hanging="433"/>
        <w:spacing w:after="0" w:line="263" w:lineRule="auto"/>
        <w:tabs>
          <w:tab w:leader="none" w:pos="24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money borrowed and set aside at the time of the Incurrence of any Indebtedness in order to prefund the payment of the interest on such Indebtedness shall not be deemed to be “Indebtedness” so long as such money is held to secure the payment of such interest; and</w:t>
      </w:r>
    </w:p>
    <w:p>
      <w:pPr>
        <w:spacing w:after="0" w:line="89" w:lineRule="exact"/>
        <w:rPr>
          <w:rFonts w:ascii="Arial" w:cs="Arial" w:eastAsia="Arial" w:hAnsi="Arial"/>
          <w:sz w:val="18"/>
          <w:szCs w:val="18"/>
          <w:color w:val="auto"/>
        </w:rPr>
      </w:pPr>
    </w:p>
    <w:p>
      <w:pPr>
        <w:ind w:left="2400" w:hanging="433"/>
        <w:spacing w:after="0" w:line="342" w:lineRule="auto"/>
        <w:tabs>
          <w:tab w:leader="none" w:pos="240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that the amount of or the principal amount of Indebtedness with respect to any Hedging Obligation shall be equal to the net amount payable if such Hedging Obligation terminated at or prior to that time due to a default by such Person.</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Financial Advisor</w:t>
      </w:r>
      <w:r>
        <w:rPr>
          <w:rFonts w:ascii="Arial" w:cs="Arial" w:eastAsia="Arial" w:hAnsi="Arial"/>
          <w:sz w:val="18"/>
          <w:szCs w:val="18"/>
          <w:color w:val="auto"/>
        </w:rPr>
        <w:t>” means accounting, appraisal or investment banking firm of international standing.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Notes</w:t>
      </w:r>
      <w:r>
        <w:rPr>
          <w:rFonts w:ascii="Arial" w:cs="Arial" w:eastAsia="Arial" w:hAnsi="Arial"/>
          <w:sz w:val="17"/>
          <w:szCs w:val="17"/>
          <w:color w:val="auto"/>
        </w:rPr>
        <w:t>” means the first US$500,000,000 aggregate principal amount of Notes issued under this Indenture on the date hereof.</w:t>
      </w:r>
    </w:p>
    <w:p>
      <w:pPr>
        <w:spacing w:after="0" w:line="237"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Deutsche Bank AG, Singapore Branch or Australia, New Zealand Banking Group Limited, Bank of Communications Co., Ltd. Macau Branch, BOC Asia Limited, Industrial and Commercial Bank of China (Asia) Limited, Industrial and Commercial Bank of China (Macau) Limited and Mizuho Securities USA LLC.</w:t>
      </w:r>
    </w:p>
    <w:p>
      <w:pPr>
        <w:spacing w:after="0" w:line="184"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Note Proceeds Loans</w:t>
      </w:r>
      <w:r>
        <w:rPr>
          <w:rFonts w:ascii="Arial" w:cs="Arial" w:eastAsia="Arial" w:hAnsi="Arial"/>
          <w:sz w:val="18"/>
          <w:szCs w:val="18"/>
          <w:color w:val="auto"/>
        </w:rPr>
        <w:t>” means the one or more intercompany loans between the Company and its Subsidiaries pursuant to which the Company on-lends to its Subsidiaries the net proceeds from the issuance of the Notes in accordance with the terms of the definitive documents with respect to the Notes, as amended from time to time, including in connection with any extension, additional issuance or refinancing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52" w:name="page353"/>
    <w:bookmarkEnd w:id="352"/>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Investment Grade Status</w:t>
      </w:r>
      <w:r>
        <w:rPr>
          <w:rFonts w:ascii="Arial" w:cs="Arial" w:eastAsia="Arial" w:hAnsi="Arial"/>
          <w:sz w:val="18"/>
          <w:szCs w:val="18"/>
          <w:color w:val="auto"/>
        </w:rPr>
        <w:t>” shall apply at any time the Notes receive (i) a rating equal to or higher than BBB- (or the equivalent) from S&amp;P and (ii) a rating equal to or higher than Baa3 (or the equivalent) from Moody’s.</w:t>
      </w:r>
    </w:p>
    <w:p>
      <w:pPr>
        <w:spacing w:after="0" w:line="17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and consultants made in the ordinary course of business), purchases or other acquisitions for consideration of Indebtedness, Equity Interests or other securities, together with all items that are or would be classified as investments on a balance sheet prepared in accordance with U.S.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will be deemed to have made an Investment on the date of any such sale or disposition equal to the Fair Market Value of the Company’s Investments in such Subsidiary that were not sold or disposed of in an amount determined as provided in the final paragraph of Section 4.07 hereof. The acquisition by the Company or any Subsidiary of the Company of a Person that holds an Investment in a third Person will be deemed to be an Investment by the Company or such Subsidiary in such third Person in an amount equal to the Fair Market Value of the Investments held by the acquired Person in such third Person in an amount determined as provided in the final paragraph of Section 4.07 hereof. Except as otherwise provided in this Indenture, the amount of an Investment will be determined at the time the Investment is made and without giving effect to subsequent changes in value.</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(other than any Additional Notes) are originally issued.</w:t>
      </w:r>
    </w:p>
    <w:p>
      <w:pPr>
        <w:spacing w:after="0" w:line="225" w:lineRule="exact"/>
        <w:rPr>
          <w:sz w:val="20"/>
          <w:szCs w:val="20"/>
          <w:color w:val="auto"/>
        </w:rPr>
      </w:pPr>
    </w:p>
    <w:p>
      <w:pPr>
        <w:ind w:right="16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Land Concession</w:t>
      </w:r>
      <w:r>
        <w:rPr>
          <w:rFonts w:ascii="Arial" w:cs="Arial" w:eastAsia="Arial" w:hAnsi="Arial"/>
          <w:sz w:val="17"/>
          <w:szCs w:val="17"/>
          <w:color w:val="auto"/>
        </w:rPr>
        <w:t>” means the land concession by way of lease, for a period of 25 years, subject to renewal as of October 17, 2001 for a plot of land situated in Cotai, Macau, described with the Macau Immovable Property Registry under No. 23059 and registered in Studio City Developments Limited’s name under inscription no. 26642 of Book F, titled by Dispatch of the Secretary for Public Works and Transportation no. 100/2001 of October 9, 2001, published in the Macau Official Gazette no. 42 of October 17, 2001, as amended by Dispatch of the Secretary for Public Works and Transportation no. 31/2012 of July 19, 2012, published in the Macau Official Gazette no. 30 of July 25, 2012, and by Dispatch of Secretary for Public Works and Transportation no. 92/2015 of September 10, 2015, published in the Macau Official Gazette no. 38 of September 23, 2015 and including any other amendments from time to time to such land concession.</w:t>
      </w:r>
    </w:p>
    <w:p>
      <w:pPr>
        <w:spacing w:after="0" w:line="177"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 means a Saturday, a Sunday or a day on which banking institutions in the City of New York, New York, Hong Kong, Macau, the British Virgin Islands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“Measurement Date” </w:t>
      </w:r>
      <w:r>
        <w:rPr>
          <w:rFonts w:ascii="Arial" w:cs="Arial" w:eastAsia="Arial" w:hAnsi="Arial"/>
          <w:sz w:val="18"/>
          <w:szCs w:val="18"/>
          <w:color w:val="auto"/>
        </w:rPr>
        <w:t>means February 11, 2019.</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w:t>
      </w:r>
      <w:r>
        <w:rPr>
          <w:rFonts w:ascii="Arial" w:cs="Arial" w:eastAsia="Arial" w:hAnsi="Arial"/>
          <w:sz w:val="18"/>
          <w:szCs w:val="18"/>
          <w:color w:val="auto"/>
        </w:rPr>
        <w:t>” means Melco Resorts &amp; Entertainment Limited, an exempted company incorporated with limited liability under the laws of the Cayman Islands.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 Macau</w:t>
      </w:r>
      <w:r>
        <w:rPr>
          <w:rFonts w:ascii="Arial" w:cs="Arial" w:eastAsia="Arial" w:hAnsi="Arial"/>
          <w:sz w:val="18"/>
          <w:szCs w:val="18"/>
          <w:color w:val="auto"/>
        </w:rPr>
        <w:t>” means Melco Resorts (Macau) Limited, a Macau company.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53" w:name="page354"/>
    <w:bookmarkEnd w:id="353"/>
    <w:p>
      <w:pPr>
        <w:ind w:right="1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Melco Resorts Parties</w:t>
      </w:r>
      <w:r>
        <w:rPr>
          <w:rFonts w:ascii="Arial" w:cs="Arial" w:eastAsia="Arial" w:hAnsi="Arial"/>
          <w:sz w:val="18"/>
          <w:szCs w:val="18"/>
          <w:color w:val="auto"/>
        </w:rPr>
        <w:t>” means COD Resorts Limited, Altira Resorts Limited, Melco Resorts (Macau) Limited, MPEL Services Limited, Golden Future (Management Services) Limited, MPEL Properties (Macau) Limited, Melco Resorts Security Services Limited, Melco Resorts Travel Limited, MCE Transportation Limited, MCE Transportation Two Limited and any other Person which accedes to the MSA as a “</w:t>
      </w:r>
      <w:r>
        <w:rPr>
          <w:rFonts w:ascii="Arial" w:cs="Arial" w:eastAsia="Arial" w:hAnsi="Arial"/>
          <w:sz w:val="18"/>
          <w:szCs w:val="18"/>
          <w:i w:val="1"/>
          <w:iCs w:val="1"/>
          <w:color w:val="auto"/>
        </w:rPr>
        <w:t>Melco Crown Party</w:t>
      </w:r>
      <w:r>
        <w:rPr>
          <w:rFonts w:ascii="Arial" w:cs="Arial" w:eastAsia="Arial" w:hAnsi="Arial"/>
          <w:sz w:val="18"/>
          <w:szCs w:val="18"/>
          <w:color w:val="auto"/>
        </w:rPr>
        <w:t>” pursuant to terms thereof; and a “</w:t>
      </w:r>
      <w:r>
        <w:rPr>
          <w:rFonts w:ascii="Arial" w:cs="Arial" w:eastAsia="Arial" w:hAnsi="Arial"/>
          <w:sz w:val="18"/>
          <w:szCs w:val="18"/>
          <w:i w:val="1"/>
          <w:iCs w:val="1"/>
          <w:color w:val="auto"/>
        </w:rPr>
        <w:t>Melco Resorts Party</w:t>
      </w:r>
      <w:r>
        <w:rPr>
          <w:rFonts w:ascii="Arial" w:cs="Arial" w:eastAsia="Arial" w:hAnsi="Arial"/>
          <w:sz w:val="18"/>
          <w:szCs w:val="18"/>
          <w:color w:val="auto"/>
        </w:rPr>
        <w:t>” means any of them.</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MSA</w:t>
      </w:r>
      <w:r>
        <w:rPr>
          <w:rFonts w:ascii="Arial" w:cs="Arial" w:eastAsia="Arial" w:hAnsi="Arial"/>
          <w:sz w:val="16"/>
          <w:szCs w:val="16"/>
          <w:color w:val="auto"/>
        </w:rPr>
        <w:t>” means the master services agreement dated December 21, 2015, including any work agreements entered into pursuant to the master services agreement, entered into between the Studio City Parties on the one part and the Melco Resorts Parties on the other part, as amended, modified, supplemented, extended, replaced or renewed from time to time, and any other master services agreement or equivalent agreement or contract, including any work agreements entered into pursuant to any such master services agreement, in each case entered into in connection with the conduct of Permitted Business and on terms that are no less favorable to the Company or the relevant Restricted Subsidiary than those that would have been obtained in an arm’s length commercial transaction, as amended, modified, supplemented, extended, replaced or renewed from time to time.</w:t>
      </w:r>
    </w:p>
    <w:p>
      <w:pPr>
        <w:spacing w:after="0" w:line="164"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of such Person, determined in accordance with U.S. GAAP and before any reduction in respect of Preferred Stock dividends, excluding, however:</w:t>
      </w:r>
    </w:p>
    <w:p>
      <w:pPr>
        <w:spacing w:after="0" w:line="62" w:lineRule="exact"/>
        <w:rPr>
          <w:sz w:val="20"/>
          <w:szCs w:val="20"/>
          <w:color w:val="auto"/>
        </w:rPr>
      </w:pPr>
    </w:p>
    <w:p>
      <w:pPr>
        <w:ind w:left="980" w:firstLine="408"/>
        <w:spacing w:after="0" w:line="263" w:lineRule="auto"/>
        <w:tabs>
          <w:tab w:leader="none" w:pos="177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any Asset Sale; or (b) the disposition of any securities by such Person or any of its Restricted Subsidiaries or the extinguishment, repurchase or cancellation of any Indebtedness of such Person or any of its Restricted Subsidiaries; and</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any reserve for adjustment in respect of the sale price of such asset or assets established in accordance with U.S. GAAP.</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980" w:right="40" w:firstLine="408"/>
        <w:spacing w:after="0" w:line="291" w:lineRule="auto"/>
        <w:tabs>
          <w:tab w:leader="none" w:pos="1771" w:val="left"/>
        </w:tabs>
        <w:numPr>
          <w:ilvl w:val="1"/>
          <w:numId w:val="381"/>
        </w:numPr>
        <w:rPr>
          <w:rFonts w:ascii="Arial" w:cs="Arial" w:eastAsia="Arial" w:hAnsi="Arial"/>
          <w:sz w:val="16"/>
          <w:szCs w:val="16"/>
          <w:color w:val="auto"/>
        </w:rPr>
      </w:pPr>
      <w:r>
        <w:rPr>
          <w:rFonts w:ascii="Arial" w:cs="Arial" w:eastAsia="Arial" w:hAnsi="Arial"/>
          <w:sz w:val="16"/>
          <w:szCs w:val="16"/>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w:t>
      </w:r>
    </w:p>
    <w:p>
      <w:pPr>
        <w:ind w:left="1240" w:hanging="253"/>
        <w:spacing w:after="0"/>
        <w:tabs>
          <w:tab w:leader="none" w:pos="124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constitutes the lender, other than, in the case of (a) and (b), Indebtedness incurred pursuant to Section 4.09(b)(15) hereof; and</w:t>
      </w:r>
    </w:p>
    <w:p>
      <w:pPr>
        <w:spacing w:after="0" w:line="114" w:lineRule="exact"/>
        <w:rPr>
          <w:rFonts w:ascii="Arial" w:cs="Arial" w:eastAsia="Arial" w:hAnsi="Arial"/>
          <w:sz w:val="17"/>
          <w:szCs w:val="17"/>
          <w:color w:val="auto"/>
        </w:rPr>
      </w:pPr>
    </w:p>
    <w:p>
      <w:pPr>
        <w:ind w:left="980" w:right="100" w:firstLine="408"/>
        <w:spacing w:after="0" w:line="277" w:lineRule="auto"/>
        <w:tabs>
          <w:tab w:leader="none" w:pos="1771"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 (other than to the Equity Interests of any Unrestricted Subsidiary).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 Guarantee</w:t>
      </w:r>
      <w:r>
        <w:rPr>
          <w:rFonts w:ascii="Arial" w:cs="Arial" w:eastAsia="Arial" w:hAnsi="Arial"/>
          <w:sz w:val="16"/>
          <w:szCs w:val="16"/>
          <w:color w:val="auto"/>
        </w:rPr>
        <w:t>” means the Guarantee by each Subsidiary Guarantor of the Company’s Obligations under this Indenture and the Notes.</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54" w:name="page355"/>
    <w:bookmarkEnd w:id="354"/>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Notes</w:t>
      </w:r>
      <w:r>
        <w:rPr>
          <w:rFonts w:ascii="Arial" w:cs="Arial" w:eastAsia="Arial" w:hAnsi="Arial"/>
          <w:sz w:val="18"/>
          <w:szCs w:val="18"/>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dated July 8, 2020 in respect of the Notes.</w:t>
      </w:r>
    </w:p>
    <w:p>
      <w:pPr>
        <w:spacing w:after="0" w:line="225"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of the Board, Chief Executive Officer, Property Chief Financial Officer, President, any Executive Vice President, Senior Vice President or Vice President, Treasurer or Secretary of the Company or any Directors of the Board or any Person acting in that capacity.</w:t>
      </w:r>
    </w:p>
    <w:p>
      <w:pPr>
        <w:spacing w:after="0" w:line="18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Company by an Officer of the Company which meets the requirements of Section 13.05 hereof.</w:t>
      </w:r>
    </w:p>
    <w:p>
      <w:pPr>
        <w:spacing w:after="0" w:line="170"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acceptable to the Trustee that meets the requirements of Section 13.05 hereof. The counsel may be an employee of or counsel to the Company.</w:t>
      </w:r>
    </w:p>
    <w:p>
      <w:pPr>
        <w:spacing w:after="0" w:line="170" w:lineRule="exact"/>
        <w:rPr>
          <w:sz w:val="20"/>
          <w:szCs w:val="20"/>
          <w:color w:val="auto"/>
        </w:rPr>
      </w:pPr>
    </w:p>
    <w:p>
      <w:pPr>
        <w:ind w:right="3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means, with respect to the Depositary, Euroclear or Clearstream, Luxembourg, a Person who has an account with the Depositary, Euroclear or Clearstream, Luxembourg, respectively (and, with respect to DTC, shall include Euroclear and Clearstream, Luxembourg).</w:t>
      </w:r>
    </w:p>
    <w:p>
      <w:pPr>
        <w:spacing w:after="0" w:line="12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Business</w:t>
      </w:r>
      <w:r>
        <w:rPr>
          <w:rFonts w:ascii="Arial" w:cs="Arial" w:eastAsia="Arial" w:hAnsi="Arial"/>
          <w:sz w:val="17"/>
          <w:szCs w:val="17"/>
          <w:color w:val="auto"/>
        </w:rPr>
        <w:t>” means (1) any businesses, services or activities engaged in by the Company or any of its Restricted Subsidiaries on the Issue Date, including, without limitation, the construction, development and operation of the Property, (2) any gaming, hotel, accommodation, hospitality, transport, tourism, resort, food and beverage, retail, entertainment, cinema / cinematic venue, audio-visual production (including provision of sound stage, recording studio and similar facilities), performance, cultural or related business, development, project, undertaking or venture of any kind in the Macau SAR, and (3) any other businesses, services, activities or undertaking that are necessary for, supportive of, or connected, related, complementary, incidental, ancillary or similar to, any of the foregoing or are extensions or developments of any thereof (including in support of the businesses, services, activities and undertakings of the Melco Resorts group as a whole or any member thereof including through participation in shared and centralized services and activities).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780" w:hanging="392"/>
        <w:spacing w:after="0"/>
        <w:tabs>
          <w:tab w:leader="none" w:pos="17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Investment in cash or Cash Equivalents;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any Investment by the Company or any Restricted Subsidiary of the Company in a Person, if as a result of such Investment:</w:t>
      </w:r>
    </w:p>
    <w:p>
      <w:pPr>
        <w:spacing w:after="0" w:line="153" w:lineRule="exact"/>
        <w:rPr>
          <w:rFonts w:ascii="Arial" w:cs="Arial" w:eastAsia="Arial" w:hAnsi="Arial"/>
          <w:sz w:val="16"/>
          <w:szCs w:val="16"/>
          <w:color w:val="auto"/>
        </w:rPr>
      </w:pPr>
    </w:p>
    <w:p>
      <w:pPr>
        <w:ind w:left="2400" w:hanging="433"/>
        <w:spacing w:after="0"/>
        <w:tabs>
          <w:tab w:leader="none" w:pos="24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130" w:lineRule="exact"/>
        <w:rPr>
          <w:rFonts w:ascii="Arial" w:cs="Arial" w:eastAsia="Arial" w:hAnsi="Arial"/>
          <w:sz w:val="18"/>
          <w:szCs w:val="18"/>
          <w:color w:val="auto"/>
        </w:rPr>
      </w:pPr>
    </w:p>
    <w:p>
      <w:pPr>
        <w:ind w:left="2400" w:right="120" w:hanging="433"/>
        <w:spacing w:after="0" w:line="277" w:lineRule="auto"/>
        <w:tabs>
          <w:tab w:leader="none" w:pos="24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62" w:lineRule="exact"/>
        <w:rPr>
          <w:rFonts w:ascii="Arial" w:cs="Arial" w:eastAsia="Arial" w:hAnsi="Arial"/>
          <w:sz w:val="18"/>
          <w:szCs w:val="18"/>
          <w:color w:val="auto"/>
        </w:rPr>
      </w:pPr>
    </w:p>
    <w:p>
      <w:pPr>
        <w:ind w:left="980" w:right="200" w:firstLine="408"/>
        <w:spacing w:after="0" w:line="277" w:lineRule="auto"/>
        <w:tabs>
          <w:tab w:leader="none" w:pos="177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Section 4.10 hereof;</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any acquisition of assets or Capital Stock in exchange for the issuance of Equity Interests (other than Disqualified Stock) of the</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55" w:name="page356"/>
    <w:bookmarkEnd w:id="355"/>
    <w:p>
      <w:pPr>
        <w:jc w:val="both"/>
        <w:ind w:right="200" w:firstLine="408"/>
        <w:spacing w:after="0" w:line="259" w:lineRule="auto"/>
        <w:tabs>
          <w:tab w:leader="none" w:pos="791" w:val="left"/>
        </w:tabs>
        <w:numPr>
          <w:ilvl w:val="0"/>
          <w:numId w:val="3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Investments received in compromise or resolution of (A) 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8" w:lineRule="exact"/>
        <w:rPr>
          <w:rFonts w:ascii="Arial" w:cs="Arial" w:eastAsia="Arial" w:hAnsi="Arial"/>
          <w:sz w:val="18"/>
          <w:szCs w:val="18"/>
          <w:color w:val="auto"/>
        </w:rPr>
      </w:pPr>
    </w:p>
    <w:p>
      <w:pPr>
        <w:ind w:left="800" w:hanging="392"/>
        <w:spacing w:after="0"/>
        <w:tabs>
          <w:tab w:leader="none" w:pos="8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17" w:lineRule="exact"/>
        <w:rPr>
          <w:rFonts w:ascii="Arial" w:cs="Arial" w:eastAsia="Arial" w:hAnsi="Arial"/>
          <w:sz w:val="18"/>
          <w:szCs w:val="18"/>
          <w:color w:val="auto"/>
        </w:rPr>
      </w:pPr>
    </w:p>
    <w:p>
      <w:pPr>
        <w:ind w:right="20" w:firstLine="408"/>
        <w:spacing w:after="0" w:line="308" w:lineRule="auto"/>
        <w:tabs>
          <w:tab w:leader="none" w:pos="791" w:val="left"/>
        </w:tabs>
        <w:numPr>
          <w:ilvl w:val="0"/>
          <w:numId w:val="384"/>
        </w:numPr>
        <w:rPr>
          <w:rFonts w:ascii="Arial" w:cs="Arial" w:eastAsia="Arial" w:hAnsi="Arial"/>
          <w:sz w:val="17"/>
          <w:szCs w:val="17"/>
          <w:color w:val="auto"/>
        </w:rPr>
      </w:pPr>
      <w:r>
        <w:rPr>
          <w:rFonts w:ascii="Arial" w:cs="Arial" w:eastAsia="Arial" w:hAnsi="Arial"/>
          <w:sz w:val="17"/>
          <w:szCs w:val="17"/>
          <w:color w:val="auto"/>
        </w:rPr>
        <w:t>loans or advances to employees, officers, or directors made in the ordinary course of business of the Company or any Restricted Subsidiary of the Company in an aggregate principal amount not to exceed US$2.0 million at any one time outstanding;</w:t>
      </w:r>
    </w:p>
    <w:p>
      <w:pPr>
        <w:spacing w:after="0" w:line="38" w:lineRule="exact"/>
        <w:rPr>
          <w:rFonts w:ascii="Arial" w:cs="Arial" w:eastAsia="Arial" w:hAnsi="Arial"/>
          <w:sz w:val="17"/>
          <w:szCs w:val="17"/>
          <w:color w:val="auto"/>
        </w:rPr>
      </w:pPr>
    </w:p>
    <w:p>
      <w:pPr>
        <w:ind w:left="800" w:hanging="392"/>
        <w:spacing w:after="0"/>
        <w:tabs>
          <w:tab w:leader="none" w:pos="8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repurchases of the Notes;</w:t>
      </w:r>
    </w:p>
    <w:p>
      <w:pPr>
        <w:spacing w:after="0" w:line="117" w:lineRule="exact"/>
        <w:rPr>
          <w:rFonts w:ascii="Arial" w:cs="Arial" w:eastAsia="Arial" w:hAnsi="Arial"/>
          <w:sz w:val="18"/>
          <w:szCs w:val="18"/>
          <w:color w:val="auto"/>
        </w:rPr>
      </w:pPr>
    </w:p>
    <w:p>
      <w:pPr>
        <w:ind w:firstLine="408"/>
        <w:spacing w:after="0" w:line="296" w:lineRule="auto"/>
        <w:tabs>
          <w:tab w:leader="none" w:pos="88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any Investments consisting of gaming credit extended to customers and junket operators in the ordinary course of business and consistent with applicable law and any Investments made or deemed to be made in connection with or through any transactions or arrangements involving contractual rights under, pursuant to or in connection with (i) the Services and Right to Use Agreement, the Reinvestment Agreement or the MSA and (ii) any transaction or arrangements made pursuant to clause (10) of the definition of “Asset Sale”, including any amendments, modifications, supplements, extensions, replacements, terminations or renewals;</w:t>
      </w:r>
    </w:p>
    <w:p>
      <w:pPr>
        <w:spacing w:after="0" w:line="53" w:lineRule="exact"/>
        <w:rPr>
          <w:rFonts w:ascii="Arial" w:cs="Arial" w:eastAsia="Arial" w:hAnsi="Arial"/>
          <w:sz w:val="16"/>
          <w:szCs w:val="16"/>
          <w:color w:val="auto"/>
        </w:rPr>
      </w:pPr>
    </w:p>
    <w:p>
      <w:pPr>
        <w:ind w:left="880" w:hanging="472"/>
        <w:spacing w:after="0"/>
        <w:tabs>
          <w:tab w:leader="none" w:pos="88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advances to contractors and suppliers and accounts, trade and notes receivables created or acquired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right="640" w:firstLine="408"/>
        <w:spacing w:after="0" w:line="277" w:lineRule="auto"/>
        <w:tabs>
          <w:tab w:leader="none" w:pos="8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receivables owing to the Company or any of its Restricted Subsidiaries if created or acquired in the ordinary course of business and payable or dischargeable in accordance with customary trade terms;</w:t>
      </w:r>
    </w:p>
    <w:p>
      <w:pPr>
        <w:spacing w:after="0" w:line="62" w:lineRule="exact"/>
        <w:rPr>
          <w:rFonts w:ascii="Arial" w:cs="Arial" w:eastAsia="Arial" w:hAnsi="Arial"/>
          <w:sz w:val="18"/>
          <w:szCs w:val="18"/>
          <w:color w:val="auto"/>
        </w:rPr>
      </w:pPr>
    </w:p>
    <w:p>
      <w:pPr>
        <w:ind w:right="20" w:firstLine="408"/>
        <w:spacing w:after="0" w:line="259" w:lineRule="auto"/>
        <w:tabs>
          <w:tab w:leader="none" w:pos="8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any Investment existing on the Issue Date or made pursuant to binding commitments in effect on the Issue Date or an Investment consisting of any extension, modification or renewal of any Investment existing on the Issue Date;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Investment may be increased (x) as required by the terms of such Investment as in existence on the Issue Date or (y) as otherwise permitted under this Indenture;</w:t>
      </w:r>
    </w:p>
    <w:p>
      <w:pPr>
        <w:spacing w:after="0" w:line="78" w:lineRule="exact"/>
        <w:rPr>
          <w:rFonts w:ascii="Arial" w:cs="Arial" w:eastAsia="Arial" w:hAnsi="Arial"/>
          <w:sz w:val="18"/>
          <w:szCs w:val="18"/>
          <w:color w:val="auto"/>
        </w:rPr>
      </w:pPr>
    </w:p>
    <w:p>
      <w:pPr>
        <w:jc w:val="both"/>
        <w:ind w:right="120" w:firstLine="408"/>
        <w:spacing w:after="0" w:line="263" w:lineRule="auto"/>
        <w:tabs>
          <w:tab w:leader="none" w:pos="8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Investments in prepaid expenses, negotiable instruments held for collection, deposits made in connection with self-insurance, and performance and other similar deposits and prepayments made in connection with an acquisition of assets or property in the ordinary course of business by the Company or any Restricted Subsidiary of the Company;</w:t>
      </w:r>
    </w:p>
    <w:p>
      <w:pPr>
        <w:spacing w:after="0" w:line="75" w:lineRule="exact"/>
        <w:rPr>
          <w:rFonts w:ascii="Arial" w:cs="Arial" w:eastAsia="Arial" w:hAnsi="Arial"/>
          <w:sz w:val="18"/>
          <w:szCs w:val="18"/>
          <w:color w:val="auto"/>
        </w:rPr>
      </w:pPr>
    </w:p>
    <w:p>
      <w:pPr>
        <w:ind w:right="140" w:firstLine="408"/>
        <w:spacing w:after="0" w:line="263" w:lineRule="auto"/>
        <w:tabs>
          <w:tab w:leader="none" w:pos="8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deposits made by the Company or any Restricted Subsidiary of the Company in the ordinary course of business to comply with statutory or regulatory obligations (including land grants) to maintain deposits for the purposes specified by the applicable statute or regulation (including land grants) from time to time;</w:t>
      </w:r>
    </w:p>
    <w:p>
      <w:pPr>
        <w:spacing w:after="0" w:line="75" w:lineRule="exact"/>
        <w:rPr>
          <w:rFonts w:ascii="Arial" w:cs="Arial" w:eastAsia="Arial" w:hAnsi="Arial"/>
          <w:sz w:val="18"/>
          <w:szCs w:val="18"/>
          <w:color w:val="auto"/>
        </w:rPr>
      </w:pPr>
    </w:p>
    <w:p>
      <w:pPr>
        <w:ind w:right="100" w:firstLine="408"/>
        <w:spacing w:after="0" w:line="342" w:lineRule="auto"/>
        <w:tabs>
          <w:tab w:leader="none" w:pos="88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any Investment consisting of a Guarantee permitted by Section 4.09 hereof and performance guarantees that do not constitute Indebtedness entered into by the Company or any Restricted Subsidiary of the Company in the ordinary course of business;</w:t>
      </w:r>
    </w:p>
    <w:p>
      <w:pPr>
        <w:spacing w:after="0" w:line="15" w:lineRule="exact"/>
        <w:rPr>
          <w:rFonts w:ascii="Arial" w:cs="Arial" w:eastAsia="Arial" w:hAnsi="Arial"/>
          <w:sz w:val="16"/>
          <w:szCs w:val="16"/>
          <w:color w:val="auto"/>
        </w:rPr>
      </w:pPr>
    </w:p>
    <w:p>
      <w:pPr>
        <w:ind w:right="80" w:firstLine="408"/>
        <w:spacing w:after="0" w:line="263" w:lineRule="auto"/>
        <w:tabs>
          <w:tab w:leader="none" w:pos="8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to the extent constituting an Investment, licenses of intellectual property rights granted by the Company or any Restricted Subsidiary of the Company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grant does not interfere in any material respect with the ordinary conduct of the business of such Person;</w:t>
      </w:r>
    </w:p>
    <w:p>
      <w:pPr>
        <w:spacing w:after="0" w:line="75" w:lineRule="exact"/>
        <w:rPr>
          <w:rFonts w:ascii="Arial" w:cs="Arial" w:eastAsia="Arial" w:hAnsi="Arial"/>
          <w:sz w:val="18"/>
          <w:szCs w:val="18"/>
          <w:color w:val="auto"/>
        </w:rPr>
      </w:pPr>
    </w:p>
    <w:p>
      <w:pPr>
        <w:ind w:right="160" w:firstLine="408"/>
        <w:spacing w:after="0" w:line="277" w:lineRule="auto"/>
        <w:tabs>
          <w:tab w:leader="none" w:pos="8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materials, services or equipment or purchases of contract rights or licenses or leases of intellectual property, in each case, in the ordinary course of business;</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20"/>
          </w:cols>
          <w:pgMar w:left="1420" w:top="274" w:right="459" w:bottom="1440" w:gutter="0" w:footer="0" w:header="0"/>
        </w:sectPr>
      </w:pPr>
    </w:p>
    <w:bookmarkStart w:id="356" w:name="page357"/>
    <w:bookmarkEnd w:id="356"/>
    <w:p>
      <w:pPr>
        <w:ind w:right="40" w:firstLine="408"/>
        <w:spacing w:after="0" w:line="277" w:lineRule="auto"/>
        <w:tabs>
          <w:tab w:leader="none" w:pos="8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Investments held by a Person that becomes a Restricted Subsidiary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Investments were not acquired in contemplation of the acquisition of such Person;</w:t>
      </w:r>
    </w:p>
    <w:p>
      <w:pPr>
        <w:spacing w:after="0" w:line="62" w:lineRule="exact"/>
        <w:rPr>
          <w:rFonts w:ascii="Arial" w:cs="Arial" w:eastAsia="Arial" w:hAnsi="Arial"/>
          <w:sz w:val="18"/>
          <w:szCs w:val="18"/>
          <w:color w:val="auto"/>
        </w:rPr>
      </w:pPr>
    </w:p>
    <w:p>
      <w:pPr>
        <w:ind w:left="880" w:hanging="472"/>
        <w:spacing w:after="0"/>
        <w:tabs>
          <w:tab w:leader="none" w:pos="8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an Investment in an Unrestricted Subsidiary consisting solely of an Investment in another Unrestricted Subsidiary;</w:t>
      </w:r>
    </w:p>
    <w:p>
      <w:pPr>
        <w:spacing w:after="0" w:line="117" w:lineRule="exact"/>
        <w:rPr>
          <w:rFonts w:ascii="Arial" w:cs="Arial" w:eastAsia="Arial" w:hAnsi="Arial"/>
          <w:sz w:val="18"/>
          <w:szCs w:val="18"/>
          <w:color w:val="auto"/>
        </w:rPr>
      </w:pPr>
    </w:p>
    <w:p>
      <w:pPr>
        <w:ind w:left="880" w:hanging="472"/>
        <w:spacing w:after="0"/>
        <w:tabs>
          <w:tab w:leader="none" w:pos="880" w:val="left"/>
        </w:tabs>
        <w:numPr>
          <w:ilvl w:val="1"/>
          <w:numId w:val="385"/>
        </w:numPr>
        <w:rPr>
          <w:rFonts w:ascii="Arial" w:cs="Arial" w:eastAsia="Arial" w:hAnsi="Arial"/>
          <w:sz w:val="17"/>
          <w:szCs w:val="17"/>
          <w:color w:val="auto"/>
        </w:rPr>
      </w:pPr>
      <w:r>
        <w:rPr>
          <w:rFonts w:ascii="Arial" w:cs="Arial" w:eastAsia="Arial" w:hAnsi="Arial"/>
          <w:sz w:val="17"/>
          <w:szCs w:val="17"/>
          <w:color w:val="auto"/>
        </w:rPr>
        <w:t>pledges or deposits (x) with respect to leases or utilities provided to third parties in the ordinary course of business or</w:t>
      </w:r>
    </w:p>
    <w:p>
      <w:pPr>
        <w:spacing w:after="0" w:line="34" w:lineRule="exact"/>
        <w:rPr>
          <w:rFonts w:ascii="Arial" w:cs="Arial" w:eastAsia="Arial" w:hAnsi="Arial"/>
          <w:sz w:val="17"/>
          <w:szCs w:val="17"/>
          <w:color w:val="auto"/>
        </w:rPr>
      </w:pPr>
    </w:p>
    <w:p>
      <w:pPr>
        <w:ind w:left="260" w:hanging="253"/>
        <w:spacing w:after="0"/>
        <w:tabs>
          <w:tab w:leader="none" w:pos="2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otherwise described in the definition of “Permitted Liens”;</w:t>
      </w:r>
    </w:p>
    <w:p>
      <w:pPr>
        <w:spacing w:after="0" w:line="102" w:lineRule="exact"/>
        <w:rPr>
          <w:rFonts w:ascii="Arial" w:cs="Arial" w:eastAsia="Arial" w:hAnsi="Arial"/>
          <w:sz w:val="18"/>
          <w:szCs w:val="18"/>
          <w:color w:val="auto"/>
        </w:rPr>
      </w:pPr>
    </w:p>
    <w:p>
      <w:pPr>
        <w:ind w:right="280" w:firstLine="408"/>
        <w:spacing w:after="0" w:line="277" w:lineRule="auto"/>
        <w:tabs>
          <w:tab w:leader="none" w:pos="88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 xml:space="preserve">Investments (other than Permitted Investments) made with Excluded Contributions;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amount of Excluded Contributions made will not be included in the calculation of Section 4.07(a)(4)(C)(ii) hereof;</w:t>
      </w:r>
    </w:p>
    <w:p>
      <w:pPr>
        <w:spacing w:after="0" w:line="62" w:lineRule="exact"/>
        <w:rPr>
          <w:rFonts w:ascii="Arial" w:cs="Arial" w:eastAsia="Arial" w:hAnsi="Arial"/>
          <w:sz w:val="18"/>
          <w:szCs w:val="18"/>
          <w:color w:val="auto"/>
        </w:rPr>
      </w:pPr>
    </w:p>
    <w:p>
      <w:pPr>
        <w:ind w:right="140" w:firstLine="408"/>
        <w:spacing w:after="0" w:line="277" w:lineRule="auto"/>
        <w:tabs>
          <w:tab w:leader="none" w:pos="88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arrangements with other Persons; and</w:t>
      </w:r>
    </w:p>
    <w:p>
      <w:pPr>
        <w:spacing w:after="0" w:line="62" w:lineRule="exact"/>
        <w:rPr>
          <w:rFonts w:ascii="Arial" w:cs="Arial" w:eastAsia="Arial" w:hAnsi="Arial"/>
          <w:sz w:val="18"/>
          <w:szCs w:val="18"/>
          <w:color w:val="auto"/>
        </w:rPr>
      </w:pPr>
    </w:p>
    <w:p>
      <w:pPr>
        <w:ind w:firstLine="408"/>
        <w:spacing w:after="0" w:line="286" w:lineRule="auto"/>
        <w:tabs>
          <w:tab w:leader="none" w:pos="880" w:val="left"/>
        </w:tabs>
        <w:numPr>
          <w:ilvl w:val="1"/>
          <w:numId w:val="386"/>
        </w:numPr>
        <w:rPr>
          <w:rFonts w:ascii="Arial" w:cs="Arial" w:eastAsia="Arial" w:hAnsi="Arial"/>
          <w:sz w:val="17"/>
          <w:szCs w:val="17"/>
          <w:color w:val="auto"/>
        </w:rPr>
      </w:pPr>
      <w:r>
        <w:rPr>
          <w:rFonts w:ascii="Arial" w:cs="Arial" w:eastAsia="Arial" w:hAnsi="Arial"/>
          <w:sz w:val="17"/>
          <w:szCs w:val="17"/>
          <w:color w:val="auto"/>
        </w:rPr>
        <w:t>other Investments in any Person having an aggregate Fair Market Value (measured on the date each such Investment was made and without giving effect to subsequent changes in value), when taken together with all other Investments made pursuant to this clause (24) under the Indenture that are at the time outstanding not to exceed US$5.0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800" w:hanging="392"/>
        <w:spacing w:after="0"/>
        <w:tabs>
          <w:tab w:leader="none" w:pos="8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Liens to secure Indebtedness permitted by Section 4.09(b)(1)(i)(x) and Section 4.09(b)(3)(a) hereof;</w:t>
      </w:r>
    </w:p>
    <w:p>
      <w:pPr>
        <w:spacing w:after="0" w:line="117" w:lineRule="exact"/>
        <w:rPr>
          <w:rFonts w:ascii="Arial" w:cs="Arial" w:eastAsia="Arial" w:hAnsi="Arial"/>
          <w:sz w:val="18"/>
          <w:szCs w:val="18"/>
          <w:color w:val="auto"/>
        </w:rPr>
      </w:pPr>
    </w:p>
    <w:p>
      <w:pPr>
        <w:ind w:left="800" w:hanging="392"/>
        <w:spacing w:after="0"/>
        <w:tabs>
          <w:tab w:leader="none" w:pos="8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(including any Additional Notes) or the Note Guarantees;</w:t>
      </w:r>
    </w:p>
    <w:p>
      <w:pPr>
        <w:spacing w:after="0" w:line="117" w:lineRule="exact"/>
        <w:rPr>
          <w:rFonts w:ascii="Arial" w:cs="Arial" w:eastAsia="Arial" w:hAnsi="Arial"/>
          <w:sz w:val="18"/>
          <w:szCs w:val="18"/>
          <w:color w:val="auto"/>
        </w:rPr>
      </w:pPr>
    </w:p>
    <w:p>
      <w:pPr>
        <w:ind w:left="800" w:hanging="392"/>
        <w:spacing w:after="0"/>
        <w:tabs>
          <w:tab w:leader="none" w:pos="8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Liens in favor of the Company or the Subsidiary Guarantors;</w:t>
      </w:r>
    </w:p>
    <w:p>
      <w:pPr>
        <w:spacing w:after="0" w:line="117" w:lineRule="exact"/>
        <w:rPr>
          <w:rFonts w:ascii="Arial" w:cs="Arial" w:eastAsia="Arial" w:hAnsi="Arial"/>
          <w:sz w:val="18"/>
          <w:szCs w:val="18"/>
          <w:color w:val="auto"/>
        </w:rPr>
      </w:pPr>
    </w:p>
    <w:p>
      <w:pPr>
        <w:ind w:right="100" w:firstLine="408"/>
        <w:spacing w:after="0" w:line="259" w:lineRule="auto"/>
        <w:tabs>
          <w:tab w:leader="none" w:pos="791"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the Company or any Subsidiary of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were not created in connection with, or in contemplation of, such merger or consolidation and do not extend to any assets other than those of the Person merged into or consolidated with the Company or the Subsidiary;</w:t>
      </w:r>
    </w:p>
    <w:p>
      <w:pPr>
        <w:spacing w:after="0" w:line="78" w:lineRule="exact"/>
        <w:rPr>
          <w:rFonts w:ascii="Arial" w:cs="Arial" w:eastAsia="Arial" w:hAnsi="Arial"/>
          <w:sz w:val="18"/>
          <w:szCs w:val="18"/>
          <w:color w:val="auto"/>
        </w:rPr>
      </w:pPr>
    </w:p>
    <w:p>
      <w:pPr>
        <w:ind w:right="280" w:firstLine="408"/>
        <w:spacing w:after="0" w:line="263" w:lineRule="auto"/>
        <w:tabs>
          <w:tab w:leader="none" w:pos="791"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Liens on property (including Capital Stock) existing at the time of acquisition of the property by the Company or any Subsidiary of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were in existence prior to, such acquisition, and not incurred in contemplation of, such acquisition;</w:t>
      </w:r>
    </w:p>
    <w:p>
      <w:pPr>
        <w:spacing w:after="0" w:line="75" w:lineRule="exact"/>
        <w:rPr>
          <w:rFonts w:ascii="Arial" w:cs="Arial" w:eastAsia="Arial" w:hAnsi="Arial"/>
          <w:sz w:val="18"/>
          <w:szCs w:val="18"/>
          <w:color w:val="auto"/>
        </w:rPr>
      </w:pPr>
    </w:p>
    <w:p>
      <w:pPr>
        <w:ind w:right="40" w:firstLine="408"/>
        <w:spacing w:after="0" w:line="257" w:lineRule="auto"/>
        <w:tabs>
          <w:tab w:leader="none" w:pos="791" w:val="left"/>
        </w:tabs>
        <w:numPr>
          <w:ilvl w:val="0"/>
          <w:numId w:val="387"/>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workmen’s compensation or employment obligations or other obligations of a like nature, including any Lien securing letters of credit issued in the ordinary course of business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79" w:lineRule="exact"/>
        <w:rPr>
          <w:rFonts w:ascii="Arial" w:cs="Arial" w:eastAsia="Arial" w:hAnsi="Arial"/>
          <w:sz w:val="18"/>
          <w:szCs w:val="18"/>
          <w:color w:val="auto"/>
        </w:rPr>
      </w:pPr>
    </w:p>
    <w:p>
      <w:pPr>
        <w:ind w:firstLine="408"/>
        <w:spacing w:after="0" w:line="263" w:lineRule="auto"/>
        <w:tabs>
          <w:tab w:leader="none" w:pos="791" w:val="left"/>
        </w:tabs>
        <w:numPr>
          <w:ilvl w:val="0"/>
          <w:numId w:val="387"/>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Section 4.09(b)(4) covering only the assets acquired with or financed by such Indebtedness and directly related assets such as proceeds (including insurance proceeds), improvements, replacements and substitutions thereto;</w:t>
      </w:r>
    </w:p>
    <w:p>
      <w:pPr>
        <w:spacing w:after="0" w:line="75" w:lineRule="exact"/>
        <w:rPr>
          <w:rFonts w:ascii="Arial" w:cs="Arial" w:eastAsia="Arial" w:hAnsi="Arial"/>
          <w:sz w:val="18"/>
          <w:szCs w:val="18"/>
          <w:color w:val="auto"/>
        </w:rPr>
      </w:pPr>
    </w:p>
    <w:p>
      <w:pPr>
        <w:ind w:left="800" w:hanging="392"/>
        <w:spacing w:after="0"/>
        <w:tabs>
          <w:tab w:leader="none" w:pos="8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020"/>
          </w:cols>
          <w:pgMar w:left="1420" w:top="274" w:right="459" w:bottom="1440" w:gutter="0" w:footer="0" w:header="0"/>
        </w:sectPr>
      </w:pPr>
    </w:p>
    <w:bookmarkStart w:id="357" w:name="page358"/>
    <w:bookmarkEnd w:id="357"/>
    <w:p>
      <w:pPr>
        <w:ind w:right="120" w:firstLine="408"/>
        <w:spacing w:after="0" w:line="263" w:lineRule="auto"/>
        <w:tabs>
          <w:tab w:leader="none" w:pos="791" w:val="left"/>
        </w:tabs>
        <w:numPr>
          <w:ilvl w:val="0"/>
          <w:numId w:val="3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is required in conformity with U.S. GAAP has been made therefor;</w:t>
      </w:r>
    </w:p>
    <w:p>
      <w:pPr>
        <w:spacing w:after="0" w:line="75" w:lineRule="exact"/>
        <w:rPr>
          <w:rFonts w:ascii="Arial" w:cs="Arial" w:eastAsia="Arial" w:hAnsi="Arial"/>
          <w:sz w:val="18"/>
          <w:szCs w:val="18"/>
          <w:color w:val="auto"/>
        </w:rPr>
      </w:pPr>
    </w:p>
    <w:p>
      <w:pPr>
        <w:ind w:right="20" w:firstLine="408"/>
        <w:spacing w:after="0" w:line="277" w:lineRule="auto"/>
        <w:tabs>
          <w:tab w:leader="none" w:pos="8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landlord’s, suppliers’ and mechanics’ Liens, in each case, incurred in the ordinary course of business;</w:t>
      </w:r>
    </w:p>
    <w:p>
      <w:pPr>
        <w:spacing w:after="0" w:line="62" w:lineRule="exact"/>
        <w:rPr>
          <w:rFonts w:ascii="Arial" w:cs="Arial" w:eastAsia="Arial" w:hAnsi="Arial"/>
          <w:sz w:val="18"/>
          <w:szCs w:val="18"/>
          <w:color w:val="auto"/>
        </w:rPr>
      </w:pPr>
    </w:p>
    <w:p>
      <w:pPr>
        <w:ind w:right="20" w:firstLine="408"/>
        <w:spacing w:after="0" w:line="259" w:lineRule="auto"/>
        <w:tabs>
          <w:tab w:leader="none" w:pos="87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78" w:lineRule="exact"/>
        <w:rPr>
          <w:rFonts w:ascii="Arial" w:cs="Arial" w:eastAsia="Arial" w:hAnsi="Arial"/>
          <w:sz w:val="18"/>
          <w:szCs w:val="18"/>
          <w:color w:val="auto"/>
        </w:rPr>
      </w:pPr>
    </w:p>
    <w:p>
      <w:pPr>
        <w:ind w:left="880" w:hanging="472"/>
        <w:spacing w:after="0"/>
        <w:tabs>
          <w:tab w:leader="none" w:pos="88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Liens to secure any Permitted Refinancing Indebtedness permitted to be Incurred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116" w:lineRule="exact"/>
        <w:rPr>
          <w:rFonts w:ascii="Arial" w:cs="Arial" w:eastAsia="Arial" w:hAnsi="Arial"/>
          <w:sz w:val="16"/>
          <w:szCs w:val="16"/>
          <w:color w:val="auto"/>
        </w:rPr>
      </w:pPr>
    </w:p>
    <w:p>
      <w:pPr>
        <w:ind w:left="1420" w:hanging="433"/>
        <w:spacing w:after="0" w:line="263" w:lineRule="auto"/>
        <w:tabs>
          <w:tab w:leader="none" w:pos="142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89" w:lineRule="exact"/>
        <w:rPr>
          <w:rFonts w:ascii="Arial" w:cs="Arial" w:eastAsia="Arial" w:hAnsi="Arial"/>
          <w:sz w:val="18"/>
          <w:szCs w:val="18"/>
          <w:color w:val="auto"/>
        </w:rPr>
      </w:pPr>
    </w:p>
    <w:p>
      <w:pPr>
        <w:ind w:left="1420" w:right="240" w:hanging="433"/>
        <w:spacing w:after="0" w:line="259" w:lineRule="auto"/>
        <w:tabs>
          <w:tab w:leader="none" w:pos="142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78" w:lineRule="exact"/>
        <w:rPr>
          <w:rFonts w:ascii="Arial" w:cs="Arial" w:eastAsia="Arial" w:hAnsi="Arial"/>
          <w:sz w:val="18"/>
          <w:szCs w:val="18"/>
          <w:color w:val="auto"/>
        </w:rPr>
      </w:pPr>
    </w:p>
    <w:p>
      <w:pPr>
        <w:ind w:right="40" w:firstLine="408"/>
        <w:spacing w:after="0" w:line="277" w:lineRule="auto"/>
        <w:tabs>
          <w:tab w:leader="none" w:pos="8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Liens securing Hedging Obligations so long as the related Indebtedness is, and is permitted to be under this Indenture, secured by a Lien on the same assets or property securing such Hedging Obligations;</w:t>
      </w:r>
    </w:p>
    <w:p>
      <w:pPr>
        <w:spacing w:after="0" w:line="62" w:lineRule="exact"/>
        <w:rPr>
          <w:rFonts w:ascii="Arial" w:cs="Arial" w:eastAsia="Arial" w:hAnsi="Arial"/>
          <w:sz w:val="18"/>
          <w:szCs w:val="18"/>
          <w:color w:val="auto"/>
        </w:rPr>
      </w:pPr>
    </w:p>
    <w:p>
      <w:pPr>
        <w:ind w:right="160" w:firstLine="408"/>
        <w:spacing w:after="0" w:line="257" w:lineRule="auto"/>
        <w:tabs>
          <w:tab w:leader="none" w:pos="8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Liens that are contractual rights of set- off (i) relating to the establishment of depository relations with banks not given in connection with the money borrowed, (ii) relating to pooled deposit or sweep accounts of the Company or any of its Restricted Subsidiaries to permit satisfaction of overdraft or similar obligations incurred in the ordinary course of business of the Company and its Restricted Subsidiaries or (iii) relating to purchase orders and other agreements entered into with customers of the Company or any of its Restricted Subsidiaries in the ordinary course of business;</w:t>
      </w:r>
    </w:p>
    <w:p>
      <w:pPr>
        <w:spacing w:after="0" w:line="79" w:lineRule="exact"/>
        <w:rPr>
          <w:rFonts w:ascii="Arial" w:cs="Arial" w:eastAsia="Arial" w:hAnsi="Arial"/>
          <w:sz w:val="18"/>
          <w:szCs w:val="18"/>
          <w:color w:val="auto"/>
        </w:rPr>
      </w:pPr>
    </w:p>
    <w:p>
      <w:pPr>
        <w:jc w:val="both"/>
        <w:ind w:right="160" w:firstLine="408"/>
        <w:spacing w:after="0" w:line="263" w:lineRule="auto"/>
        <w:tabs>
          <w:tab w:leader="none" w:pos="8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Liens arising out of judgments against such Person not giving rise to an Event of Default, with respect to which such Person shall then be proceeding with an appeal or other proceedings for review,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shall be required in conformity with U.S. GAAP shall have been made therefor;</w:t>
      </w:r>
    </w:p>
    <w:p>
      <w:pPr>
        <w:spacing w:after="0" w:line="75" w:lineRule="exact"/>
        <w:rPr>
          <w:rFonts w:ascii="Arial" w:cs="Arial" w:eastAsia="Arial" w:hAnsi="Arial"/>
          <w:sz w:val="18"/>
          <w:szCs w:val="18"/>
          <w:color w:val="auto"/>
        </w:rPr>
      </w:pPr>
    </w:p>
    <w:p>
      <w:pPr>
        <w:ind w:left="880" w:hanging="472"/>
        <w:spacing w:after="0"/>
        <w:tabs>
          <w:tab w:leader="none" w:pos="8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Liens granted to the Trustee for its compensation and indemnities pursuant to this Indenture;</w:t>
      </w:r>
    </w:p>
    <w:p>
      <w:pPr>
        <w:spacing w:after="0" w:line="117" w:lineRule="exact"/>
        <w:rPr>
          <w:rFonts w:ascii="Arial" w:cs="Arial" w:eastAsia="Arial" w:hAnsi="Arial"/>
          <w:sz w:val="18"/>
          <w:szCs w:val="18"/>
          <w:color w:val="auto"/>
        </w:rPr>
      </w:pPr>
    </w:p>
    <w:p>
      <w:pPr>
        <w:ind w:right="400" w:firstLine="408"/>
        <w:spacing w:after="0" w:line="342" w:lineRule="auto"/>
        <w:tabs>
          <w:tab w:leader="none" w:pos="88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Liens arising out of or in connection with licenses, sublicenses, leases (other than capital leases) and subleases (including rights to use) of assets (including, without limitation, intellectual property) entered into in the ordinary course of business;</w:t>
      </w:r>
    </w:p>
    <w:p>
      <w:pPr>
        <w:spacing w:after="0" w:line="15" w:lineRule="exact"/>
        <w:rPr>
          <w:rFonts w:ascii="Arial" w:cs="Arial" w:eastAsia="Arial" w:hAnsi="Arial"/>
          <w:sz w:val="16"/>
          <w:szCs w:val="16"/>
          <w:color w:val="auto"/>
        </w:rPr>
      </w:pPr>
    </w:p>
    <w:p>
      <w:pPr>
        <w:ind w:right="180" w:firstLine="408"/>
        <w:spacing w:after="0" w:line="263" w:lineRule="auto"/>
        <w:tabs>
          <w:tab w:leader="none" w:pos="8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the Company or any of its Restricted Subsidiaries securing obligations in respect of bankers’ acceptances issued or created to facilitate the purchase, shipment or storage of such inventory or other goods in the ordinary course of business;</w:t>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20"/>
          </w:cols>
          <w:pgMar w:left="1420" w:top="274" w:right="459" w:bottom="1440" w:gutter="0" w:footer="0" w:header="0"/>
        </w:sectPr>
      </w:pPr>
    </w:p>
    <w:bookmarkStart w:id="358" w:name="page359"/>
    <w:bookmarkEnd w:id="358"/>
    <w:p>
      <w:pPr>
        <w:ind w:left="980" w:right="60" w:firstLine="408"/>
        <w:spacing w:after="0" w:line="277" w:lineRule="auto"/>
        <w:tabs>
          <w:tab w:leader="none" w:pos="18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arising out of conditional sale, title retention, hire purchase, consignment or similar arrangement for the sale of goods in the ordinary course of business;</w:t>
      </w:r>
    </w:p>
    <w:p>
      <w:pPr>
        <w:spacing w:after="0" w:line="62" w:lineRule="exact"/>
        <w:rPr>
          <w:rFonts w:ascii="Arial" w:cs="Arial" w:eastAsia="Arial" w:hAnsi="Arial"/>
          <w:sz w:val="18"/>
          <w:szCs w:val="18"/>
          <w:color w:val="auto"/>
        </w:rPr>
      </w:pPr>
    </w:p>
    <w:p>
      <w:pPr>
        <w:ind w:left="980" w:right="300" w:firstLine="408"/>
        <w:spacing w:after="0" w:line="259" w:lineRule="auto"/>
        <w:tabs>
          <w:tab w:leader="none" w:pos="18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Liens arising under customary provisions limiting the disposition or distribution of assets or property or any related restrictions thereon in operating agreements, joint venture agreements, partnership agreements, contracts for sale and other agreements arising in the ordinary course of business;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do not extend to any assets of the Company or any of its Restricted Subsidiaries other than the assets subject to such agreements or contracts;</w:t>
      </w:r>
    </w:p>
    <w:p>
      <w:pPr>
        <w:spacing w:after="0" w:line="78" w:lineRule="exact"/>
        <w:rPr>
          <w:rFonts w:ascii="Arial" w:cs="Arial" w:eastAsia="Arial" w:hAnsi="Arial"/>
          <w:sz w:val="18"/>
          <w:szCs w:val="18"/>
          <w:color w:val="auto"/>
        </w:rPr>
      </w:pPr>
    </w:p>
    <w:p>
      <w:pPr>
        <w:ind w:left="1860" w:hanging="472"/>
        <w:spacing w:after="0"/>
        <w:tabs>
          <w:tab w:leader="none" w:pos="18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Liens on 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1860" w:hanging="472"/>
        <w:spacing w:after="0"/>
        <w:tabs>
          <w:tab w:leader="none" w:pos="18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Liens on the Equity Interests of Unrestricted Subsidiaries;</w:t>
      </w:r>
    </w:p>
    <w:p>
      <w:pPr>
        <w:spacing w:after="0" w:line="117" w:lineRule="exact"/>
        <w:rPr>
          <w:rFonts w:ascii="Arial" w:cs="Arial" w:eastAsia="Arial" w:hAnsi="Arial"/>
          <w:sz w:val="18"/>
          <w:szCs w:val="18"/>
          <w:color w:val="auto"/>
        </w:rPr>
      </w:pPr>
    </w:p>
    <w:p>
      <w:pPr>
        <w:ind w:left="980" w:right="520" w:firstLine="408"/>
        <w:spacing w:after="0" w:line="342" w:lineRule="auto"/>
        <w:tabs>
          <w:tab w:leader="none" w:pos="186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Liens created or Incurred under, pursuant to or in connection with the Services and Right to Use Agreement or the Reinvestment Agreement, including Liens on any revenues or receipts thereunder or any accounts created or maintained thereunder;</w:t>
      </w:r>
    </w:p>
    <w:p>
      <w:pPr>
        <w:spacing w:after="0" w:line="15" w:lineRule="exact"/>
        <w:rPr>
          <w:rFonts w:ascii="Arial" w:cs="Arial" w:eastAsia="Arial" w:hAnsi="Arial"/>
          <w:sz w:val="16"/>
          <w:szCs w:val="16"/>
          <w:color w:val="auto"/>
        </w:rPr>
      </w:pPr>
    </w:p>
    <w:p>
      <w:pPr>
        <w:ind w:left="980" w:right="100" w:firstLine="408"/>
        <w:spacing w:after="0" w:line="277" w:lineRule="auto"/>
        <w:tabs>
          <w:tab w:leader="none" w:pos="18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limited recourse Liens in respect of the ownership interests in, or assets owned by, any joint ventures which are not Restricted Subsidiaries of the Company securing obligations of such joint ventures;</w:t>
      </w:r>
    </w:p>
    <w:p>
      <w:pPr>
        <w:spacing w:after="0" w:line="62" w:lineRule="exact"/>
        <w:rPr>
          <w:rFonts w:ascii="Arial" w:cs="Arial" w:eastAsia="Arial" w:hAnsi="Arial"/>
          <w:sz w:val="18"/>
          <w:szCs w:val="18"/>
          <w:color w:val="auto"/>
        </w:rPr>
      </w:pPr>
    </w:p>
    <w:p>
      <w:pPr>
        <w:ind w:left="1860" w:hanging="472"/>
        <w:spacing w:after="0"/>
        <w:tabs>
          <w:tab w:leader="none" w:pos="18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Liens securing Indebtedness Incurred pursuant to Section 4.09(b)(17) hereof;</w:t>
      </w:r>
    </w:p>
    <w:p>
      <w:pPr>
        <w:spacing w:after="0" w:line="117" w:lineRule="exact"/>
        <w:rPr>
          <w:rFonts w:ascii="Arial" w:cs="Arial" w:eastAsia="Arial" w:hAnsi="Arial"/>
          <w:sz w:val="18"/>
          <w:szCs w:val="18"/>
          <w:color w:val="auto"/>
        </w:rPr>
      </w:pPr>
    </w:p>
    <w:p>
      <w:pPr>
        <w:ind w:left="980" w:right="820" w:firstLine="408"/>
        <w:spacing w:after="0" w:line="277" w:lineRule="auto"/>
        <w:tabs>
          <w:tab w:leader="none" w:pos="18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Company or any Subsidiary of the Company with respect to Obligations that do not exceed US$5.0 million at any one time outstanding; and</w:t>
      </w:r>
    </w:p>
    <w:p>
      <w:pPr>
        <w:spacing w:after="0" w:line="62" w:lineRule="exact"/>
        <w:rPr>
          <w:rFonts w:ascii="Arial" w:cs="Arial" w:eastAsia="Arial" w:hAnsi="Arial"/>
          <w:sz w:val="18"/>
          <w:szCs w:val="18"/>
          <w:color w:val="auto"/>
        </w:rPr>
      </w:pPr>
    </w:p>
    <w:p>
      <w:pPr>
        <w:ind w:left="980" w:right="320" w:firstLine="408"/>
        <w:spacing w:after="0" w:line="259" w:lineRule="auto"/>
        <w:tabs>
          <w:tab w:leader="none" w:pos="18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Liens securing obligations under a debt service reserve account or interest reserve account (including all dividends, instruments, cash and Cash Equivalents and other property, as applicable, on deposit in such account) established for the benefit of creditors securing Indebtedness to the extent such debt service reserve account or interest reserve account is established in the ordinary course of business consistent with past practice.</w:t>
      </w:r>
    </w:p>
    <w:p>
      <w:pPr>
        <w:spacing w:after="0" w:line="187"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the Company or any of its Restricted Subsidiaries issued in exchange for, or the net proceeds of which are used to renew, refund, refinance, replace, defease or discharge other Indebtedness of the Company or any of its Restricted Subsidiaries (other than intercompany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6" w:lineRule="exact"/>
        <w:rPr>
          <w:sz w:val="20"/>
          <w:szCs w:val="20"/>
          <w:color w:val="auto"/>
        </w:rPr>
      </w:pPr>
    </w:p>
    <w:p>
      <w:pPr>
        <w:ind w:left="980" w:firstLine="408"/>
        <w:spacing w:after="0" w:line="311" w:lineRule="auto"/>
        <w:tabs>
          <w:tab w:leader="none" w:pos="1771"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40" w:lineRule="exact"/>
        <w:rPr>
          <w:rFonts w:ascii="Arial" w:cs="Arial" w:eastAsia="Arial" w:hAnsi="Arial"/>
          <w:sz w:val="16"/>
          <w:szCs w:val="16"/>
          <w:color w:val="auto"/>
        </w:rPr>
      </w:pPr>
    </w:p>
    <w:p>
      <w:pPr>
        <w:ind w:left="980" w:right="320" w:firstLine="408"/>
        <w:spacing w:after="0" w:line="263" w:lineRule="auto"/>
        <w:tabs>
          <w:tab w:leader="none" w:pos="177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75" w:lineRule="exact"/>
        <w:rPr>
          <w:rFonts w:ascii="Arial" w:cs="Arial" w:eastAsia="Arial" w:hAnsi="Arial"/>
          <w:sz w:val="18"/>
          <w:szCs w:val="18"/>
          <w:color w:val="auto"/>
        </w:rPr>
      </w:pPr>
    </w:p>
    <w:p>
      <w:pPr>
        <w:ind w:left="980" w:right="20" w:firstLine="408"/>
        <w:spacing w:after="0" w:line="301" w:lineRule="auto"/>
        <w:tabs>
          <w:tab w:leader="none" w:pos="1771" w:val="left"/>
        </w:tabs>
        <w:numPr>
          <w:ilvl w:val="0"/>
          <w:numId w:val="390"/>
        </w:numPr>
        <w:rPr>
          <w:rFonts w:ascii="Arial" w:cs="Arial" w:eastAsia="Arial" w:hAnsi="Arial"/>
          <w:sz w:val="16"/>
          <w:szCs w:val="16"/>
          <w:color w:val="auto"/>
        </w:rPr>
      </w:pPr>
      <w:r>
        <w:rPr>
          <w:rFonts w:ascii="Arial" w:cs="Arial" w:eastAsia="Arial" w:hAnsi="Arial"/>
          <w:sz w:val="16"/>
          <w:szCs w:val="16"/>
          <w:color w:val="auto"/>
        </w:rPr>
        <w:t>if the Indebtedness being renewed, refunded, refinanced, replaced, defeased or discharged is subordinated in right of payment to the Notes or the Note Guarantees, such Permitted Refinancing Indebtedness has a final maturity date later than the final maturity date of, and is subordinated in right of payment to, the Notes and the Note Guarantees on terms at least as favorable to the Holders as those contained in the documentation governing the Indebtedness being renewed, refunded, refinanced, replaced, defeased or discharged;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59" w:name="page360"/>
    <w:bookmarkEnd w:id="359"/>
    <w:p>
      <w:pPr>
        <w:ind w:left="980" w:right="220" w:firstLine="408"/>
        <w:spacing w:after="0" w:line="277" w:lineRule="auto"/>
        <w:tabs>
          <w:tab w:leader="none" w:pos="1771" w:val="left"/>
        </w:tabs>
        <w:numPr>
          <w:ilvl w:val="0"/>
          <w:numId w:val="3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Indebtedness is Incurred either by the Company or by the Restricted Subsidiary who is the obligor on the Indebtedness being renewed, refunded, refinanced, replaced, defeased or discharged.</w:t>
      </w:r>
    </w:p>
    <w:p>
      <w:pPr>
        <w:spacing w:after="0" w:line="170" w:lineRule="exact"/>
        <w:rPr>
          <w:sz w:val="20"/>
          <w:szCs w:val="20"/>
          <w:color w:val="auto"/>
        </w:rPr>
      </w:pPr>
    </w:p>
    <w:p>
      <w:pPr>
        <w:ind w:right="8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46"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w:t>
      </w:r>
      <w:r>
        <w:rPr>
          <w:rFonts w:ascii="Arial" w:cs="Arial" w:eastAsia="Arial" w:hAnsi="Arial"/>
          <w:sz w:val="18"/>
          <w:szCs w:val="18"/>
          <w:color w:val="auto"/>
        </w:rPr>
        <w:t>” means the approximately 477,110 gross square-meter complex on the Site which contains retail, hotel, gaming, entertainment, food and beverage outlets and entertainment studios and other facilities.</w:t>
      </w:r>
    </w:p>
    <w:p>
      <w:pPr>
        <w:spacing w:after="0" w:line="170"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development of the remainder of the Site, which is expected to include one or more types of Permitted Business and will be developed in accordance with the applicable governmental requirements regarding the Site.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means any Equity Interest with preferential right of payment of dividends or upon liquidation, dissolution, or winding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w:t>
      </w:r>
    </w:p>
    <w:p>
      <w:pPr>
        <w:spacing w:after="0" w:line="211"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Pre-Opening Expenses</w:t>
      </w:r>
      <w:r>
        <w:rPr>
          <w:rFonts w:ascii="Arial" w:cs="Arial" w:eastAsia="Arial" w:hAnsi="Arial"/>
          <w:sz w:val="18"/>
          <w:szCs w:val="18"/>
          <w:color w:val="auto"/>
        </w:rPr>
        <w:t>” means, with respect to any fiscal period, the amount of expenses (other than interest expense) incurred with respect to capital projects that are classified as “pre-opening expenses” on the applicable financial statements of the Company and its Restricted Subsidiaries for such period, prepared in accordance with U.S. GAAP.</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2.06(f)(1) hereof to be placed on all Notes issued under this Indenture except where otherwise permitted by the provisions of this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Phase I and the Phase II Project.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issued in a denomination equal (subject to a maximum denomination of US$500 million) to the outstanding principal amount of the Notes sold in reliance on Rule 903 of Regulation S.</w:t>
      </w:r>
    </w:p>
    <w:p>
      <w:pPr>
        <w:spacing w:after="0" w:line="187" w:lineRule="exact"/>
        <w:rPr>
          <w:sz w:val="20"/>
          <w:szCs w:val="20"/>
          <w:color w:val="auto"/>
        </w:rPr>
      </w:pPr>
    </w:p>
    <w:p>
      <w:pPr>
        <w:ind w:right="1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Reinvestment Agreement</w:t>
      </w:r>
      <w:r>
        <w:rPr>
          <w:rFonts w:ascii="Arial" w:cs="Arial" w:eastAsia="Arial" w:hAnsi="Arial"/>
          <w:sz w:val="16"/>
          <w:szCs w:val="16"/>
          <w:color w:val="auto"/>
        </w:rPr>
        <w:t>” means the reimbursement agreement dated June 15, 2012, between Melco Resorts Macau and Studio City Entertainment Limited, as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r>
        <w:rPr>
          <w:rFonts w:ascii="Arial" w:cs="Arial" w:eastAsia="Arial" w:hAnsi="Arial"/>
          <w:sz w:val="18"/>
          <w:szCs w:val="18"/>
          <w:i w:val="1"/>
          <w:iCs w:val="1"/>
          <w:color w:val="auto"/>
        </w:rPr>
        <w:t>:</w:t>
      </w:r>
    </w:p>
    <w:p>
      <w:pPr>
        <w:spacing w:after="0" w:line="117" w:lineRule="exact"/>
        <w:rPr>
          <w:sz w:val="20"/>
          <w:szCs w:val="20"/>
          <w:color w:val="auto"/>
        </w:rPr>
      </w:pPr>
    </w:p>
    <w:p>
      <w:pPr>
        <w:ind w:left="1780" w:hanging="392"/>
        <w:spacing w:after="0"/>
        <w:tabs>
          <w:tab w:leader="none" w:pos="178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controlling stockholder or majority-owned Subsidiary of Melco Resorts; or</w:t>
      </w:r>
    </w:p>
    <w:p>
      <w:pPr>
        <w:spacing w:after="0" w:line="117" w:lineRule="exact"/>
        <w:rPr>
          <w:rFonts w:ascii="Arial" w:cs="Arial" w:eastAsia="Arial" w:hAnsi="Arial"/>
          <w:sz w:val="18"/>
          <w:szCs w:val="18"/>
          <w:color w:val="auto"/>
        </w:rPr>
      </w:pPr>
    </w:p>
    <w:p>
      <w:pPr>
        <w:ind w:left="980" w:firstLine="408"/>
        <w:spacing w:after="0" w:line="263" w:lineRule="auto"/>
        <w:tabs>
          <w:tab w:leader="none" w:pos="1771"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at least 50.1% interest of which consist of Melco Resorts and/or such other Persons referred to in the immediately preceding clause (1).</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40" w:top="274" w:right="539" w:bottom="1440" w:gutter="0" w:footer="0" w:header="0"/>
        </w:sectPr>
      </w:pPr>
    </w:p>
    <w:bookmarkStart w:id="360" w:name="page361"/>
    <w:bookmarkEnd w:id="360"/>
    <w:p>
      <w:pPr>
        <w:ind w:right="22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with direct responsibility for the administration of this Indenture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Revenue Sharing Agreement</w:t>
      </w:r>
      <w:r>
        <w:rPr>
          <w:rFonts w:ascii="Arial" w:cs="Arial" w:eastAsia="Arial" w:hAnsi="Arial"/>
          <w:sz w:val="18"/>
          <w:szCs w:val="18"/>
          <w:color w:val="auto"/>
        </w:rPr>
        <w:t>” means any joint venture, development, management, operating or similar agreement or arrangement for the sharing of revenues, profits, losses, costs or expenses entered into in connection with developments or services complementary or ancillary to the Property in the ordinary course of business (including, for the avoidance of doubt, such agreements or arrangements reasonably necessary to conduct a Permitted Business) and on arms’ length terms.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or any successor to the rating agency business thereof.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United States Securities Act of 1933, as amended, and the rules and regulations of the SEC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means the amended and restated senior secured credit facilities dated November 30, 2016 among Studio City Company Limited, the guarantors named therein, the financial institutions named as lenders therein and the agent for such lenders, including any related notes, guarantees, collateral documents, instruments and agreements executed in connection therewith, as such facilities may be amended, restated, modified, renewed, supplemented, replaced or refinanced from time to time.</w:t>
      </w:r>
    </w:p>
    <w:p>
      <w:pPr>
        <w:spacing w:after="0" w:line="18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Services and Right to Use Agreement</w:t>
      </w:r>
      <w:r>
        <w:rPr>
          <w:rFonts w:ascii="Arial" w:cs="Arial" w:eastAsia="Arial" w:hAnsi="Arial"/>
          <w:sz w:val="18"/>
          <w:szCs w:val="18"/>
          <w:color w:val="auto"/>
        </w:rPr>
        <w:t>” means the services and right to use agreement originally dated May 11, 2007 and as amended and restated on June 15, 2012, executed with Studio City Entertainment Limited (formerly named MSC Diversões, Limitada and New Cotai Entertainment (Macau) Limited), a wholly owned indirect subsidiary of the Company, as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SGX-ST</w:t>
      </w:r>
      <w:r>
        <w:rPr>
          <w:rFonts w:ascii="Arial" w:cs="Arial" w:eastAsia="Arial" w:hAnsi="Arial"/>
          <w:sz w:val="18"/>
          <w:szCs w:val="18"/>
          <w:color w:val="auto"/>
        </w:rPr>
        <w:t>” means the Singapore Exchange Securities Trading Limited or its successor.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61" w:name="page362"/>
    <w:bookmarkEnd w:id="361"/>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Shareholder Subordinated Debt</w:t>
      </w:r>
      <w:r>
        <w:rPr>
          <w:rFonts w:ascii="Arial" w:cs="Arial" w:eastAsia="Arial" w:hAnsi="Arial"/>
          <w:sz w:val="18"/>
          <w:szCs w:val="18"/>
          <w:color w:val="auto"/>
        </w:rPr>
        <w:t xml:space="preserve">” means, collectively, any debt provided to the Company by any direct or indirect parent holding company of the Company (or Melco Resorts), in exchange for or pursuant to any security, instrument or agreement other than Capital Stock, together with any such security, instrument or agreement and any other security or instrument other than Capital Stock issued in payment of any obligation under any Shareholder Subordinated 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Shareholder Subordinated Debt:</w:t>
      </w:r>
    </w:p>
    <w:p>
      <w:pPr>
        <w:spacing w:after="0" w:line="79" w:lineRule="exact"/>
        <w:rPr>
          <w:sz w:val="20"/>
          <w:szCs w:val="20"/>
          <w:color w:val="auto"/>
        </w:rPr>
      </w:pPr>
    </w:p>
    <w:p>
      <w:pPr>
        <w:jc w:val="both"/>
        <w:ind w:left="980" w:right="60" w:firstLine="408"/>
        <w:spacing w:after="0" w:line="259" w:lineRule="auto"/>
        <w:tabs>
          <w:tab w:leader="none" w:pos="177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mature or require any amortization or other payment of principal prior to the first anniversary of the maturity of the Notes (other than through conversion or exchange of any such security or instrument for Equity Interests of the Company (other than Disqualified Stock) or for any other security or instrument meeting the requirements of the definition);</w:t>
      </w:r>
    </w:p>
    <w:p>
      <w:pPr>
        <w:spacing w:after="0" w:line="78" w:lineRule="exact"/>
        <w:rPr>
          <w:rFonts w:ascii="Arial" w:cs="Arial" w:eastAsia="Arial" w:hAnsi="Arial"/>
          <w:sz w:val="18"/>
          <w:szCs w:val="18"/>
          <w:color w:val="auto"/>
        </w:rPr>
      </w:pPr>
    </w:p>
    <w:p>
      <w:pPr>
        <w:ind w:left="980" w:right="240" w:firstLine="408"/>
        <w:spacing w:after="0" w:line="277" w:lineRule="auto"/>
        <w:tabs>
          <w:tab w:leader="none" w:pos="177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require the payment of cash interest prior to the first anniversary of the maturity of the Notes;</w:t>
      </w:r>
    </w:p>
    <w:p>
      <w:pPr>
        <w:spacing w:after="0" w:line="62" w:lineRule="exact"/>
        <w:rPr>
          <w:rFonts w:ascii="Arial" w:cs="Arial" w:eastAsia="Arial" w:hAnsi="Arial"/>
          <w:sz w:val="18"/>
          <w:szCs w:val="18"/>
          <w:color w:val="auto"/>
        </w:rPr>
      </w:pPr>
    </w:p>
    <w:p>
      <w:pPr>
        <w:jc w:val="both"/>
        <w:ind w:left="980" w:right="60" w:firstLine="408"/>
        <w:spacing w:after="0" w:line="263" w:lineRule="auto"/>
        <w:tabs>
          <w:tab w:leader="none" w:pos="177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provide for the acceleration of its maturity nor confer on its shareholders any right (including upon the happening of any event) to declare a default or event of default or take any enforcement action, in each case, prior to the first anniversary of the maturity of the Notes;</w:t>
      </w:r>
    </w:p>
    <w:p>
      <w:pPr>
        <w:spacing w:after="0" w:line="75" w:lineRule="exact"/>
        <w:rPr>
          <w:rFonts w:ascii="Arial" w:cs="Arial" w:eastAsia="Arial" w:hAnsi="Arial"/>
          <w:sz w:val="18"/>
          <w:szCs w:val="18"/>
          <w:color w:val="auto"/>
        </w:rPr>
      </w:pPr>
    </w:p>
    <w:p>
      <w:pPr>
        <w:ind w:left="980" w:right="80" w:firstLine="408"/>
        <w:spacing w:after="0" w:line="277" w:lineRule="auto"/>
        <w:tabs>
          <w:tab w:leader="none" w:pos="177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is not secured by a Lien on any assets of the Company or a Restricted Subsidiary of the Company and is not guaranteed by any Subsidiary of the Company;</w:t>
      </w:r>
    </w:p>
    <w:p>
      <w:pPr>
        <w:spacing w:after="0" w:line="62" w:lineRule="exact"/>
        <w:rPr>
          <w:rFonts w:ascii="Arial" w:cs="Arial" w:eastAsia="Arial" w:hAnsi="Arial"/>
          <w:sz w:val="18"/>
          <w:szCs w:val="18"/>
          <w:color w:val="auto"/>
        </w:rPr>
      </w:pPr>
    </w:p>
    <w:p>
      <w:pPr>
        <w:ind w:left="980" w:right="380" w:firstLine="408"/>
        <w:spacing w:after="0" w:line="277" w:lineRule="auto"/>
        <w:tabs>
          <w:tab w:leader="none" w:pos="177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is subordinated in right of payment to the prior payment in full in cash of the Notes in the event of any default, bankruptcy, reorganization, liquidation, winding up or other disposition of assets of the Company;</w:t>
      </w:r>
    </w:p>
    <w:p>
      <w:pPr>
        <w:spacing w:after="0" w:line="62" w:lineRule="exact"/>
        <w:rPr>
          <w:rFonts w:ascii="Arial" w:cs="Arial" w:eastAsia="Arial" w:hAnsi="Arial"/>
          <w:sz w:val="18"/>
          <w:szCs w:val="18"/>
          <w:color w:val="auto"/>
        </w:rPr>
      </w:pPr>
    </w:p>
    <w:p>
      <w:pPr>
        <w:ind w:left="980" w:right="20" w:firstLine="408"/>
        <w:spacing w:after="0" w:line="277" w:lineRule="auto"/>
        <w:tabs>
          <w:tab w:leader="none" w:pos="177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restrict the payment of amounts due in respect of the Notes or compliance by the Company with its obligations under the Notes, the Note Guarantees, and this Indenture;</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does not (including upon the happening of an event) constitute Voting Stock; and</w:t>
      </w:r>
    </w:p>
    <w:p>
      <w:pPr>
        <w:spacing w:after="0" w:line="117" w:lineRule="exact"/>
        <w:rPr>
          <w:rFonts w:ascii="Arial" w:cs="Arial" w:eastAsia="Arial" w:hAnsi="Arial"/>
          <w:sz w:val="18"/>
          <w:szCs w:val="18"/>
          <w:color w:val="auto"/>
        </w:rPr>
      </w:pPr>
    </w:p>
    <w:p>
      <w:pPr>
        <w:ind w:left="980" w:right="100" w:firstLine="408"/>
        <w:spacing w:after="0" w:line="263" w:lineRule="auto"/>
        <w:tabs>
          <w:tab w:leader="none" w:pos="177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is not (including upon the happening of any event) mandatorily convertible or exchangeable, or convertible or exchangeable at the option of the holder, in whole or in part, prior to the date on which the Notes mature other than into or for Capital Stock (other than Disqualified Stock) of the Company.</w:t>
      </w:r>
    </w:p>
    <w:p>
      <w:pPr>
        <w:spacing w:after="0" w:line="184"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1- 02 of Regulation S-X, promulgated pursuant to the Securities Act, as such regulation is in effect on the Issue Date.</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Site</w:t>
      </w:r>
      <w:r>
        <w:rPr>
          <w:rFonts w:ascii="Arial" w:cs="Arial" w:eastAsia="Arial" w:hAnsi="Arial"/>
          <w:sz w:val="18"/>
          <w:szCs w:val="18"/>
          <w:color w:val="auto"/>
        </w:rPr>
        <w:t>” means an approximately 130,789 square meter parcel of land in the reclaimed area between Taipa and Coloane Island (Cotai), Lotes G300, G310 and G400, registered with the Macau Real Estate Registry under no. 23059.</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Put Option Triggering Event</w:t>
      </w:r>
      <w:r>
        <w:rPr>
          <w:rFonts w:ascii="Arial" w:cs="Arial" w:eastAsia="Arial" w:hAnsi="Arial"/>
          <w:sz w:val="18"/>
          <w:szCs w:val="18"/>
          <w:color w:val="auto"/>
        </w:rPr>
        <w:t>” means:</w:t>
      </w:r>
    </w:p>
    <w:p>
      <w:pPr>
        <w:spacing w:after="0" w:line="117" w:lineRule="exact"/>
        <w:rPr>
          <w:sz w:val="20"/>
          <w:szCs w:val="20"/>
          <w:color w:val="auto"/>
        </w:rPr>
      </w:pPr>
    </w:p>
    <w:p>
      <w:pPr>
        <w:ind w:left="980" w:right="140" w:firstLine="408"/>
        <w:spacing w:after="0" w:line="259" w:lineRule="auto"/>
        <w:tabs>
          <w:tab w:leader="none" w:pos="1771"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any event after which the Gaming License or other permits or authorizations as are necessary for the operation of the Studio City Casino in substantially the same manner and scope as operations are conducted at the Issue Date cease to be in full force and effect, for a period of ten consecutive days or more, and such event has a material adverse effect on the financial condition, business, properties, or results of operations of the Company and its Subsidiaries, taken as a whole; or</w:t>
      </w:r>
    </w:p>
    <w:p>
      <w:pPr>
        <w:spacing w:after="0" w:line="78" w:lineRule="exact"/>
        <w:rPr>
          <w:rFonts w:ascii="Arial" w:cs="Arial" w:eastAsia="Arial" w:hAnsi="Arial"/>
          <w:sz w:val="18"/>
          <w:szCs w:val="18"/>
          <w:color w:val="auto"/>
        </w:rPr>
      </w:pPr>
    </w:p>
    <w:p>
      <w:pPr>
        <w:ind w:left="980" w:right="20" w:firstLine="408"/>
        <w:spacing w:after="0" w:line="257" w:lineRule="auto"/>
        <w:tabs>
          <w:tab w:leader="none" w:pos="1771"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the termination, rescission, revocation or modification of any Gaming License which has had a material adverse effect on the financial condition, business, properties, or results of operations of the Company and its Subsidiaries, taken as a whole, excluding any termination or rescission resulting from or in connection with any renewal, tender or other process conducted by the government of Macau in connection with the granting or renewal of any Gaming License;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renewal, tender or other process results in the granting or renewal of the relevant Gaming License.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62" w:name="page363"/>
    <w:bookmarkEnd w:id="362"/>
    <w:p>
      <w:pPr>
        <w:ind w:right="22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Issue Date, and will not include any contingent obligations to repay, redeem or repurchase any such interest or principal prior to the date originally scheduled for the payment thereof.</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Casino</w:t>
      </w:r>
      <w:r>
        <w:rPr>
          <w:rFonts w:ascii="Arial" w:cs="Arial" w:eastAsia="Arial" w:hAnsi="Arial"/>
          <w:sz w:val="18"/>
          <w:szCs w:val="18"/>
          <w:color w:val="auto"/>
        </w:rPr>
        <w:t>” means any casino, gaming business or activities conducted at the Site.</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International</w:t>
      </w:r>
      <w:r>
        <w:rPr>
          <w:rFonts w:ascii="Arial" w:cs="Arial" w:eastAsia="Arial" w:hAnsi="Arial"/>
          <w:sz w:val="18"/>
          <w:szCs w:val="18"/>
          <w:color w:val="auto"/>
        </w:rPr>
        <w:t>” means Studio City International Holdings Limited, an exempted company incorporated with limited liability under the laws of the Cayman Islands.</w:t>
      </w:r>
    </w:p>
    <w:p>
      <w:pPr>
        <w:spacing w:after="0" w:line="170"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Parties</w:t>
      </w:r>
      <w:r>
        <w:rPr>
          <w:rFonts w:ascii="Arial" w:cs="Arial" w:eastAsia="Arial" w:hAnsi="Arial"/>
          <w:sz w:val="18"/>
          <w:szCs w:val="18"/>
          <w:color w:val="auto"/>
        </w:rPr>
        <w:t>” means Studio City International, Studio City Entertainment Limited, Studio City Hotels Limited, Studio City Retail Services Limited, Studio City Developments Limited, Studio City Ventures Limited, Studio City Services Limited and any other Person which accedes to the MSA as a “Studio City Party” pursuant to terms thereof.</w:t>
      </w:r>
    </w:p>
    <w:p>
      <w:pPr>
        <w:spacing w:after="0" w:line="184" w:lineRule="exact"/>
        <w:rPr>
          <w:sz w:val="20"/>
          <w:szCs w:val="20"/>
          <w:color w:val="auto"/>
        </w:rPr>
      </w:pPr>
    </w:p>
    <w:p>
      <w:pPr>
        <w:jc w:val="both"/>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Subordinated Indebtedness</w:t>
      </w:r>
      <w:r>
        <w:rPr>
          <w:rFonts w:ascii="Arial" w:cs="Arial" w:eastAsia="Arial" w:hAnsi="Arial"/>
          <w:sz w:val="17"/>
          <w:szCs w:val="17"/>
          <w:color w:val="auto"/>
        </w:rPr>
        <w:t>” means (a) with respect to the Company, any Indebtedness of the Company which is by its terms subordinated in right of payment to the Notes, and (b) with respect to any Subsidiary Guarantor, any Indebtedness of such Subsidiary Guarantor which is by its terms subordinated in right of payment to such Subsidiary Guarantor’s Obligations in respect of its Note Guarantee.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980" w:right="60" w:firstLine="408"/>
        <w:spacing w:after="0" w:line="259" w:lineRule="auto"/>
        <w:tabs>
          <w:tab w:leader="none" w:pos="1771"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8" w:lineRule="exact"/>
        <w:rPr>
          <w:rFonts w:ascii="Arial" w:cs="Arial" w:eastAsia="Arial" w:hAnsi="Arial"/>
          <w:sz w:val="18"/>
          <w:szCs w:val="18"/>
          <w:color w:val="auto"/>
        </w:rPr>
      </w:pPr>
    </w:p>
    <w:p>
      <w:pPr>
        <w:ind w:left="980" w:right="200" w:firstLine="408"/>
        <w:spacing w:after="0" w:line="342" w:lineRule="auto"/>
        <w:tabs>
          <w:tab w:leader="none" w:pos="1771" w:val="left"/>
        </w:tabs>
        <w:numPr>
          <w:ilvl w:val="0"/>
          <w:numId w:val="395"/>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24"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 Guarantor</w:t>
      </w:r>
      <w:r>
        <w:rPr>
          <w:rFonts w:ascii="Arial" w:cs="Arial" w:eastAsia="Arial" w:hAnsi="Arial"/>
          <w:sz w:val="17"/>
          <w:szCs w:val="17"/>
          <w:color w:val="auto"/>
        </w:rPr>
        <w:t>” means each of (1) Studio City Investments Limited, Studio City Company Limited, Studio City Holdings Two Limited, Studio City Holdings Three Limited, Studio City Holdings Four Limited, Studio City Entertainment Limited, Studio City Services Limited, Studio City Hotels Limited, SCP Holdings Limited, Studio City Hospitality and Services Limited, SCIP Holdings Limited, SCP One Limited, SCP Two Limited, Studio City Developments Limited, Studio City Retail Services Limited and Studio City (HK) Two Limited and (2) any other Subsidiary of the Company that provides a Note Guarantee in accordance with the provisions of this Indenture, and their respective successors and assigns, in each case, until the Note Guarantee of such Person has been released in accordance with the provisions of this Indenture.</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means, as of any date, the consolidated total assets of the Company and its Restricted Subsidiaries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as shown on the most recent balance sheet of such Person.</w:t>
      </w:r>
    </w:p>
    <w:p>
      <w:pPr>
        <w:spacing w:after="0" w:line="211"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offering of the Notes and the offer to purchase and/or redemption, as the case may be, of the Existing Studio City Company Notes as described in the Offering Memorandum.</w:t>
      </w:r>
    </w:p>
    <w:p>
      <w:pPr>
        <w:spacing w:after="0" w:line="170" w:lineRule="exact"/>
        <w:rPr>
          <w:sz w:val="20"/>
          <w:szCs w:val="20"/>
          <w:color w:val="auto"/>
        </w:rPr>
      </w:pPr>
    </w:p>
    <w:p>
      <w:pPr>
        <w:ind w:right="20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as of any redemption date, the yield to maturity as of such redemption date of United States Treasury securities with a constant maturity (as compiled and published in the most recent Federal Reserve Statistical Release H. 15 (519) that has become publicly available at least two business days prior to the redemption date (or, if such Statistical Release is no longer published, any publicly available source of similar market data)) most nearly equal to the period from the redemption date to July 15, 2023; provided, however, that if the period from the redemption date to July 15, 2023 is less than one year, the weekly average yield on actually traded United States Treasury securities adjusted to a constant maturity of one year will be used.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63" w:name="page364"/>
    <w:bookmarkEnd w:id="363"/>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Trustee</w:t>
      </w:r>
      <w:r>
        <w:rPr>
          <w:rFonts w:ascii="Arial" w:cs="Arial" w:eastAsia="Arial" w:hAnsi="Arial"/>
          <w:sz w:val="18"/>
          <w:szCs w:val="18"/>
          <w:color w:val="auto"/>
        </w:rPr>
        <w:t>” means Deutsche Bank Trust Company Americas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Unrestricted Definitive Note</w:t>
      </w:r>
      <w:r>
        <w:rPr>
          <w:rFonts w:ascii="Arial" w:cs="Arial" w:eastAsia="Arial" w:hAnsi="Arial"/>
          <w:sz w:val="17"/>
          <w:szCs w:val="17"/>
          <w:color w:val="auto"/>
        </w:rPr>
        <w:t>” means a Definitive Note that does not bear and is not required to bear the Private Placement Legend.</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Unrestricted Subsidiary</w:t>
      </w:r>
      <w:r>
        <w:rPr>
          <w:rFonts w:ascii="Arial" w:cs="Arial" w:eastAsia="Arial" w:hAnsi="Arial"/>
          <w:sz w:val="17"/>
          <w:szCs w:val="17"/>
          <w:color w:val="auto"/>
        </w:rPr>
        <w:t>” means any Subsidiary of the Company that is designated by the Board of Directors of the Company as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Unrestricted Subsidiary pursuant to a resolution of the Board of Directors, but only to the extent that such Subsidiary:</w:t>
      </w:r>
    </w:p>
    <w:p>
      <w:pPr>
        <w:spacing w:after="0" w:line="103" w:lineRule="exact"/>
        <w:rPr>
          <w:sz w:val="20"/>
          <w:szCs w:val="20"/>
          <w:color w:val="auto"/>
        </w:rPr>
      </w:pPr>
    </w:p>
    <w:p>
      <w:pPr>
        <w:ind w:left="1780" w:hanging="392"/>
        <w:spacing w:after="0"/>
        <w:tabs>
          <w:tab w:leader="none" w:pos="178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17" w:lineRule="exact"/>
        <w:rPr>
          <w:rFonts w:ascii="Arial" w:cs="Arial" w:eastAsia="Arial" w:hAnsi="Arial"/>
          <w:sz w:val="18"/>
          <w:szCs w:val="18"/>
          <w:color w:val="auto"/>
        </w:rPr>
      </w:pPr>
    </w:p>
    <w:p>
      <w:pPr>
        <w:ind w:left="980" w:right="40" w:firstLine="408"/>
        <w:spacing w:after="0" w:line="259" w:lineRule="auto"/>
        <w:tabs>
          <w:tab w:leader="none" w:pos="1771" w:val="left"/>
        </w:tabs>
        <w:numPr>
          <w:ilvl w:val="1"/>
          <w:numId w:val="396"/>
        </w:numPr>
        <w:rPr>
          <w:rFonts w:ascii="Arial" w:cs="Arial" w:eastAsia="Arial" w:hAnsi="Arial"/>
          <w:sz w:val="18"/>
          <w:szCs w:val="18"/>
          <w:color w:val="auto"/>
        </w:rPr>
      </w:pPr>
      <w:r>
        <w:rPr>
          <w:rFonts w:ascii="Arial" w:cs="Arial" w:eastAsia="Arial" w:hAnsi="Arial"/>
          <w:sz w:val="18"/>
          <w:szCs w:val="18"/>
          <w:color w:val="auto"/>
        </w:rPr>
        <w:t>except as permitted by Section 4.11 hereof, 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is a Person with respect to which neither the Company nor any of its Restricted Subsidiaries has any direct or indirect obligation</w:t>
      </w:r>
    </w:p>
    <w:p>
      <w:pPr>
        <w:spacing w:after="0" w:line="46" w:lineRule="exact"/>
        <w:rPr>
          <w:rFonts w:ascii="Arial" w:cs="Arial" w:eastAsia="Arial" w:hAnsi="Arial"/>
          <w:sz w:val="16"/>
          <w:szCs w:val="16"/>
          <w:color w:val="auto"/>
        </w:rPr>
      </w:pPr>
    </w:p>
    <w:p>
      <w:pPr>
        <w:ind w:left="980" w:right="200" w:firstLine="7"/>
        <w:spacing w:after="0" w:line="260" w:lineRule="auto"/>
        <w:tabs>
          <w:tab w:leader="none" w:pos="122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to subscribe for additional Equity Interests or (b) to maintain or preserve such Person’s financial condition or to cause such Person to achieve any specified levels of operating results; and</w:t>
      </w:r>
    </w:p>
    <w:p>
      <w:pPr>
        <w:spacing w:after="0" w:line="77" w:lineRule="exact"/>
        <w:rPr>
          <w:rFonts w:ascii="Arial" w:cs="Arial" w:eastAsia="Arial" w:hAnsi="Arial"/>
          <w:sz w:val="18"/>
          <w:szCs w:val="18"/>
          <w:color w:val="auto"/>
        </w:rPr>
      </w:pPr>
    </w:p>
    <w:p>
      <w:pPr>
        <w:ind w:left="980" w:right="20" w:firstLine="408"/>
        <w:spacing w:after="0" w:line="277" w:lineRule="auto"/>
        <w:tabs>
          <w:tab w:leader="none" w:pos="1771" w:val="left"/>
        </w:tabs>
        <w:numPr>
          <w:ilvl w:val="1"/>
          <w:numId w:val="397"/>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w:t>
      </w:r>
    </w:p>
    <w:p>
      <w:pPr>
        <w:spacing w:after="0" w:line="117" w:lineRule="exact"/>
        <w:rPr>
          <w:sz w:val="20"/>
          <w:szCs w:val="20"/>
          <w:color w:val="auto"/>
        </w:rPr>
      </w:pPr>
    </w:p>
    <w:p>
      <w:pPr>
        <w:ind w:left="1780" w:hanging="392"/>
        <w:spacing w:after="0"/>
        <w:tabs>
          <w:tab w:leader="none" w:pos="178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direct obligations of the United States of America for the timely payment of which its full faith and credit is pledged, or</w:t>
      </w:r>
    </w:p>
    <w:p>
      <w:pPr>
        <w:spacing w:after="0" w:line="128" w:lineRule="exact"/>
        <w:rPr>
          <w:rFonts w:ascii="Arial" w:cs="Arial" w:eastAsia="Arial" w:hAnsi="Arial"/>
          <w:sz w:val="17"/>
          <w:szCs w:val="17"/>
          <w:color w:val="auto"/>
        </w:rPr>
      </w:pPr>
    </w:p>
    <w:p>
      <w:pPr>
        <w:ind w:left="980" w:right="100" w:firstLine="408"/>
        <w:spacing w:after="0" w:line="342" w:lineRule="auto"/>
        <w:tabs>
          <w:tab w:leader="none" w:pos="1771" w:val="left"/>
        </w:tabs>
        <w:numPr>
          <w:ilvl w:val="0"/>
          <w:numId w:val="398"/>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24"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 xml:space="preserve">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(except as required by law) such custodian is not authorized to make any deduction from the amount payable to the holder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depository receipt from any amount received by the custodian in respect of the U.S. Government Obligations or the specific payment of principal of or interest on the U.S. Government Obligations evidenced by such depository receipt.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64" w:name="page365"/>
    <w:bookmarkEnd w:id="36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129" w:lineRule="exact"/>
        <w:rPr>
          <w:sz w:val="20"/>
          <w:szCs w:val="20"/>
          <w:color w:val="auto"/>
        </w:rPr>
      </w:pPr>
    </w:p>
    <w:p>
      <w:pPr>
        <w:ind w:left="980" w:firstLine="408"/>
        <w:spacing w:after="0" w:line="286" w:lineRule="auto"/>
        <w:tabs>
          <w:tab w:leader="none" w:pos="1771"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7" w:lineRule="exact"/>
        <w:rPr>
          <w:rFonts w:ascii="Arial" w:cs="Arial" w:eastAsia="Arial" w:hAnsi="Arial"/>
          <w:sz w:val="17"/>
          <w:szCs w:val="17"/>
          <w:color w:val="auto"/>
        </w:rPr>
      </w:pPr>
    </w:p>
    <w:p>
      <w:pPr>
        <w:ind w:left="1780" w:hanging="392"/>
        <w:spacing w:after="0"/>
        <w:tabs>
          <w:tab w:leader="none" w:pos="17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Restricted Subsidiary</w:t>
      </w:r>
      <w:r>
        <w:rPr>
          <w:rFonts w:ascii="Arial" w:cs="Arial" w:eastAsia="Arial" w:hAnsi="Arial"/>
          <w:sz w:val="18"/>
          <w:szCs w:val="18"/>
          <w:color w:val="auto"/>
        </w:rPr>
        <w:t>” is any Wholly-Owned Subsidiary that is a Restricted Subsidiary.</w:t>
      </w:r>
    </w:p>
    <w:p>
      <w:pPr>
        <w:spacing w:after="0" w:line="225"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of any Person means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65" w:name="page366"/>
    <w:bookmarkEnd w:id="365"/>
    <w:p>
      <w:pPr>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1.02</w:t>
      </w:r>
      <w:r>
        <w:rPr>
          <w:sz w:val="20"/>
          <w:szCs w:val="20"/>
          <w:color w:val="auto"/>
        </w:rPr>
        <w:tab/>
      </w:r>
      <w:r>
        <w:rPr>
          <w:rFonts w:ascii="Arial" w:cs="Arial" w:eastAsia="Arial" w:hAnsi="Arial"/>
          <w:sz w:val="16"/>
          <w:szCs w:val="16"/>
          <w:i w:val="1"/>
          <w:iCs w:val="1"/>
          <w:color w:val="auto"/>
        </w:rPr>
        <w:t>Other Definitions.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color w:val="auto"/>
                <w:w w:val="91"/>
              </w:rPr>
              <w:t>Term</w:t>
            </w:r>
          </w:p>
        </w:tc>
        <w:tc>
          <w:tcPr>
            <w:tcW w:w="5960" w:type="dxa"/>
            <w:vAlign w:val="bottom"/>
            <w:vMerge w:val="restart"/>
          </w:tcPr>
          <w:p>
            <w:pPr>
              <w:spacing w:after="0"/>
              <w:rPr>
                <w:sz w:val="14"/>
                <w:szCs w:val="14"/>
                <w:color w:val="auto"/>
              </w:rPr>
            </w:pPr>
          </w:p>
        </w:tc>
        <w:tc>
          <w:tcPr>
            <w:tcW w:w="2980" w:type="dxa"/>
            <w:vAlign w:val="bottom"/>
            <w:gridSpan w:val="2"/>
          </w:tcPr>
          <w:p>
            <w:pPr>
              <w:jc w:val="center"/>
              <w:ind w:left="2251"/>
              <w:spacing w:after="0"/>
              <w:rPr>
                <w:sz w:val="20"/>
                <w:szCs w:val="20"/>
                <w:color w:val="auto"/>
              </w:rPr>
            </w:pPr>
            <w:r>
              <w:rPr>
                <w:rFonts w:ascii="Arial" w:cs="Arial" w:eastAsia="Arial" w:hAnsi="Arial"/>
                <w:sz w:val="14"/>
                <w:szCs w:val="14"/>
                <w:color w:val="auto"/>
                <w:w w:val="95"/>
              </w:rPr>
              <w:t>Defined in</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line="189"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2360" w:type="dxa"/>
            <w:vAlign w:val="bottom"/>
          </w:tcPr>
          <w:p>
            <w:pPr>
              <w:spacing w:after="0"/>
              <w:rPr>
                <w:sz w:val="16"/>
                <w:szCs w:val="16"/>
                <w:color w:val="auto"/>
              </w:rPr>
            </w:pPr>
          </w:p>
        </w:tc>
        <w:tc>
          <w:tcPr>
            <w:tcW w:w="620" w:type="dxa"/>
            <w:vAlign w:val="bottom"/>
          </w:tcPr>
          <w:p>
            <w:pPr>
              <w:jc w:val="center"/>
              <w:spacing w:after="0" w:line="189" w:lineRule="exact"/>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Authentication Order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8.03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Subsidiary Guarantor Enforcement Sale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88"/>
              </w:rPr>
              <w:t>11.08</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 parent companies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Guaranteed Obligations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88"/>
              </w:rPr>
              <w:t>11.01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8.02</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Amount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Period</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Debt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Default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3.07</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Jurisdiction</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4.07</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Reversion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“Special Put Option Offer”</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“Special Put Option Payment”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Suspended Covenants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Suspension Period</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i w:val="1"/>
          <w:iCs w:val="1"/>
          <w:color w:val="auto"/>
        </w:rPr>
        <w:t>Rules of Construction.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380" w:hanging="432"/>
        <w:spacing w:after="0"/>
        <w:tabs>
          <w:tab w:leader="none" w:pos="13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380" w:hanging="432"/>
        <w:spacing w:after="0"/>
        <w:tabs>
          <w:tab w:leader="none" w:pos="13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U.S. GAAP;</w:t>
      </w:r>
    </w:p>
    <w:p>
      <w:pPr>
        <w:spacing w:after="0" w:line="117" w:lineRule="exact"/>
        <w:rPr>
          <w:rFonts w:ascii="Arial" w:cs="Arial" w:eastAsia="Arial" w:hAnsi="Arial"/>
          <w:sz w:val="18"/>
          <w:szCs w:val="18"/>
          <w:color w:val="auto"/>
        </w:rPr>
      </w:pPr>
    </w:p>
    <w:p>
      <w:pPr>
        <w:ind w:left="1380" w:hanging="432"/>
        <w:spacing w:after="0"/>
        <w:tabs>
          <w:tab w:leader="none" w:pos="13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380" w:hanging="432"/>
        <w:spacing w:after="0"/>
        <w:tabs>
          <w:tab w:leader="none" w:pos="13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380" w:hanging="432"/>
        <w:spacing w:after="0"/>
        <w:tabs>
          <w:tab w:leader="none" w:pos="13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380" w:hanging="432"/>
        <w:spacing w:after="0"/>
        <w:tabs>
          <w:tab w:leader="none" w:pos="13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17" w:lineRule="exact"/>
        <w:rPr>
          <w:rFonts w:ascii="Arial" w:cs="Arial" w:eastAsia="Arial" w:hAnsi="Arial"/>
          <w:sz w:val="18"/>
          <w:szCs w:val="18"/>
          <w:color w:val="auto"/>
        </w:rPr>
      </w:pPr>
    </w:p>
    <w:p>
      <w:pPr>
        <w:ind w:left="540" w:firstLine="408"/>
        <w:spacing w:after="0" w:line="277" w:lineRule="auto"/>
        <w:tabs>
          <w:tab w:leader="none" w:pos="137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040"/>
          </w:cols>
          <w:pgMar w:left="880" w:top="274" w:right="979" w:bottom="1440" w:gutter="0" w:footer="0" w:header="0"/>
        </w:sectPr>
      </w:pPr>
    </w:p>
    <w:bookmarkStart w:id="366" w:name="page367"/>
    <w:bookmarkEnd w:id="366"/>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NOTES</w:t>
      </w:r>
    </w:p>
    <w:p>
      <w:pPr>
        <w:spacing w:after="0" w:line="10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w:t>
      </w:r>
    </w:p>
    <w:p>
      <w:pPr>
        <w:spacing w:after="0" w:line="117" w:lineRule="exact"/>
        <w:rPr>
          <w:sz w:val="20"/>
          <w:szCs w:val="20"/>
          <w:color w:val="auto"/>
        </w:rPr>
      </w:pPr>
    </w:p>
    <w:p>
      <w:pPr>
        <w:ind w:right="140" w:firstLine="987"/>
        <w:spacing w:after="0" w:line="263" w:lineRule="auto"/>
        <w:tabs>
          <w:tab w:leader="none" w:pos="1371" w:val="left"/>
        </w:tabs>
        <w:numPr>
          <w:ilvl w:val="0"/>
          <w:numId w:val="401"/>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notations, legends or endorsements required by law, stock exchange rule or usage. Each Note will be dated the date of its authentication. The Notes shall be in denominations of US$200,000 and integral multiples of US$1,000 in excess thereof.</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Indenture and the Company, the Subsidiary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7" w:lineRule="exact"/>
        <w:rPr>
          <w:sz w:val="20"/>
          <w:szCs w:val="20"/>
          <w:color w:val="auto"/>
        </w:rPr>
      </w:pPr>
    </w:p>
    <w:p>
      <w:pPr>
        <w:ind w:firstLine="987"/>
        <w:spacing w:after="0" w:line="253" w:lineRule="auto"/>
        <w:tabs>
          <w:tab w:leader="none" w:pos="1426" w:val="left"/>
        </w:tabs>
        <w:numPr>
          <w:ilvl w:val="0"/>
          <w:numId w:val="402"/>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Notes issued in global form will be substantially in the form of Exhibit A hereto (including the Global Note Legend</w:t>
      </w:r>
      <w:r>
        <w:rPr>
          <w:rFonts w:ascii="Arial" w:cs="Arial" w:eastAsia="Arial" w:hAnsi="Arial"/>
          <w:sz w:val="18"/>
          <w:szCs w:val="18"/>
          <w:i w:val="1"/>
          <w:iCs w:val="1"/>
          <w:color w:val="auto"/>
        </w:rPr>
        <w:t xml:space="preserve"> </w:t>
      </w:r>
      <w:r>
        <w:rPr>
          <w:rFonts w:ascii="Arial" w:cs="Arial" w:eastAsia="Arial" w:hAnsi="Arial"/>
          <w:sz w:val="18"/>
          <w:szCs w:val="18"/>
          <w:color w:val="auto"/>
        </w:rPr>
        <w:t>thereon and 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Paying Agent, Trustee or the Registrar, at the direction of the Trustee, in accordance with instructions given by the Holder thereof as required by Section 2.06 hereof.</w:t>
      </w:r>
    </w:p>
    <w:p>
      <w:pPr>
        <w:spacing w:after="0" w:line="196" w:lineRule="exact"/>
        <w:rPr>
          <w:rFonts w:ascii="Arial" w:cs="Arial" w:eastAsia="Arial" w:hAnsi="Arial"/>
          <w:sz w:val="18"/>
          <w:szCs w:val="18"/>
          <w:color w:val="auto"/>
        </w:rPr>
      </w:pPr>
    </w:p>
    <w:p>
      <w:pPr>
        <w:ind w:right="160" w:firstLine="987"/>
        <w:spacing w:after="0" w:line="259" w:lineRule="auto"/>
        <w:tabs>
          <w:tab w:leader="none" w:pos="1416" w:val="left"/>
        </w:tabs>
        <w:numPr>
          <w:ilvl w:val="0"/>
          <w:numId w:val="402"/>
        </w:numPr>
        <w:rPr>
          <w:rFonts w:ascii="Arial" w:cs="Arial" w:eastAsia="Arial" w:hAnsi="Arial"/>
          <w:sz w:val="18"/>
          <w:szCs w:val="18"/>
          <w:color w:val="auto"/>
        </w:rPr>
      </w:pPr>
      <w:r>
        <w:rPr>
          <w:rFonts w:ascii="Arial" w:cs="Arial" w:eastAsia="Arial" w:hAnsi="Arial"/>
          <w:sz w:val="18"/>
          <w:szCs w:val="18"/>
          <w:i w:val="1"/>
          <w:iCs w:val="1"/>
          <w:color w:val="auto"/>
        </w:rPr>
        <w:t xml:space="preserve">Euroclear and Clearstream, Luxembourg Procedures Applicable. </w:t>
      </w:r>
      <w:r>
        <w:rPr>
          <w:rFonts w:ascii="Arial" w:cs="Arial" w:eastAsia="Arial" w:hAnsi="Arial"/>
          <w:sz w:val="18"/>
          <w:szCs w:val="18"/>
          <w:color w:val="auto"/>
        </w:rPr>
        <w:t>The provisions of the “Operating Procedures of the Euroclear</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“Terms and Conditions Governing Use of Euroclear” and the “General Terms and Conditions—Clearstream Banking, Luxembourg” and “Customer Handbook” of Clearstream, Luxembourg will be applicable to transfers of beneficial interests in the Regulation S Global Note that are held by Participants through Euroclear or Clearstream, Luxembourg.</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 least one Officer must sign the Notes for the Company by manual or facsimile signature.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A Note will not be valid until authenticated by the manual or electronic signature of the Trustee. The signature will be conclusive evidence that the Note has been authenticated under this Indenture.</w:t>
      </w:r>
    </w:p>
    <w:p>
      <w:pPr>
        <w:spacing w:after="0" w:line="170"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The Company may issue additional notes under the Indenture from time to time after the Issue Date. Any issuance of Additional Notes shall be subject to all of the covenants described under Article 4 of this Indenture, including Section 4.09 hereof. The Notes and any Additional Notes subsequently issued under this Indenture will be treated as a single class for all purposes under the Indenture, including, without limitation, waivers, amendments,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if the Additional Notes are not fungible with the Notes for U.S. federal income tax purposes, such Additional Notes will have a separate CUSIP, ISIN or other identifying number.</w:t>
      </w:r>
    </w:p>
    <w:p>
      <w:pPr>
        <w:spacing w:after="0" w:line="176"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The Trustee will, upon receipt of a written order of the Company signed by an Officer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Section 2.07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67" w:name="page368"/>
    <w:bookmarkEnd w:id="367"/>
    <w:p>
      <w:pPr>
        <w:jc w:val="both"/>
        <w:ind w:right="3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27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Paying Agent and Transfer Agent.</w:t>
      </w:r>
    </w:p>
    <w:p>
      <w:pPr>
        <w:spacing w:after="0" w:line="117" w:lineRule="exact"/>
        <w:rPr>
          <w:sz w:val="20"/>
          <w:szCs w:val="20"/>
          <w:color w:val="auto"/>
        </w:rPr>
      </w:pPr>
    </w:p>
    <w:p>
      <w:pPr>
        <w:ind w:right="80" w:firstLine="991"/>
        <w:spacing w:after="0" w:line="290" w:lineRule="auto"/>
        <w:rPr>
          <w:sz w:val="20"/>
          <w:szCs w:val="20"/>
          <w:color w:val="auto"/>
        </w:rPr>
      </w:pPr>
      <w:r>
        <w:rPr>
          <w:rFonts w:ascii="Arial" w:cs="Arial" w:eastAsia="Arial" w:hAnsi="Arial"/>
          <w:sz w:val="16"/>
          <w:szCs w:val="16"/>
          <w:color w:val="auto"/>
        </w:rPr>
        <w:t>The Company will maintain an office or agency where Notes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Company will also maintain a transfer agent (the “</w:t>
      </w:r>
      <w:r>
        <w:rPr>
          <w:rFonts w:ascii="Arial" w:cs="Arial" w:eastAsia="Arial" w:hAnsi="Arial"/>
          <w:sz w:val="16"/>
          <w:szCs w:val="16"/>
          <w:i w:val="1"/>
          <w:iCs w:val="1"/>
          <w:color w:val="auto"/>
        </w:rPr>
        <w:t>Transfer</w:t>
      </w:r>
      <w:r>
        <w:rPr>
          <w:rFonts w:ascii="Arial" w:cs="Arial" w:eastAsia="Arial" w:hAnsi="Arial"/>
          <w:sz w:val="16"/>
          <w:szCs w:val="16"/>
          <w:color w:val="auto"/>
        </w:rPr>
        <w:t xml:space="preserve"> </w:t>
      </w:r>
      <w:r>
        <w:rPr>
          <w:rFonts w:ascii="Arial" w:cs="Arial" w:eastAsia="Arial" w:hAnsi="Arial"/>
          <w:sz w:val="16"/>
          <w:szCs w:val="16"/>
          <w:i w:val="1"/>
          <w:iCs w:val="1"/>
          <w:color w:val="auto"/>
        </w:rPr>
        <w:t>Agent</w:t>
      </w:r>
      <w:r>
        <w:rPr>
          <w:rFonts w:ascii="Arial" w:cs="Arial" w:eastAsia="Arial" w:hAnsi="Arial"/>
          <w:sz w:val="16"/>
          <w:szCs w:val="16"/>
          <w:color w:val="auto"/>
        </w:rPr>
        <w:t>”). The Registrar will keep a register of the Notes and of their transfer and exchange. The Transfer Agent shall perform the functions of a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agent. The Company may appoint one or more co-registrars, one or more additional transfer agents and one or more additional paying agents. The term “Registrar” includes any co-registrar and the term “Paying Agent” includes any additional paying agent. The Company may change any Paying Agent, the Transfer Agent or Registrar without notice to any Holder and shall so notify the Trustee and each Paying Agent thereof in writing of the name and address of any Agent not a party to this Indenture. If the Company fails to appoint or maintain another entity as Registrar, Transfer Agent or Paying Agent, the Trustee shall act as such. The Company or any of its Subsidiaries may act as Paying Agent or Registrar.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Company initially appoints Deutsche Bank Trust Company Americas to act as the Registrar, Transfer Agent and Paying Agent and to act as Custodian, with respect to the Global Notes.</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117"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or the Trustee all money held by the Paying Agent for the payment of principal, premium or Additional Amounts,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Registrar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368" w:name="page369"/>
    <w:bookmarkEnd w:id="368"/>
    <w:p>
      <w:pPr>
        <w:ind w:left="444"/>
        <w:spacing w:after="0"/>
        <w:tabs>
          <w:tab w:leader="none" w:pos="1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2.06</w:t>
      </w:r>
      <w:r>
        <w:rPr>
          <w:sz w:val="20"/>
          <w:szCs w:val="20"/>
          <w:color w:val="auto"/>
        </w:rPr>
        <w:tab/>
      </w:r>
      <w:r>
        <w:rPr>
          <w:rFonts w:ascii="Arial" w:cs="Arial" w:eastAsia="Arial" w:hAnsi="Arial"/>
          <w:sz w:val="16"/>
          <w:szCs w:val="16"/>
          <w:i w:val="1"/>
          <w:iCs w:val="1"/>
          <w:color w:val="auto"/>
        </w:rPr>
        <w:t>Transfer and Exchange.</w:t>
      </w:r>
    </w:p>
    <w:p>
      <w:pPr>
        <w:spacing w:after="0" w:line="117" w:lineRule="exact"/>
        <w:rPr>
          <w:sz w:val="20"/>
          <w:szCs w:val="20"/>
          <w:color w:val="auto"/>
        </w:rPr>
      </w:pPr>
    </w:p>
    <w:p>
      <w:pPr>
        <w:ind w:left="4" w:firstLine="987"/>
        <w:spacing w:after="0" w:line="311" w:lineRule="auto"/>
        <w:tabs>
          <w:tab w:leader="none" w:pos="1420" w:val="left"/>
        </w:tabs>
        <w:numPr>
          <w:ilvl w:val="0"/>
          <w:numId w:val="403"/>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except as a whole by the Depositary to a nominee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40" w:lineRule="exact"/>
        <w:rPr>
          <w:rFonts w:ascii="Arial" w:cs="Arial" w:eastAsia="Arial" w:hAnsi="Arial"/>
          <w:sz w:val="16"/>
          <w:szCs w:val="16"/>
          <w:color w:val="auto"/>
        </w:rPr>
      </w:pPr>
    </w:p>
    <w:p>
      <w:pPr>
        <w:ind w:left="984" w:firstLine="408"/>
        <w:spacing w:after="0" w:line="263" w:lineRule="auto"/>
        <w:tabs>
          <w:tab w:leader="none" w:pos="182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75" w:lineRule="exact"/>
        <w:rPr>
          <w:rFonts w:ascii="Arial" w:cs="Arial" w:eastAsia="Arial" w:hAnsi="Arial"/>
          <w:sz w:val="18"/>
          <w:szCs w:val="18"/>
          <w:color w:val="auto"/>
        </w:rPr>
      </w:pPr>
    </w:p>
    <w:p>
      <w:pPr>
        <w:ind w:left="984" w:right="700" w:firstLine="408"/>
        <w:spacing w:after="0" w:line="277" w:lineRule="auto"/>
        <w:tabs>
          <w:tab w:leader="none" w:pos="1775"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62" w:lineRule="exact"/>
        <w:rPr>
          <w:rFonts w:ascii="Arial" w:cs="Arial" w:eastAsia="Arial" w:hAnsi="Arial"/>
          <w:sz w:val="18"/>
          <w:szCs w:val="18"/>
          <w:color w:val="auto"/>
        </w:rPr>
      </w:pPr>
    </w:p>
    <w:p>
      <w:pPr>
        <w:ind w:left="1824" w:hanging="432"/>
        <w:spacing w:after="0"/>
        <w:tabs>
          <w:tab w:leader="none" w:pos="1824"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w:t>
      </w:r>
    </w:p>
    <w:p>
      <w:pPr>
        <w:spacing w:after="0" w:line="2" w:lineRule="exact"/>
        <w:rPr>
          <w:sz w:val="20"/>
          <w:szCs w:val="20"/>
          <w:color w:val="auto"/>
        </w:rPr>
      </w:pPr>
    </w:p>
    <w:p>
      <w:pPr>
        <w:ind w:left="244" w:hanging="244"/>
        <w:spacing w:after="0"/>
        <w:tabs>
          <w:tab w:leader="none" w:pos="24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or (f) hereof.</w:t>
      </w:r>
    </w:p>
    <w:p>
      <w:pPr>
        <w:spacing w:after="0" w:line="210" w:lineRule="exact"/>
        <w:rPr>
          <w:rFonts w:ascii="Arial" w:cs="Arial" w:eastAsia="Arial" w:hAnsi="Arial"/>
          <w:sz w:val="18"/>
          <w:szCs w:val="18"/>
          <w:color w:val="auto"/>
        </w:rPr>
      </w:pPr>
    </w:p>
    <w:p>
      <w:pPr>
        <w:ind w:left="4" w:right="60" w:firstLine="987"/>
        <w:spacing w:after="0" w:line="257" w:lineRule="auto"/>
        <w:tabs>
          <w:tab w:leader="none" w:pos="1430" w:val="left"/>
        </w:tabs>
        <w:numPr>
          <w:ilvl w:val="1"/>
          <w:numId w:val="404"/>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79" w:lineRule="exact"/>
        <w:rPr>
          <w:rFonts w:ascii="Arial" w:cs="Arial" w:eastAsia="Arial" w:hAnsi="Arial"/>
          <w:sz w:val="18"/>
          <w:szCs w:val="18"/>
          <w:color w:val="auto"/>
        </w:rPr>
      </w:pPr>
    </w:p>
    <w:p>
      <w:pPr>
        <w:ind w:left="984" w:right="60" w:firstLine="408"/>
        <w:spacing w:after="0" w:line="272" w:lineRule="auto"/>
        <w:tabs>
          <w:tab w:leader="none" w:pos="1819" w:val="left"/>
        </w:tabs>
        <w:numPr>
          <w:ilvl w:val="2"/>
          <w:numId w:val="404"/>
        </w:numPr>
        <w:rPr>
          <w:rFonts w:ascii="Arial" w:cs="Arial" w:eastAsia="Arial" w:hAnsi="Arial"/>
          <w:sz w:val="17"/>
          <w:szCs w:val="17"/>
          <w:color w:val="auto"/>
        </w:rPr>
      </w:pPr>
      <w:r>
        <w:rPr>
          <w:rFonts w:ascii="Arial" w:cs="Arial" w:eastAsia="Arial" w:hAnsi="Arial"/>
          <w:sz w:val="17"/>
          <w:szCs w:val="17"/>
          <w:i w:val="1"/>
          <w:iCs w:val="1"/>
          <w:color w:val="auto"/>
        </w:rPr>
        <w:t>Transfer of Beneficial Interests in the Same Global Note</w:t>
      </w:r>
      <w:r>
        <w:rPr>
          <w:rFonts w:ascii="Arial" w:cs="Arial" w:eastAsia="Arial" w:hAnsi="Arial"/>
          <w:sz w:val="17"/>
          <w:szCs w:val="17"/>
          <w:color w:val="auto"/>
        </w:rPr>
        <w:t>. Beneficial interests in any Restricted Global Note may be transferred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Persons who take delivery thereof in the form of a beneficial interest in the same Restricted Global Note in accordance with the transfer restrictions set forth in the Private Placement Legend;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69" w:lineRule="exact"/>
        <w:rPr>
          <w:rFonts w:ascii="Arial" w:cs="Arial" w:eastAsia="Arial" w:hAnsi="Arial"/>
          <w:sz w:val="17"/>
          <w:szCs w:val="17"/>
          <w:color w:val="auto"/>
        </w:rPr>
      </w:pPr>
    </w:p>
    <w:p>
      <w:pPr>
        <w:jc w:val="both"/>
        <w:ind w:left="984" w:right="180" w:firstLine="408"/>
        <w:spacing w:after="0" w:line="263" w:lineRule="auto"/>
        <w:tabs>
          <w:tab w:leader="none" w:pos="1819" w:val="left"/>
        </w:tabs>
        <w:numPr>
          <w:ilvl w:val="2"/>
          <w:numId w:val="404"/>
        </w:numPr>
        <w:rPr>
          <w:rFonts w:ascii="Arial" w:cs="Arial" w:eastAsia="Arial" w:hAnsi="Arial"/>
          <w:sz w:val="18"/>
          <w:szCs w:val="18"/>
          <w:color w:val="auto"/>
        </w:rPr>
      </w:pPr>
      <w:r>
        <w:rPr>
          <w:rFonts w:ascii="Arial" w:cs="Arial" w:eastAsia="Arial" w:hAnsi="Arial"/>
          <w:sz w:val="18"/>
          <w:szCs w:val="18"/>
          <w:i w:val="1"/>
          <w:iCs w:val="1"/>
          <w:color w:val="auto"/>
        </w:rPr>
        <w:t xml:space="preserve">All Other Transfers and Exchanges of Beneficial Interests in Global Notes. </w:t>
      </w:r>
      <w:r>
        <w:rPr>
          <w:rFonts w:ascii="Arial" w:cs="Arial" w:eastAsia="Arial" w:hAnsi="Arial"/>
          <w:sz w:val="18"/>
          <w:szCs w:val="18"/>
          <w:color w:val="auto"/>
        </w:rPr>
        <w:t>In connection with all transfers and exchanges of</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interests that are not subject to Section 2.06(b)(1) above, the transferor of such beneficial interest must deliver to the Registrar either:</w:t>
      </w:r>
    </w:p>
    <w:p>
      <w:pPr>
        <w:spacing w:after="0" w:line="89" w:lineRule="exact"/>
        <w:rPr>
          <w:rFonts w:ascii="Arial" w:cs="Arial" w:eastAsia="Arial" w:hAnsi="Arial"/>
          <w:sz w:val="18"/>
          <w:szCs w:val="18"/>
          <w:color w:val="auto"/>
        </w:rPr>
      </w:pPr>
    </w:p>
    <w:p>
      <w:pPr>
        <w:ind w:left="2404" w:hanging="433"/>
        <w:spacing w:after="0"/>
        <w:tabs>
          <w:tab w:leader="none" w:pos="2404" w:val="left"/>
        </w:tabs>
        <w:numPr>
          <w:ilvl w:val="3"/>
          <w:numId w:val="404"/>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984" w:right="140" w:firstLine="360"/>
        <w:spacing w:after="0" w:line="263" w:lineRule="auto"/>
        <w:tabs>
          <w:tab w:leader="none" w:pos="2695" w:val="left"/>
        </w:tabs>
        <w:numPr>
          <w:ilvl w:val="4"/>
          <w:numId w:val="404"/>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5" w:lineRule="exact"/>
        <w:rPr>
          <w:rFonts w:ascii="Arial" w:cs="Arial" w:eastAsia="Arial" w:hAnsi="Arial"/>
          <w:sz w:val="18"/>
          <w:szCs w:val="18"/>
          <w:color w:val="auto"/>
        </w:rPr>
      </w:pPr>
    </w:p>
    <w:p>
      <w:pPr>
        <w:ind w:left="1984" w:right="60" w:firstLine="360"/>
        <w:spacing w:after="0" w:line="277" w:lineRule="auto"/>
        <w:tabs>
          <w:tab w:leader="none" w:pos="2790" w:val="left"/>
        </w:tabs>
        <w:numPr>
          <w:ilvl w:val="4"/>
          <w:numId w:val="404"/>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69" w:name="page370"/>
    <w:bookmarkEnd w:id="369"/>
    <w:p>
      <w:pPr>
        <w:ind w:left="2400" w:hanging="433"/>
        <w:spacing w:after="0"/>
        <w:tabs>
          <w:tab w:leader="none" w:pos="24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both:</w:t>
      </w:r>
    </w:p>
    <w:p>
      <w:pPr>
        <w:spacing w:after="0" w:line="117" w:lineRule="exact"/>
        <w:rPr>
          <w:rFonts w:ascii="Arial" w:cs="Arial" w:eastAsia="Arial" w:hAnsi="Arial"/>
          <w:sz w:val="18"/>
          <w:szCs w:val="18"/>
          <w:color w:val="auto"/>
        </w:rPr>
      </w:pPr>
    </w:p>
    <w:p>
      <w:pPr>
        <w:ind w:left="1980" w:right="160" w:firstLine="360"/>
        <w:spacing w:after="0" w:line="263" w:lineRule="auto"/>
        <w:tabs>
          <w:tab w:leader="none" w:pos="2691" w:val="left"/>
        </w:tabs>
        <w:numPr>
          <w:ilvl w:val="1"/>
          <w:numId w:val="40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75" w:lineRule="exact"/>
        <w:rPr>
          <w:rFonts w:ascii="Arial" w:cs="Arial" w:eastAsia="Arial" w:hAnsi="Arial"/>
          <w:sz w:val="18"/>
          <w:szCs w:val="18"/>
          <w:color w:val="auto"/>
        </w:rPr>
      </w:pPr>
    </w:p>
    <w:p>
      <w:pPr>
        <w:ind w:left="1980" w:right="100" w:firstLine="360"/>
        <w:spacing w:after="0" w:line="277" w:lineRule="auto"/>
        <w:tabs>
          <w:tab w:leader="none" w:pos="2786" w:val="left"/>
        </w:tabs>
        <w:numPr>
          <w:ilvl w:val="1"/>
          <w:numId w:val="405"/>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76" w:lineRule="exact"/>
        <w:rPr>
          <w:sz w:val="20"/>
          <w:szCs w:val="20"/>
          <w:color w:val="auto"/>
        </w:rPr>
      </w:pPr>
    </w:p>
    <w:p>
      <w:pPr>
        <w:ind w:left="980" w:right="120" w:firstLine="408"/>
        <w:spacing w:after="0" w:line="286" w:lineRule="auto"/>
        <w:tabs>
          <w:tab w:leader="none" w:pos="1815" w:val="left"/>
        </w:tabs>
        <w:numPr>
          <w:ilvl w:val="0"/>
          <w:numId w:val="406"/>
        </w:numPr>
        <w:rPr>
          <w:rFonts w:ascii="Arial" w:cs="Arial" w:eastAsia="Arial" w:hAnsi="Arial"/>
          <w:sz w:val="17"/>
          <w:szCs w:val="17"/>
          <w:color w:val="auto"/>
        </w:rPr>
      </w:pPr>
      <w:r>
        <w:rPr>
          <w:rFonts w:ascii="Arial" w:cs="Arial" w:eastAsia="Arial" w:hAnsi="Arial"/>
          <w:sz w:val="17"/>
          <w:szCs w:val="17"/>
          <w:i w:val="1"/>
          <w:iCs w:val="1"/>
          <w:color w:val="auto"/>
        </w:rPr>
        <w:t xml:space="preserve">Transfer of Beneficial Interests to Another Restricted Global Note. </w:t>
      </w:r>
      <w:r>
        <w:rPr>
          <w:rFonts w:ascii="Arial" w:cs="Arial" w:eastAsia="Arial" w:hAnsi="Arial"/>
          <w:sz w:val="17"/>
          <w:szCs w:val="17"/>
          <w:color w:val="auto"/>
        </w:rPr>
        <w:t>A beneficial interest in any Restricted Global Note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to a Person who takes delivery thereof in the form of a beneficial interest in another Restricted Global Note if the transfer complies with the requirements of Section 2.06(b)(2) above and the Registrar receives the following:</w:t>
      </w:r>
    </w:p>
    <w:p>
      <w:pPr>
        <w:spacing w:after="0" w:line="57" w:lineRule="exact"/>
        <w:rPr>
          <w:rFonts w:ascii="Arial" w:cs="Arial" w:eastAsia="Arial" w:hAnsi="Arial"/>
          <w:sz w:val="17"/>
          <w:szCs w:val="17"/>
          <w:color w:val="auto"/>
        </w:rPr>
      </w:pPr>
    </w:p>
    <w:p>
      <w:pPr>
        <w:ind w:left="1420" w:right="160" w:firstLine="391"/>
        <w:spacing w:after="0" w:line="277" w:lineRule="auto"/>
        <w:tabs>
          <w:tab w:leader="none" w:pos="2278"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 and</w:t>
      </w:r>
    </w:p>
    <w:p>
      <w:pPr>
        <w:spacing w:after="0" w:line="62" w:lineRule="exact"/>
        <w:rPr>
          <w:rFonts w:ascii="Arial" w:cs="Arial" w:eastAsia="Arial" w:hAnsi="Arial"/>
          <w:sz w:val="18"/>
          <w:szCs w:val="18"/>
          <w:color w:val="auto"/>
        </w:rPr>
      </w:pPr>
    </w:p>
    <w:p>
      <w:pPr>
        <w:ind w:left="1420" w:right="40" w:firstLine="391"/>
        <w:spacing w:after="0" w:line="277" w:lineRule="auto"/>
        <w:tabs>
          <w:tab w:leader="none" w:pos="2268"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Regulation S Global Note, then the transferor must deliver a certificate in the form of Exhibit B hereto, including the certifications in item (2) thereof.</w:t>
      </w:r>
    </w:p>
    <w:p>
      <w:pPr>
        <w:spacing w:after="0" w:line="62" w:lineRule="exact"/>
        <w:rPr>
          <w:rFonts w:ascii="Arial" w:cs="Arial" w:eastAsia="Arial" w:hAnsi="Arial"/>
          <w:sz w:val="18"/>
          <w:szCs w:val="18"/>
          <w:color w:val="auto"/>
        </w:rPr>
      </w:pPr>
    </w:p>
    <w:p>
      <w:pPr>
        <w:ind w:left="980" w:firstLine="408"/>
        <w:spacing w:after="0" w:line="301" w:lineRule="auto"/>
        <w:tabs>
          <w:tab w:leader="none" w:pos="1816" w:val="left"/>
        </w:tabs>
        <w:numPr>
          <w:ilvl w:val="0"/>
          <w:numId w:val="406"/>
        </w:numPr>
        <w:rPr>
          <w:rFonts w:ascii="Arial" w:cs="Arial" w:eastAsia="Arial" w:hAnsi="Arial"/>
          <w:sz w:val="16"/>
          <w:szCs w:val="16"/>
          <w:color w:val="auto"/>
        </w:rPr>
      </w:pPr>
      <w:r>
        <w:rPr>
          <w:rFonts w:ascii="Arial" w:cs="Arial" w:eastAsia="Arial" w:hAnsi="Arial"/>
          <w:sz w:val="16"/>
          <w:szCs w:val="16"/>
          <w:color w:val="auto"/>
        </w:rPr>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49" w:lineRule="exact"/>
        <w:rPr>
          <w:rFonts w:ascii="Arial" w:cs="Arial" w:eastAsia="Arial" w:hAnsi="Arial"/>
          <w:sz w:val="16"/>
          <w:szCs w:val="16"/>
          <w:color w:val="auto"/>
        </w:rPr>
      </w:pPr>
    </w:p>
    <w:p>
      <w:pPr>
        <w:ind w:left="1980" w:right="180" w:firstLine="360"/>
        <w:spacing w:after="0" w:line="263" w:lineRule="auto"/>
        <w:tabs>
          <w:tab w:leader="none" w:pos="2691" w:val="left"/>
        </w:tabs>
        <w:numPr>
          <w:ilvl w:val="2"/>
          <w:numId w:val="406"/>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75" w:lineRule="exact"/>
        <w:rPr>
          <w:rFonts w:ascii="Arial" w:cs="Arial" w:eastAsia="Arial" w:hAnsi="Arial"/>
          <w:sz w:val="18"/>
          <w:szCs w:val="18"/>
          <w:color w:val="auto"/>
        </w:rPr>
      </w:pPr>
    </w:p>
    <w:p>
      <w:pPr>
        <w:jc w:val="both"/>
        <w:ind w:left="1980" w:right="40" w:firstLine="360"/>
        <w:spacing w:after="0" w:line="263" w:lineRule="auto"/>
        <w:tabs>
          <w:tab w:leader="none" w:pos="2741" w:val="left"/>
        </w:tabs>
        <w:numPr>
          <w:ilvl w:val="2"/>
          <w:numId w:val="406"/>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76" w:lineRule="exact"/>
        <w:rPr>
          <w:sz w:val="20"/>
          <w:szCs w:val="20"/>
          <w:color w:val="auto"/>
        </w:rPr>
      </w:pPr>
    </w:p>
    <w:p>
      <w:pPr>
        <w:ind w:left="980" w:right="120"/>
        <w:spacing w:after="0" w:line="259" w:lineRule="auto"/>
        <w:rPr>
          <w:sz w:val="20"/>
          <w:szCs w:val="20"/>
          <w:color w:val="auto"/>
        </w:rPr>
      </w:pPr>
      <w:r>
        <w:rPr>
          <w:rFonts w:ascii="Arial" w:cs="Arial" w:eastAsia="Arial" w:hAnsi="Arial"/>
          <w:sz w:val="18"/>
          <w:szCs w:val="18"/>
          <w:color w:val="auto"/>
        </w:rPr>
        <w:t>and, in each such case set forth,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right="280" w:firstLine="991"/>
        <w:spacing w:after="0" w:line="259" w:lineRule="auto"/>
        <w:rPr>
          <w:sz w:val="20"/>
          <w:szCs w:val="20"/>
          <w:color w:val="auto"/>
        </w:rPr>
      </w:pPr>
      <w:r>
        <w:rPr>
          <w:rFonts w:ascii="Arial" w:cs="Arial" w:eastAsia="Arial" w:hAnsi="Arial"/>
          <w:sz w:val="18"/>
          <w:szCs w:val="18"/>
          <w:color w:val="auto"/>
        </w:rPr>
        <w:t>If any such transfer is effected pursuant to the paragraph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the paragraph above.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70" w:name="page371"/>
    <w:bookmarkEnd w:id="370"/>
    <w:p>
      <w:pPr>
        <w:ind w:right="3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Beneficial interests in an Unrestricted Global Note cannot be exchanged for, or transferred to Persons who take delivery thereof in the form of, a beneficial interest in a Restricted Global Note.</w:t>
      </w:r>
    </w:p>
    <w:p>
      <w:pPr>
        <w:spacing w:after="0" w:line="170" w:lineRule="exact"/>
        <w:rPr>
          <w:sz w:val="20"/>
          <w:szCs w:val="20"/>
          <w:color w:val="auto"/>
        </w:rPr>
      </w:pPr>
    </w:p>
    <w:p>
      <w:pPr>
        <w:ind w:left="1420" w:hanging="433"/>
        <w:spacing w:after="0"/>
        <w:tabs>
          <w:tab w:leader="none" w:pos="1420"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60" w:firstLine="408"/>
        <w:spacing w:after="0" w:line="259" w:lineRule="auto"/>
        <w:tabs>
          <w:tab w:leader="none" w:pos="1815" w:val="left"/>
        </w:tabs>
        <w:numPr>
          <w:ilvl w:val="1"/>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Notes to Restricted Definitive Notes. </w:t>
      </w:r>
      <w:r>
        <w:rPr>
          <w:rFonts w:ascii="Arial" w:cs="Arial" w:eastAsia="Arial" w:hAnsi="Arial"/>
          <w:sz w:val="18"/>
          <w:szCs w:val="18"/>
          <w:color w:val="auto"/>
        </w:rPr>
        <w:t>If any Holder of a beneficial interest in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78" w:lineRule="exact"/>
        <w:rPr>
          <w:rFonts w:ascii="Arial" w:cs="Arial" w:eastAsia="Arial" w:hAnsi="Arial"/>
          <w:sz w:val="18"/>
          <w:szCs w:val="18"/>
          <w:color w:val="auto"/>
        </w:rPr>
      </w:pPr>
    </w:p>
    <w:p>
      <w:pPr>
        <w:ind w:left="1420" w:right="120" w:firstLine="391"/>
        <w:spacing w:after="0" w:line="263" w:lineRule="auto"/>
        <w:tabs>
          <w:tab w:leader="none" w:pos="2233" w:val="left"/>
        </w:tabs>
        <w:numPr>
          <w:ilvl w:val="2"/>
          <w:numId w:val="407"/>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75" w:lineRule="exact"/>
        <w:rPr>
          <w:rFonts w:ascii="Arial" w:cs="Arial" w:eastAsia="Arial" w:hAnsi="Arial"/>
          <w:sz w:val="18"/>
          <w:szCs w:val="18"/>
          <w:color w:val="auto"/>
        </w:rPr>
      </w:pPr>
    </w:p>
    <w:p>
      <w:pPr>
        <w:ind w:left="1420" w:right="140" w:firstLine="391"/>
        <w:spacing w:after="0" w:line="277" w:lineRule="auto"/>
        <w:tabs>
          <w:tab w:leader="none" w:pos="2223" w:val="left"/>
        </w:tabs>
        <w:numPr>
          <w:ilvl w:val="2"/>
          <w:numId w:val="407"/>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1420" w:right="280" w:firstLine="391"/>
        <w:spacing w:after="0" w:line="308" w:lineRule="auto"/>
        <w:tabs>
          <w:tab w:leader="none" w:pos="2223" w:val="left"/>
        </w:tabs>
        <w:numPr>
          <w:ilvl w:val="2"/>
          <w:numId w:val="407"/>
        </w:numPr>
        <w:rPr>
          <w:rFonts w:ascii="Arial" w:cs="Arial" w:eastAsia="Arial" w:hAnsi="Arial"/>
          <w:sz w:val="17"/>
          <w:szCs w:val="17"/>
          <w:color w:val="auto"/>
        </w:rPr>
      </w:pPr>
      <w:r>
        <w:rPr>
          <w:rFonts w:ascii="Arial" w:cs="Arial" w:eastAsia="Arial" w:hAnsi="Arial"/>
          <w:sz w:val="17"/>
          <w:szCs w:val="17"/>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38" w:lineRule="exact"/>
        <w:rPr>
          <w:rFonts w:ascii="Arial" w:cs="Arial" w:eastAsia="Arial" w:hAnsi="Arial"/>
          <w:sz w:val="17"/>
          <w:szCs w:val="17"/>
          <w:color w:val="auto"/>
        </w:rPr>
      </w:pPr>
    </w:p>
    <w:p>
      <w:pPr>
        <w:ind w:left="1420" w:firstLine="391"/>
        <w:spacing w:after="0" w:line="291" w:lineRule="auto"/>
        <w:tabs>
          <w:tab w:leader="none" w:pos="2233" w:val="left"/>
        </w:tabs>
        <w:numPr>
          <w:ilvl w:val="2"/>
          <w:numId w:val="407"/>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w:t>
      </w:r>
    </w:p>
    <w:p>
      <w:pPr>
        <w:ind w:left="1420"/>
        <w:spacing w:after="0"/>
        <w:rPr>
          <w:rFonts w:ascii="Arial" w:cs="Arial" w:eastAsia="Arial" w:hAnsi="Arial"/>
          <w:sz w:val="16"/>
          <w:szCs w:val="16"/>
          <w:color w:val="auto"/>
        </w:rPr>
      </w:pPr>
      <w:r>
        <w:rPr>
          <w:rFonts w:ascii="Arial" w:cs="Arial" w:eastAsia="Arial" w:hAnsi="Arial"/>
          <w:sz w:val="18"/>
          <w:szCs w:val="18"/>
          <w:color w:val="auto"/>
        </w:rPr>
        <w:t>(3)(a) thereof;</w:t>
      </w:r>
    </w:p>
    <w:p>
      <w:pPr>
        <w:spacing w:after="0" w:line="102" w:lineRule="exact"/>
        <w:rPr>
          <w:rFonts w:ascii="Arial" w:cs="Arial" w:eastAsia="Arial" w:hAnsi="Arial"/>
          <w:sz w:val="16"/>
          <w:szCs w:val="16"/>
          <w:color w:val="auto"/>
        </w:rPr>
      </w:pPr>
    </w:p>
    <w:p>
      <w:pPr>
        <w:ind w:left="1420" w:right="20" w:firstLine="391"/>
        <w:spacing w:after="0" w:line="277" w:lineRule="auto"/>
        <w:tabs>
          <w:tab w:leader="none" w:pos="2213" w:val="left"/>
        </w:tabs>
        <w:numPr>
          <w:ilvl w:val="2"/>
          <w:numId w:val="407"/>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1420" w:right="260" w:firstLine="391"/>
        <w:spacing w:after="0" w:line="277" w:lineRule="auto"/>
        <w:tabs>
          <w:tab w:leader="none" w:pos="2203" w:val="left"/>
        </w:tabs>
        <w:numPr>
          <w:ilvl w:val="2"/>
          <w:numId w:val="407"/>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71" w:name="page372"/>
    <w:bookmarkEnd w:id="371"/>
    <w:p>
      <w:pPr>
        <w:ind w:left="-7" w:firstLine="408"/>
        <w:spacing w:after="0" w:line="311" w:lineRule="auto"/>
        <w:tabs>
          <w:tab w:leader="none" w:pos="828" w:val="left"/>
        </w:tabs>
        <w:numPr>
          <w:ilvl w:val="0"/>
          <w:numId w:val="40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Beneficial Interests in Restricted Global Notes to Unrestricted Definitive Notes. </w:t>
      </w:r>
      <w:r>
        <w:rPr>
          <w:rFonts w:ascii="Arial" w:cs="Arial" w:eastAsia="Arial" w:hAnsi="Arial"/>
          <w:sz w:val="16"/>
          <w:szCs w:val="16"/>
          <w:color w:val="auto"/>
        </w:rPr>
        <w:t>A Holder of a beneficial interest in a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40" w:lineRule="exact"/>
        <w:rPr>
          <w:rFonts w:ascii="Arial" w:cs="Arial" w:eastAsia="Arial" w:hAnsi="Arial"/>
          <w:sz w:val="16"/>
          <w:szCs w:val="16"/>
          <w:color w:val="auto"/>
        </w:rPr>
      </w:pPr>
    </w:p>
    <w:p>
      <w:pPr>
        <w:ind w:left="993" w:right="140" w:firstLine="360"/>
        <w:spacing w:after="0" w:line="263" w:lineRule="auto"/>
        <w:tabs>
          <w:tab w:leader="none" w:pos="1748" w:val="left"/>
        </w:tabs>
        <w:numPr>
          <w:ilvl w:val="1"/>
          <w:numId w:val="408"/>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75" w:lineRule="exact"/>
        <w:rPr>
          <w:rFonts w:ascii="Arial" w:cs="Arial" w:eastAsia="Arial" w:hAnsi="Arial"/>
          <w:sz w:val="18"/>
          <w:szCs w:val="18"/>
          <w:color w:val="auto"/>
        </w:rPr>
      </w:pPr>
    </w:p>
    <w:p>
      <w:pPr>
        <w:jc w:val="both"/>
        <w:ind w:left="993" w:right="40" w:firstLine="360"/>
        <w:spacing w:after="0" w:line="263" w:lineRule="auto"/>
        <w:tabs>
          <w:tab w:leader="none" w:pos="1798" w:val="left"/>
        </w:tabs>
        <w:numPr>
          <w:ilvl w:val="1"/>
          <w:numId w:val="408"/>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76" w:lineRule="exact"/>
        <w:rPr>
          <w:sz w:val="20"/>
          <w:szCs w:val="20"/>
          <w:color w:val="auto"/>
        </w:rPr>
      </w:pPr>
    </w:p>
    <w:p>
      <w:pPr>
        <w:ind w:left="433" w:right="26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ind w:left="-7" w:right="80" w:firstLine="408"/>
        <w:spacing w:after="0" w:line="288" w:lineRule="auto"/>
        <w:tabs>
          <w:tab w:leader="none" w:pos="828" w:val="left"/>
        </w:tabs>
        <w:numPr>
          <w:ilvl w:val="1"/>
          <w:numId w:val="409"/>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Notes to Unrestricted Definitive Notes. </w:t>
      </w:r>
      <w:r>
        <w:rPr>
          <w:rFonts w:ascii="Arial" w:cs="Arial" w:eastAsia="Arial" w:hAnsi="Arial"/>
          <w:sz w:val="16"/>
          <w:szCs w:val="16"/>
          <w:color w:val="auto"/>
        </w:rPr>
        <w:t>If any Holder of a beneficial interest in an</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60" w:lineRule="exact"/>
        <w:rPr>
          <w:rFonts w:ascii="Arial" w:cs="Arial" w:eastAsia="Arial" w:hAnsi="Arial"/>
          <w:sz w:val="16"/>
          <w:szCs w:val="16"/>
          <w:color w:val="auto"/>
        </w:rPr>
      </w:pPr>
    </w:p>
    <w:p>
      <w:pPr>
        <w:ind w:left="433" w:hanging="433"/>
        <w:spacing w:after="0"/>
        <w:tabs>
          <w:tab w:leader="none" w:pos="433" w:val="left"/>
        </w:tabs>
        <w:numPr>
          <w:ilvl w:val="0"/>
          <w:numId w:val="410"/>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7" w:right="20" w:firstLine="408"/>
        <w:spacing w:after="0" w:line="259" w:lineRule="auto"/>
        <w:tabs>
          <w:tab w:leader="none" w:pos="828" w:val="left"/>
        </w:tabs>
        <w:numPr>
          <w:ilvl w:val="1"/>
          <w:numId w:val="410"/>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Restricted Global Notes. </w:t>
      </w:r>
      <w:r>
        <w:rPr>
          <w:rFonts w:ascii="Arial" w:cs="Arial" w:eastAsia="Arial" w:hAnsi="Arial"/>
          <w:sz w:val="18"/>
          <w:szCs w:val="18"/>
          <w:color w:val="auto"/>
        </w:rPr>
        <w:t>If any Holder of a 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8" w:lineRule="exact"/>
        <w:rPr>
          <w:rFonts w:ascii="Arial" w:cs="Arial" w:eastAsia="Arial" w:hAnsi="Arial"/>
          <w:sz w:val="18"/>
          <w:szCs w:val="18"/>
          <w:color w:val="auto"/>
        </w:rPr>
      </w:pPr>
    </w:p>
    <w:p>
      <w:pPr>
        <w:ind w:left="433" w:right="180" w:firstLine="391"/>
        <w:spacing w:after="0" w:line="342" w:lineRule="auto"/>
        <w:tabs>
          <w:tab w:leader="none" w:pos="1246" w:val="left"/>
        </w:tabs>
        <w:numPr>
          <w:ilvl w:val="2"/>
          <w:numId w:val="410"/>
        </w:numPr>
        <w:rPr>
          <w:rFonts w:ascii="Arial" w:cs="Arial" w:eastAsia="Arial" w:hAnsi="Arial"/>
          <w:sz w:val="16"/>
          <w:szCs w:val="16"/>
          <w:color w:val="auto"/>
        </w:rPr>
      </w:pPr>
      <w:r>
        <w:rPr>
          <w:rFonts w:ascii="Arial" w:cs="Arial" w:eastAsia="Arial" w:hAnsi="Arial"/>
          <w:sz w:val="16"/>
          <w:szCs w:val="16"/>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15" w:lineRule="exact"/>
        <w:rPr>
          <w:rFonts w:ascii="Arial" w:cs="Arial" w:eastAsia="Arial" w:hAnsi="Arial"/>
          <w:sz w:val="16"/>
          <w:szCs w:val="16"/>
          <w:color w:val="auto"/>
        </w:rPr>
      </w:pPr>
    </w:p>
    <w:p>
      <w:pPr>
        <w:ind w:left="433" w:right="180" w:firstLine="391"/>
        <w:spacing w:after="0" w:line="277" w:lineRule="auto"/>
        <w:tabs>
          <w:tab w:leader="none" w:pos="1236" w:val="left"/>
        </w:tabs>
        <w:numPr>
          <w:ilvl w:val="2"/>
          <w:numId w:val="410"/>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433" w:right="40" w:firstLine="391"/>
        <w:spacing w:after="0" w:line="308" w:lineRule="auto"/>
        <w:tabs>
          <w:tab w:leader="none" w:pos="1236" w:val="left"/>
        </w:tabs>
        <w:numPr>
          <w:ilvl w:val="2"/>
          <w:numId w:val="410"/>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79"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013"/>
          </w:cols>
          <w:pgMar w:left="1427" w:top="274" w:right="459" w:bottom="1440" w:gutter="0" w:footer="0" w:header="0"/>
        </w:sectPr>
      </w:pPr>
    </w:p>
    <w:bookmarkStart w:id="372" w:name="page373"/>
    <w:bookmarkEnd w:id="372"/>
    <w:p>
      <w:pPr>
        <w:ind w:left="1420" w:right="20" w:firstLine="391"/>
        <w:spacing w:after="0" w:line="291" w:lineRule="auto"/>
        <w:tabs>
          <w:tab w:leader="none" w:pos="2233" w:val="left"/>
        </w:tabs>
        <w:numPr>
          <w:ilvl w:val="0"/>
          <w:numId w:val="4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such Restricted Definitive Note is being transferred pursuant to an exemption from the registration requirements of the Securities Act in accordance with Rule 144, a certificate to the effect set forth in Exhibit B hereto, including the certifications in item</w:t>
      </w:r>
    </w:p>
    <w:p>
      <w:pPr>
        <w:ind w:left="1420"/>
        <w:spacing w:after="0"/>
        <w:rPr>
          <w:rFonts w:ascii="Arial" w:cs="Arial" w:eastAsia="Arial" w:hAnsi="Arial"/>
          <w:sz w:val="16"/>
          <w:szCs w:val="16"/>
          <w:color w:val="auto"/>
        </w:rPr>
      </w:pPr>
      <w:r>
        <w:rPr>
          <w:rFonts w:ascii="Arial" w:cs="Arial" w:eastAsia="Arial" w:hAnsi="Arial"/>
          <w:sz w:val="18"/>
          <w:szCs w:val="18"/>
          <w:color w:val="auto"/>
        </w:rPr>
        <w:t>(3)(a) thereof;</w:t>
      </w:r>
    </w:p>
    <w:p>
      <w:pPr>
        <w:spacing w:after="0" w:line="102" w:lineRule="exact"/>
        <w:rPr>
          <w:rFonts w:ascii="Arial" w:cs="Arial" w:eastAsia="Arial" w:hAnsi="Arial"/>
          <w:sz w:val="16"/>
          <w:szCs w:val="16"/>
          <w:color w:val="auto"/>
        </w:rPr>
      </w:pPr>
    </w:p>
    <w:p>
      <w:pPr>
        <w:ind w:left="1420" w:right="80" w:firstLine="391"/>
        <w:spacing w:after="0" w:line="277" w:lineRule="auto"/>
        <w:tabs>
          <w:tab w:leader="none" w:pos="221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1420" w:right="140" w:firstLine="391"/>
        <w:spacing w:after="0" w:line="308" w:lineRule="auto"/>
        <w:tabs>
          <w:tab w:leader="none" w:pos="2203" w:val="left"/>
        </w:tabs>
        <w:numPr>
          <w:ilvl w:val="0"/>
          <w:numId w:val="411"/>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38" w:lineRule="exact"/>
        <w:rPr>
          <w:sz w:val="20"/>
          <w:szCs w:val="20"/>
          <w:color w:val="auto"/>
        </w:rPr>
      </w:pPr>
    </w:p>
    <w:p>
      <w:pPr>
        <w:ind w:left="1420" w:right="580"/>
        <w:spacing w:after="0" w:line="277" w:lineRule="auto"/>
        <w:rPr>
          <w:sz w:val="20"/>
          <w:szCs w:val="20"/>
          <w:color w:val="auto"/>
        </w:rPr>
      </w:pPr>
      <w:r>
        <w:rPr>
          <w:rFonts w:ascii="Arial" w:cs="Arial" w:eastAsia="Arial" w:hAnsi="Arial"/>
          <w:sz w:val="18"/>
          <w:szCs w:val="18"/>
          <w:color w:val="auto"/>
        </w:rPr>
        <w:t>the Trustee will cancel the Restricted Definitive Note, increase or cause to be increased the aggregate principal amount of the appropriate Restricted Global Note.</w:t>
      </w:r>
    </w:p>
    <w:p>
      <w:pPr>
        <w:spacing w:after="0" w:line="62" w:lineRule="exact"/>
        <w:rPr>
          <w:sz w:val="20"/>
          <w:szCs w:val="20"/>
          <w:color w:val="auto"/>
        </w:rPr>
      </w:pPr>
    </w:p>
    <w:p>
      <w:pPr>
        <w:ind w:left="980" w:right="120" w:firstLine="408"/>
        <w:spacing w:after="0" w:line="311" w:lineRule="auto"/>
        <w:tabs>
          <w:tab w:leader="none" w:pos="1815" w:val="left"/>
        </w:tabs>
        <w:numPr>
          <w:ilvl w:val="0"/>
          <w:numId w:val="412"/>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Beneficial Interests in Unrestricted Global Notes. </w:t>
      </w:r>
      <w:r>
        <w:rPr>
          <w:rFonts w:ascii="Arial" w:cs="Arial" w:eastAsia="Arial" w:hAnsi="Arial"/>
          <w:sz w:val="16"/>
          <w:szCs w:val="16"/>
          <w:color w:val="auto"/>
        </w:rPr>
        <w:t>A Holder of a Restricted Definitive Note may</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40" w:lineRule="exact"/>
        <w:rPr>
          <w:rFonts w:ascii="Arial" w:cs="Arial" w:eastAsia="Arial" w:hAnsi="Arial"/>
          <w:sz w:val="16"/>
          <w:szCs w:val="16"/>
          <w:color w:val="auto"/>
        </w:rPr>
      </w:pPr>
    </w:p>
    <w:p>
      <w:pPr>
        <w:ind w:left="1980" w:firstLine="360"/>
        <w:spacing w:after="0" w:line="263" w:lineRule="auto"/>
        <w:tabs>
          <w:tab w:leader="none" w:pos="2691" w:val="left"/>
        </w:tabs>
        <w:numPr>
          <w:ilvl w:val="1"/>
          <w:numId w:val="412"/>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75" w:lineRule="exact"/>
        <w:rPr>
          <w:rFonts w:ascii="Arial" w:cs="Arial" w:eastAsia="Arial" w:hAnsi="Arial"/>
          <w:sz w:val="18"/>
          <w:szCs w:val="18"/>
          <w:color w:val="auto"/>
        </w:rPr>
      </w:pPr>
    </w:p>
    <w:p>
      <w:pPr>
        <w:ind w:left="1980" w:right="80" w:firstLine="360"/>
        <w:spacing w:after="0" w:line="263" w:lineRule="auto"/>
        <w:tabs>
          <w:tab w:leader="none" w:pos="2786" w:val="left"/>
        </w:tabs>
        <w:numPr>
          <w:ilvl w:val="1"/>
          <w:numId w:val="412"/>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76" w:lineRule="exact"/>
        <w:rPr>
          <w:sz w:val="20"/>
          <w:szCs w:val="20"/>
          <w:color w:val="auto"/>
        </w:rPr>
      </w:pPr>
    </w:p>
    <w:p>
      <w:pPr>
        <w:ind w:left="1420" w:right="28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Upon satisfaction of the conditions in this Section 2.06(d)(2), the Trustee will cancel the Definitive Notes and increase or cause to be increased the aggregate principal amount of the Unrestricted Global Note.</w:t>
      </w:r>
    </w:p>
    <w:p>
      <w:pPr>
        <w:spacing w:after="0" w:line="62" w:lineRule="exact"/>
        <w:rPr>
          <w:sz w:val="20"/>
          <w:szCs w:val="20"/>
          <w:color w:val="auto"/>
        </w:rPr>
      </w:pPr>
    </w:p>
    <w:p>
      <w:pPr>
        <w:ind w:left="980" w:right="60" w:firstLine="408"/>
        <w:spacing w:after="0" w:line="257" w:lineRule="auto"/>
        <w:tabs>
          <w:tab w:leader="none" w:pos="1815" w:val="left"/>
        </w:tabs>
        <w:numPr>
          <w:ilvl w:val="0"/>
          <w:numId w:val="413"/>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Beneficial Interests in Unrestricted Global Notes. </w:t>
      </w:r>
      <w:r>
        <w:rPr>
          <w:rFonts w:ascii="Arial" w:cs="Arial" w:eastAsia="Arial" w:hAnsi="Arial"/>
          <w:sz w:val="18"/>
          <w:szCs w:val="18"/>
          <w:color w:val="auto"/>
        </w:rPr>
        <w:t>A Holder of an Unrestricted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8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If any such exchange or transfer from a Definitive Note to a beneficial interest is effected pursuant to subparagraphs (1)(B), (1)(D) or</w:t>
      </w:r>
    </w:p>
    <w:p>
      <w:pPr>
        <w:spacing w:after="0" w:line="46" w:lineRule="exact"/>
        <w:rPr>
          <w:sz w:val="20"/>
          <w:szCs w:val="20"/>
          <w:color w:val="auto"/>
        </w:rPr>
      </w:pPr>
    </w:p>
    <w:p>
      <w:pPr>
        <w:ind w:left="980" w:right="280" w:firstLine="7"/>
        <w:spacing w:after="0" w:line="255" w:lineRule="auto"/>
        <w:tabs>
          <w:tab w:leader="none" w:pos="123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73" w:name="page374"/>
    <w:bookmarkEnd w:id="373"/>
    <w:p>
      <w:pPr>
        <w:ind w:firstLine="987"/>
        <w:spacing w:after="0" w:line="255" w:lineRule="auto"/>
        <w:tabs>
          <w:tab w:leader="none" w:pos="1371"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 and Exchange of Definitive Notes for Definitive Notes. </w:t>
      </w:r>
      <w:r>
        <w:rPr>
          <w:rFonts w:ascii="Arial" w:cs="Arial" w:eastAsia="Arial" w:hAnsi="Arial"/>
          <w:sz w:val="18"/>
          <w:szCs w:val="18"/>
          <w:color w:val="auto"/>
        </w:rPr>
        <w:t>Upon request by a Holder of Definitive Notes and such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84" w:lineRule="exact"/>
        <w:rPr>
          <w:rFonts w:ascii="Arial" w:cs="Arial" w:eastAsia="Arial" w:hAnsi="Arial"/>
          <w:sz w:val="18"/>
          <w:szCs w:val="18"/>
          <w:color w:val="auto"/>
        </w:rPr>
      </w:pPr>
    </w:p>
    <w:p>
      <w:pPr>
        <w:ind w:left="980" w:right="80" w:firstLine="408"/>
        <w:spacing w:after="0" w:line="342" w:lineRule="auto"/>
        <w:tabs>
          <w:tab w:leader="none" w:pos="1815" w:val="left"/>
        </w:tabs>
        <w:numPr>
          <w:ilvl w:val="1"/>
          <w:numId w:val="415"/>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Restricted Definitive Notes. </w:t>
      </w:r>
      <w:r>
        <w:rPr>
          <w:rFonts w:ascii="Arial" w:cs="Arial" w:eastAsia="Arial" w:hAnsi="Arial"/>
          <w:sz w:val="16"/>
          <w:szCs w:val="16"/>
          <w:color w:val="auto"/>
        </w:rPr>
        <w:t>Any Restricted Definitive Note may be transferred to and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name of Persons who take delivery thereof in the form of a Restricted Definitive Note if the Registrar receives the following:</w:t>
      </w:r>
    </w:p>
    <w:p>
      <w:pPr>
        <w:spacing w:after="0" w:line="15" w:lineRule="exact"/>
        <w:rPr>
          <w:rFonts w:ascii="Arial" w:cs="Arial" w:eastAsia="Arial" w:hAnsi="Arial"/>
          <w:sz w:val="16"/>
          <w:szCs w:val="16"/>
          <w:color w:val="auto"/>
        </w:rPr>
      </w:pPr>
    </w:p>
    <w:p>
      <w:pPr>
        <w:ind w:left="1420" w:right="120" w:firstLine="391"/>
        <w:spacing w:after="0" w:line="277" w:lineRule="auto"/>
        <w:tabs>
          <w:tab w:leader="none" w:pos="2233" w:val="left"/>
        </w:tabs>
        <w:numPr>
          <w:ilvl w:val="3"/>
          <w:numId w:val="415"/>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62" w:lineRule="exact"/>
        <w:rPr>
          <w:rFonts w:ascii="Arial" w:cs="Arial" w:eastAsia="Arial" w:hAnsi="Arial"/>
          <w:sz w:val="18"/>
          <w:szCs w:val="18"/>
          <w:color w:val="auto"/>
        </w:rPr>
      </w:pPr>
    </w:p>
    <w:p>
      <w:pPr>
        <w:ind w:left="1420" w:right="100" w:firstLine="391"/>
        <w:spacing w:after="0" w:line="277" w:lineRule="auto"/>
        <w:tabs>
          <w:tab w:leader="none" w:pos="2223" w:val="left"/>
        </w:tabs>
        <w:numPr>
          <w:ilvl w:val="3"/>
          <w:numId w:val="415"/>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 must deliver a certificate in the form of Exhibit B hereto, including the certifications in item (2) thereof; and</w:t>
      </w:r>
    </w:p>
    <w:p>
      <w:pPr>
        <w:spacing w:after="0" w:line="62" w:lineRule="exact"/>
        <w:rPr>
          <w:rFonts w:ascii="Arial" w:cs="Arial" w:eastAsia="Arial" w:hAnsi="Arial"/>
          <w:sz w:val="18"/>
          <w:szCs w:val="18"/>
          <w:color w:val="auto"/>
        </w:rPr>
      </w:pPr>
    </w:p>
    <w:p>
      <w:pPr>
        <w:ind w:left="1420" w:right="20" w:firstLine="391"/>
        <w:spacing w:after="0" w:line="291" w:lineRule="auto"/>
        <w:tabs>
          <w:tab w:leader="none" w:pos="2223" w:val="left"/>
        </w:tabs>
        <w:numPr>
          <w:ilvl w:val="3"/>
          <w:numId w:val="415"/>
        </w:numPr>
        <w:rPr>
          <w:rFonts w:ascii="Arial" w:cs="Arial" w:eastAsia="Arial" w:hAnsi="Arial"/>
          <w:sz w:val="16"/>
          <w:szCs w:val="16"/>
          <w:color w:val="auto"/>
        </w:rPr>
      </w:pPr>
      <w:r>
        <w:rPr>
          <w:rFonts w:ascii="Arial" w:cs="Arial" w:eastAsia="Arial" w:hAnsi="Arial"/>
          <w:sz w:val="16"/>
          <w:szCs w:val="16"/>
          <w:color w:val="auto"/>
        </w:rPr>
        <w:t>if the transfer will be made pursuant to any other exemption from the registration requirements of the Securities Act, then the transferor must deliver a certificate in the form of Exhibit B hereto, including the certifications and certificates required by item</w:t>
      </w:r>
    </w:p>
    <w:p>
      <w:pPr>
        <w:ind w:left="1680" w:hanging="252"/>
        <w:spacing w:after="0"/>
        <w:tabs>
          <w:tab w:leader="none" w:pos="1680" w:val="left"/>
        </w:tabs>
        <w:numPr>
          <w:ilvl w:val="2"/>
          <w:numId w:val="415"/>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102" w:lineRule="exact"/>
        <w:rPr>
          <w:rFonts w:ascii="Arial" w:cs="Arial" w:eastAsia="Arial" w:hAnsi="Arial"/>
          <w:sz w:val="18"/>
          <w:szCs w:val="18"/>
          <w:color w:val="auto"/>
        </w:rPr>
      </w:pPr>
    </w:p>
    <w:p>
      <w:pPr>
        <w:jc w:val="both"/>
        <w:ind w:left="980" w:right="140" w:firstLine="408"/>
        <w:spacing w:after="0" w:line="263" w:lineRule="auto"/>
        <w:tabs>
          <w:tab w:leader="none" w:pos="1815" w:val="left"/>
        </w:tabs>
        <w:numPr>
          <w:ilvl w:val="1"/>
          <w:numId w:val="415"/>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Unrestricted Definitive Notes. </w:t>
      </w:r>
      <w:r>
        <w:rPr>
          <w:rFonts w:ascii="Arial" w:cs="Arial" w:eastAsia="Arial" w:hAnsi="Arial"/>
          <w:sz w:val="18"/>
          <w:szCs w:val="18"/>
          <w:color w:val="auto"/>
        </w:rPr>
        <w:t>Any Restricted Definitive Note may be exchanged by the Holder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for an Unrestricted Definitive Note or transferred to a Person or Persons who take delivery thereof in the form of an Unrestricted Definitive Note if the Registrar receives the following:</w:t>
      </w:r>
    </w:p>
    <w:p>
      <w:pPr>
        <w:spacing w:after="0" w:line="75" w:lineRule="exact"/>
        <w:rPr>
          <w:rFonts w:ascii="Arial" w:cs="Arial" w:eastAsia="Arial" w:hAnsi="Arial"/>
          <w:sz w:val="18"/>
          <w:szCs w:val="18"/>
          <w:color w:val="auto"/>
        </w:rPr>
      </w:pPr>
    </w:p>
    <w:p>
      <w:pPr>
        <w:ind w:left="1980" w:right="160" w:firstLine="360"/>
        <w:spacing w:after="0" w:line="342" w:lineRule="auto"/>
        <w:tabs>
          <w:tab w:leader="none" w:pos="2736" w:val="left"/>
        </w:tabs>
        <w:numPr>
          <w:ilvl w:val="4"/>
          <w:numId w:val="415"/>
        </w:numPr>
        <w:rPr>
          <w:rFonts w:ascii="Arial" w:cs="Arial" w:eastAsia="Arial" w:hAnsi="Arial"/>
          <w:sz w:val="16"/>
          <w:szCs w:val="16"/>
          <w:color w:val="auto"/>
        </w:rPr>
      </w:pPr>
      <w:r>
        <w:rPr>
          <w:rFonts w:ascii="Arial" w:cs="Arial" w:eastAsia="Arial" w:hAnsi="Arial"/>
          <w:sz w:val="16"/>
          <w:szCs w:val="16"/>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15" w:lineRule="exact"/>
        <w:rPr>
          <w:rFonts w:ascii="Arial" w:cs="Arial" w:eastAsia="Arial" w:hAnsi="Arial"/>
          <w:sz w:val="16"/>
          <w:szCs w:val="16"/>
          <w:color w:val="auto"/>
        </w:rPr>
      </w:pPr>
    </w:p>
    <w:p>
      <w:pPr>
        <w:jc w:val="both"/>
        <w:ind w:left="1980" w:right="480" w:firstLine="360"/>
        <w:spacing w:after="0" w:line="263" w:lineRule="auto"/>
        <w:tabs>
          <w:tab w:leader="none" w:pos="2786" w:val="left"/>
        </w:tabs>
        <w:numPr>
          <w:ilvl w:val="4"/>
          <w:numId w:val="415"/>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76" w:lineRule="exact"/>
        <w:rPr>
          <w:sz w:val="20"/>
          <w:szCs w:val="20"/>
          <w:color w:val="auto"/>
        </w:rPr>
      </w:pPr>
    </w:p>
    <w:p>
      <w:pPr>
        <w:ind w:left="1420" w:right="6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jc w:val="both"/>
        <w:ind w:left="980" w:right="260" w:firstLine="408"/>
        <w:spacing w:after="0" w:line="311" w:lineRule="auto"/>
        <w:tabs>
          <w:tab w:leader="none" w:pos="1815" w:val="left"/>
        </w:tabs>
        <w:numPr>
          <w:ilvl w:val="0"/>
          <w:numId w:val="416"/>
        </w:numPr>
        <w:rPr>
          <w:rFonts w:ascii="Arial" w:cs="Arial" w:eastAsia="Arial" w:hAnsi="Arial"/>
          <w:sz w:val="16"/>
          <w:szCs w:val="16"/>
          <w:color w:val="auto"/>
        </w:rPr>
      </w:pPr>
      <w:r>
        <w:rPr>
          <w:rFonts w:ascii="Arial" w:cs="Arial" w:eastAsia="Arial" w:hAnsi="Arial"/>
          <w:sz w:val="16"/>
          <w:szCs w:val="16"/>
          <w:i w:val="1"/>
          <w:iCs w:val="1"/>
          <w:color w:val="auto"/>
        </w:rPr>
        <w:t xml:space="preserve">Unrestricted Definitive Notes to Unrestricted Definitive Notes. </w:t>
      </w:r>
      <w:r>
        <w:rPr>
          <w:rFonts w:ascii="Arial" w:cs="Arial" w:eastAsia="Arial" w:hAnsi="Arial"/>
          <w:sz w:val="16"/>
          <w:szCs w:val="16"/>
          <w:color w:val="auto"/>
        </w:rPr>
        <w:t>A Holder of Unrestricted Definitive Notes may transfer such</w:t>
      </w:r>
      <w:r>
        <w:rPr>
          <w:rFonts w:ascii="Arial" w:cs="Arial" w:eastAsia="Arial" w:hAnsi="Arial"/>
          <w:sz w:val="16"/>
          <w:szCs w:val="16"/>
          <w:i w:val="1"/>
          <w:iCs w:val="1"/>
          <w:color w:val="auto"/>
        </w:rPr>
        <w:t xml:space="preserve"> </w:t>
      </w:r>
      <w:r>
        <w:rPr>
          <w:rFonts w:ascii="Arial" w:cs="Arial" w:eastAsia="Arial" w:hAnsi="Arial"/>
          <w:sz w:val="16"/>
          <w:szCs w:val="16"/>
          <w:color w:val="auto"/>
        </w:rPr>
        <w:t>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74" w:name="page375"/>
    <w:bookmarkEnd w:id="374"/>
    <w:p>
      <w:pPr>
        <w:ind w:left="4" w:right="100" w:firstLine="987"/>
        <w:spacing w:after="0" w:line="277" w:lineRule="auto"/>
        <w:tabs>
          <w:tab w:leader="none" w:pos="1400" w:val="left"/>
        </w:tabs>
        <w:numPr>
          <w:ilvl w:val="0"/>
          <w:numId w:val="4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w:t>
      </w:r>
    </w:p>
    <w:p>
      <w:pPr>
        <w:spacing w:after="0" w:line="62" w:lineRule="exact"/>
        <w:rPr>
          <w:rFonts w:ascii="Arial" w:cs="Arial" w:eastAsia="Arial" w:hAnsi="Arial"/>
          <w:sz w:val="18"/>
          <w:szCs w:val="18"/>
          <w:color w:val="auto"/>
        </w:rPr>
      </w:pPr>
    </w:p>
    <w:p>
      <w:pPr>
        <w:ind w:left="1824" w:hanging="432"/>
        <w:spacing w:after="0"/>
        <w:tabs>
          <w:tab w:leader="none" w:pos="1824" w:val="left"/>
        </w:tabs>
        <w:numPr>
          <w:ilvl w:val="1"/>
          <w:numId w:val="417"/>
        </w:numPr>
        <w:rPr>
          <w:rFonts w:ascii="Arial" w:cs="Arial" w:eastAsia="Arial" w:hAnsi="Arial"/>
          <w:sz w:val="18"/>
          <w:szCs w:val="18"/>
          <w:color w:val="auto"/>
        </w:rPr>
      </w:pPr>
      <w:r>
        <w:rPr>
          <w:rFonts w:ascii="Arial" w:cs="Arial" w:eastAsia="Arial" w:hAnsi="Arial"/>
          <w:sz w:val="18"/>
          <w:szCs w:val="18"/>
          <w:color w:val="auto"/>
        </w:rPr>
        <w:t>Private Placement Legend.</w:t>
      </w:r>
    </w:p>
    <w:p>
      <w:pPr>
        <w:spacing w:after="0" w:line="117" w:lineRule="exact"/>
        <w:rPr>
          <w:rFonts w:ascii="Arial" w:cs="Arial" w:eastAsia="Arial" w:hAnsi="Arial"/>
          <w:sz w:val="18"/>
          <w:szCs w:val="18"/>
          <w:color w:val="auto"/>
        </w:rPr>
      </w:pPr>
    </w:p>
    <w:p>
      <w:pPr>
        <w:ind w:left="1424" w:right="80" w:firstLine="391"/>
        <w:spacing w:after="0" w:line="277" w:lineRule="auto"/>
        <w:tabs>
          <w:tab w:leader="none" w:pos="2237" w:val="left"/>
        </w:tabs>
        <w:numPr>
          <w:ilvl w:val="2"/>
          <w:numId w:val="417"/>
        </w:numPr>
        <w:rPr>
          <w:rFonts w:ascii="Arial" w:cs="Arial" w:eastAsia="Arial" w:hAnsi="Arial"/>
          <w:sz w:val="18"/>
          <w:szCs w:val="18"/>
          <w:color w:val="auto"/>
        </w:rPr>
      </w:pPr>
      <w:r>
        <w:rPr>
          <w:rFonts w:ascii="Arial" w:cs="Arial" w:eastAsia="Arial" w:hAnsi="Arial"/>
          <w:sz w:val="18"/>
          <w:szCs w:val="18"/>
          <w:color w:val="auto"/>
        </w:rPr>
        <w:t>Except as permitted by subparagraph (C) below, each 144A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w:t>
      </w:r>
    </w:p>
    <w:p>
      <w:pPr>
        <w:spacing w:after="0" w:line="170"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IF AT ANY TIME THE COMPANY DETERMINES IN GOOD FAITH THAT A HOLDER OR BENEFICIAL OWNER OF THIS SECURITY OR BENEFICIAL INTERESTS HEREIN IS IN BREACH, AT THE TIME GIVEN, OF ANY OF THE TRANSFER RESTRICTIONS SET FORTH HEREIN AND IN THE INDENTURE, THE COMPANY SHALL REQUIRE SUCH HOLDER TO TRANSFER THIS SECURITY (OR INTEREST HEREIN) TO A TRANSFEREE ACCEPTABLE TO THE COMPANY WHO IS ABLE TO AND WHO DOES SATISFY ALL OF THE REQUIREMENTS SET FORTH HEREIN AND IN THE INDENTURE. PENDING SUCH TRANSFER, SUCH HOLDER WILL BE DEEMED NOT TO BE THE HOLDER OF THIS SECURITY (OR INTEREST HEREIN) FOR ANY PURPOSE, INCLUDING BUT NOT LIMITED TO RECEIPT OF PRINCIPAL AND INTEREST PAYMENTS ON THE SECURITY, AND SUCH HOLDER WILL BE DEEMED TO HAVE NO INTEREST WHATSOEVER IN THE SECURITY EXCEPT AS OTHERWISE REQUIRED TO SELL ITS INTEREST THEREIN AS DESCRIBED HEREIN.</w:t>
      </w:r>
    </w:p>
    <w:p>
      <w:pPr>
        <w:spacing w:after="0" w:line="178" w:lineRule="exact"/>
        <w:rPr>
          <w:sz w:val="20"/>
          <w:szCs w:val="20"/>
          <w:color w:val="auto"/>
        </w:rPr>
      </w:pPr>
    </w:p>
    <w:p>
      <w:pPr>
        <w:ind w:left="4" w:right="200"/>
        <w:spacing w:after="0" w:line="275" w:lineRule="auto"/>
        <w:rPr>
          <w:sz w:val="20"/>
          <w:szCs w:val="20"/>
          <w:color w:val="auto"/>
        </w:rPr>
      </w:pPr>
      <w:r>
        <w:rPr>
          <w:rFonts w:ascii="Arial" w:cs="Arial" w:eastAsia="Arial" w:hAnsi="Arial"/>
          <w:sz w:val="17"/>
          <w:szCs w:val="17"/>
          <w:color w:val="auto"/>
        </w:rPr>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6" w:lineRule="exact"/>
        <w:rPr>
          <w:sz w:val="20"/>
          <w:szCs w:val="20"/>
          <w:color w:val="auto"/>
        </w:rPr>
      </w:pPr>
    </w:p>
    <w:p>
      <w:pPr>
        <w:ind w:left="4"/>
        <w:spacing w:after="0" w:line="266" w:lineRule="auto"/>
        <w:rPr>
          <w:sz w:val="20"/>
          <w:szCs w:val="20"/>
          <w:color w:val="auto"/>
        </w:rPr>
      </w:pPr>
      <w:r>
        <w:rPr>
          <w:rFonts w:ascii="Arial" w:cs="Arial" w:eastAsia="Arial" w:hAnsi="Arial"/>
          <w:sz w:val="17"/>
          <w:szCs w:val="17"/>
          <w:color w:val="auto"/>
        </w:rPr>
        <w:t>THE HOLDER OF THIS NOTE BY ITS ACCEPTANCE HEREOF AGREES TO OFFER, SELL OR OTHERWISE TRANSFER SUCH NOTE, PRIOR TO THE DATE (THE “RESALE RESTRICTION TERMINATION DATE”) WHICH IS ONE YEAR AFTER THE LATER OF THE ORIGINAL ISSUE DATE HEREOF AND THE LAST DATE ON WHICH THE COMPANY OR ANY AFFILIATE OF THE COMPANY WAS THE OWNER OF THIS NOTE (OR ANY PREDECESSOR OF THIS NOTE) ONLY (A) TO THE COMPANY, THE SUBSIDIARY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w:t>
      </w:r>
    </w:p>
    <w:p>
      <w:pPr>
        <w:spacing w:after="0" w:line="8" w:lineRule="exact"/>
        <w:rPr>
          <w:sz w:val="20"/>
          <w:szCs w:val="20"/>
          <w:color w:val="auto"/>
        </w:rPr>
      </w:pPr>
    </w:p>
    <w:p>
      <w:pPr>
        <w:ind w:left="4" w:hanging="4"/>
        <w:spacing w:after="0" w:line="265" w:lineRule="auto"/>
        <w:tabs>
          <w:tab w:leader="none" w:pos="279" w:val="left"/>
        </w:tabs>
        <w:numPr>
          <w:ilvl w:val="0"/>
          <w:numId w:val="418"/>
        </w:numPr>
        <w:rPr>
          <w:rFonts w:ascii="Arial" w:cs="Arial" w:eastAsia="Arial" w:hAnsi="Arial"/>
          <w:sz w:val="17"/>
          <w:szCs w:val="17"/>
          <w:color w:val="auto"/>
        </w:rPr>
      </w:pPr>
      <w:r>
        <w:rPr>
          <w:rFonts w:ascii="Arial" w:cs="Arial" w:eastAsia="Arial" w:hAnsi="Arial"/>
          <w:sz w:val="17"/>
          <w:szCs w:val="17"/>
          <w:color w:val="auto"/>
        </w:rPr>
        <w:t>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w:t>
      </w:r>
    </w:p>
    <w:p>
      <w:pPr>
        <w:ind w:left="4" w:hanging="4"/>
        <w:spacing w:after="0" w:line="252" w:lineRule="auto"/>
        <w:tabs>
          <w:tab w:leader="none" w:pos="229" w:val="left"/>
        </w:tabs>
        <w:numPr>
          <w:ilvl w:val="0"/>
          <w:numId w:val="419"/>
        </w:numPr>
        <w:rPr>
          <w:rFonts w:ascii="Arial" w:cs="Arial" w:eastAsia="Arial" w:hAnsi="Arial"/>
          <w:sz w:val="18"/>
          <w:szCs w:val="18"/>
          <w:color w:val="auto"/>
        </w:rPr>
      </w:pPr>
      <w:r>
        <w:rPr>
          <w:rFonts w:ascii="Arial" w:cs="Arial" w:eastAsia="Arial" w:hAnsi="Arial"/>
          <w:sz w:val="18"/>
          <w:szCs w:val="18"/>
          <w:color w:val="auto"/>
        </w:rPr>
        <w:t>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12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4"/>
          </w:cols>
          <w:pgMar w:left="436" w:top="274" w:right="519" w:bottom="1440" w:gutter="0" w:footer="0" w:header="0"/>
        </w:sectPr>
      </w:pPr>
    </w:p>
    <w:bookmarkStart w:id="375" w:name="page376"/>
    <w:bookmarkEnd w:id="375"/>
    <w:p>
      <w:pPr>
        <w:ind w:left="1424" w:firstLine="391"/>
        <w:spacing w:after="0" w:line="308" w:lineRule="auto"/>
        <w:tabs>
          <w:tab w:leader="none" w:pos="2272" w:val="left"/>
        </w:tabs>
        <w:numPr>
          <w:ilvl w:val="0"/>
          <w:numId w:val="4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permitted by subparagraph (C) below, each Regulation S Global Note and each Definitive Note (and all Notes issued in exchange therefor or substitution thereof) shall bear the legend in substantially the following form:</w:t>
      </w:r>
    </w:p>
    <w:p>
      <w:pPr>
        <w:spacing w:after="0" w:line="146"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w:t>
      </w:r>
    </w:p>
    <w:p>
      <w:pPr>
        <w:spacing w:after="0" w:line="170" w:lineRule="exact"/>
        <w:rPr>
          <w:sz w:val="20"/>
          <w:szCs w:val="20"/>
          <w:color w:val="auto"/>
        </w:rPr>
      </w:pPr>
    </w:p>
    <w:p>
      <w:pPr>
        <w:ind w:left="4" w:right="180"/>
        <w:spacing w:after="0" w:line="275" w:lineRule="auto"/>
        <w:rPr>
          <w:sz w:val="20"/>
          <w:szCs w:val="20"/>
          <w:color w:val="auto"/>
        </w:rPr>
      </w:pPr>
      <w:r>
        <w:rPr>
          <w:rFonts w:ascii="Arial" w:cs="Arial" w:eastAsia="Arial" w:hAnsi="Arial"/>
          <w:sz w:val="17"/>
          <w:szCs w:val="17"/>
          <w:color w:val="auto"/>
        </w:rPr>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6" w:lineRule="exact"/>
        <w:rPr>
          <w:sz w:val="20"/>
          <w:szCs w:val="20"/>
          <w:color w:val="auto"/>
        </w:rPr>
      </w:pPr>
    </w:p>
    <w:p>
      <w:pPr>
        <w:ind w:left="4"/>
        <w:spacing w:after="0" w:line="266" w:lineRule="auto"/>
        <w:rPr>
          <w:sz w:val="20"/>
          <w:szCs w:val="20"/>
          <w:color w:val="auto"/>
        </w:rPr>
      </w:pPr>
      <w:r>
        <w:rPr>
          <w:rFonts w:ascii="Arial" w:cs="Arial" w:eastAsia="Arial" w:hAnsi="Arial"/>
          <w:sz w:val="17"/>
          <w:szCs w:val="17"/>
          <w:color w:val="auto"/>
        </w:rPr>
        <w:t>THE HOLDER OF THIS NOTE BY ITS ACCEPTANCE HEREOF AGREES TO OFFER, SELL OR OTHERWISE TRANSFER SUCH NOTE, PRIOR TO THE DATE (THE “RESALE RESTRICTION TERMINATION DATE”) WHICH IS 40 DAYS AFTER THE LATER OF THE ORIGINAL ISSUE DATE HEREOF AND THE LAST DATE ON WHICH THE COMPANY OR ANY AFFILIATE OF THE COMPANY WAS THE OWNER OF THIS NOTE (OR ANY PREDECESSOR OF THIS NOTE) ONLY (A) TO THE COMPANY, THE SUBSIDIARY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w:t>
      </w:r>
    </w:p>
    <w:p>
      <w:pPr>
        <w:spacing w:after="0" w:line="8" w:lineRule="exact"/>
        <w:rPr>
          <w:sz w:val="20"/>
          <w:szCs w:val="20"/>
          <w:color w:val="auto"/>
        </w:rPr>
      </w:pPr>
    </w:p>
    <w:p>
      <w:pPr>
        <w:ind w:left="4" w:hanging="4"/>
        <w:spacing w:after="0" w:line="265" w:lineRule="auto"/>
        <w:tabs>
          <w:tab w:leader="none" w:pos="279" w:val="left"/>
        </w:tabs>
        <w:numPr>
          <w:ilvl w:val="0"/>
          <w:numId w:val="421"/>
        </w:numPr>
        <w:rPr>
          <w:rFonts w:ascii="Arial" w:cs="Arial" w:eastAsia="Arial" w:hAnsi="Arial"/>
          <w:sz w:val="17"/>
          <w:szCs w:val="17"/>
          <w:color w:val="auto"/>
        </w:rPr>
      </w:pPr>
      <w:r>
        <w:rPr>
          <w:rFonts w:ascii="Arial" w:cs="Arial" w:eastAsia="Arial" w:hAnsi="Arial"/>
          <w:sz w:val="17"/>
          <w:szCs w:val="17"/>
          <w:color w:val="auto"/>
        </w:rPr>
        <w:t>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w:t>
      </w:r>
    </w:p>
    <w:p>
      <w:pPr>
        <w:ind w:left="4" w:hanging="4"/>
        <w:spacing w:after="0" w:line="252" w:lineRule="auto"/>
        <w:tabs>
          <w:tab w:leader="none" w:pos="229" w:val="left"/>
        </w:tabs>
        <w:numPr>
          <w:ilvl w:val="0"/>
          <w:numId w:val="422"/>
        </w:numPr>
        <w:rPr>
          <w:rFonts w:ascii="Arial" w:cs="Arial" w:eastAsia="Arial" w:hAnsi="Arial"/>
          <w:sz w:val="18"/>
          <w:szCs w:val="18"/>
          <w:color w:val="auto"/>
        </w:rPr>
      </w:pPr>
      <w:r>
        <w:rPr>
          <w:rFonts w:ascii="Arial" w:cs="Arial" w:eastAsia="Arial" w:hAnsi="Arial"/>
          <w:sz w:val="18"/>
          <w:szCs w:val="18"/>
          <w:color w:val="auto"/>
        </w:rPr>
        <w:t>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12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4"/>
          </w:cols>
          <w:pgMar w:left="436" w:top="274" w:right="519" w:bottom="1440" w:gutter="0" w:footer="0" w:header="0"/>
        </w:sectPr>
      </w:pPr>
    </w:p>
    <w:bookmarkStart w:id="376" w:name="page377"/>
    <w:bookmarkEnd w:id="376"/>
    <w:p>
      <w:pPr>
        <w:ind w:left="2280" w:hanging="469"/>
        <w:spacing w:after="0"/>
        <w:tabs>
          <w:tab w:leader="none" w:pos="2280" w:val="left"/>
        </w:tabs>
        <w:numPr>
          <w:ilvl w:val="1"/>
          <w:numId w:val="4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any Global Note or Definitive Note issued pursuant to subparagraphs (b)(4), (c)(2), (d)</w:t>
      </w:r>
    </w:p>
    <w:p>
      <w:pPr>
        <w:spacing w:after="0" w:line="46" w:lineRule="exact"/>
        <w:rPr>
          <w:rFonts w:ascii="Arial" w:cs="Arial" w:eastAsia="Arial" w:hAnsi="Arial"/>
          <w:sz w:val="16"/>
          <w:szCs w:val="16"/>
          <w:color w:val="auto"/>
        </w:rPr>
      </w:pPr>
    </w:p>
    <w:p>
      <w:pPr>
        <w:ind w:left="1420" w:right="240"/>
        <w:spacing w:after="0" w:line="260" w:lineRule="auto"/>
        <w:rPr>
          <w:rFonts w:ascii="Arial" w:cs="Arial" w:eastAsia="Arial" w:hAnsi="Arial"/>
          <w:sz w:val="16"/>
          <w:szCs w:val="16"/>
          <w:color w:val="auto"/>
        </w:rPr>
      </w:pPr>
      <w:r>
        <w:rPr>
          <w:rFonts w:ascii="Arial" w:cs="Arial" w:eastAsia="Arial" w:hAnsi="Arial"/>
          <w:sz w:val="18"/>
          <w:szCs w:val="18"/>
          <w:color w:val="auto"/>
        </w:rPr>
        <w:t>(2), (d)(3), (e)(2) or (e)(3) of this Section 2.06 (and all Notes issued in exchange therefor or substitution thereof) will not bear the Private Placement Legend.</w:t>
      </w:r>
    </w:p>
    <w:p>
      <w:pPr>
        <w:spacing w:after="0" w:line="77" w:lineRule="exact"/>
        <w:rPr>
          <w:rFonts w:ascii="Arial" w:cs="Arial" w:eastAsia="Arial" w:hAnsi="Arial"/>
          <w:sz w:val="16"/>
          <w:szCs w:val="16"/>
          <w:color w:val="auto"/>
        </w:rPr>
      </w:pPr>
    </w:p>
    <w:p>
      <w:pPr>
        <w:ind w:left="1300" w:hanging="441"/>
        <w:spacing w:after="0"/>
        <w:tabs>
          <w:tab w:leader="none" w:pos="1300" w:val="left"/>
        </w:tabs>
        <w:numPr>
          <w:ilvl w:val="0"/>
          <w:numId w:val="424"/>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19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2" w:lineRule="exact"/>
        <w:rPr>
          <w:sz w:val="20"/>
          <w:szCs w:val="20"/>
          <w:color w:val="auto"/>
        </w:rPr>
      </w:pPr>
    </w:p>
    <w:p>
      <w:pPr>
        <w:ind w:firstLine="987"/>
        <w:spacing w:after="0" w:line="270" w:lineRule="auto"/>
        <w:tabs>
          <w:tab w:leader="none" w:pos="1426" w:val="left"/>
        </w:tabs>
        <w:numPr>
          <w:ilvl w:val="0"/>
          <w:numId w:val="425"/>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and/or Adjustment of Global Notes. </w:t>
      </w:r>
      <w:r>
        <w:rPr>
          <w:rFonts w:ascii="Arial" w:cs="Arial" w:eastAsia="Arial" w:hAnsi="Arial"/>
          <w:sz w:val="17"/>
          <w:szCs w:val="17"/>
          <w:color w:val="auto"/>
        </w:rPr>
        <w:t>At such time as all beneficial interests in a particular Global Note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Registrar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Registrar at the direction of the Trustee to reflect such increase.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4" w:right="499" w:bottom="1440" w:gutter="0" w:footer="0" w:header="0"/>
        </w:sectPr>
      </w:pPr>
    </w:p>
    <w:bookmarkStart w:id="377" w:name="page378"/>
    <w:bookmarkEnd w:id="377"/>
    <w:p>
      <w:pPr>
        <w:ind w:left="1420" w:hanging="433"/>
        <w:spacing w:after="0"/>
        <w:tabs>
          <w:tab w:leader="none" w:pos="1420" w:val="left"/>
        </w:tabs>
        <w:numPr>
          <w:ilvl w:val="0"/>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Provisions Relating to Transfers and Exchanges.</w:t>
      </w:r>
    </w:p>
    <w:p>
      <w:pPr>
        <w:spacing w:after="0" w:line="117" w:lineRule="exact"/>
        <w:rPr>
          <w:rFonts w:ascii="Arial" w:cs="Arial" w:eastAsia="Arial" w:hAnsi="Arial"/>
          <w:sz w:val="18"/>
          <w:szCs w:val="18"/>
          <w:color w:val="auto"/>
        </w:rPr>
      </w:pPr>
    </w:p>
    <w:p>
      <w:pPr>
        <w:ind w:left="980" w:right="300" w:firstLine="408"/>
        <w:spacing w:after="0" w:line="342" w:lineRule="auto"/>
        <w:tabs>
          <w:tab w:leader="none" w:pos="1767" w:val="left"/>
        </w:tabs>
        <w:numPr>
          <w:ilvl w:val="1"/>
          <w:numId w:val="426"/>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15" w:lineRule="exact"/>
        <w:rPr>
          <w:rFonts w:ascii="Arial" w:cs="Arial" w:eastAsia="Arial" w:hAnsi="Arial"/>
          <w:sz w:val="16"/>
          <w:szCs w:val="16"/>
          <w:color w:val="auto"/>
        </w:rPr>
      </w:pPr>
    </w:p>
    <w:p>
      <w:pPr>
        <w:ind w:left="980" w:right="140" w:firstLine="408"/>
        <w:spacing w:after="0" w:line="259" w:lineRule="auto"/>
        <w:tabs>
          <w:tab w:leader="none" w:pos="1771" w:val="left"/>
        </w:tabs>
        <w:numPr>
          <w:ilvl w:val="1"/>
          <w:numId w:val="426"/>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2.06, 3.06, 3.09, 4.10, 4.15 and 9.05 hereof).</w:t>
      </w:r>
    </w:p>
    <w:p>
      <w:pPr>
        <w:spacing w:after="0" w:line="78" w:lineRule="exact"/>
        <w:rPr>
          <w:rFonts w:ascii="Arial" w:cs="Arial" w:eastAsia="Arial" w:hAnsi="Arial"/>
          <w:sz w:val="18"/>
          <w:szCs w:val="18"/>
          <w:color w:val="auto"/>
        </w:rPr>
      </w:pPr>
    </w:p>
    <w:p>
      <w:pPr>
        <w:ind w:left="980" w:right="320" w:firstLine="408"/>
        <w:spacing w:after="0" w:line="277" w:lineRule="auto"/>
        <w:tabs>
          <w:tab w:leader="none" w:pos="1816"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left="980" w:right="80" w:firstLine="408"/>
        <w:spacing w:after="0" w:line="263" w:lineRule="auto"/>
        <w:tabs>
          <w:tab w:leader="none" w:pos="1761"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75" w:lineRule="exact"/>
        <w:rPr>
          <w:rFonts w:ascii="Arial" w:cs="Arial" w:eastAsia="Arial" w:hAnsi="Arial"/>
          <w:sz w:val="18"/>
          <w:szCs w:val="18"/>
          <w:color w:val="auto"/>
        </w:rPr>
      </w:pPr>
    </w:p>
    <w:p>
      <w:pPr>
        <w:ind w:left="1820" w:hanging="432"/>
        <w:spacing w:after="0"/>
        <w:tabs>
          <w:tab w:leader="none" w:pos="182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117" w:lineRule="exact"/>
        <w:rPr>
          <w:rFonts w:ascii="Arial" w:cs="Arial" w:eastAsia="Arial" w:hAnsi="Arial"/>
          <w:sz w:val="18"/>
          <w:szCs w:val="18"/>
          <w:color w:val="auto"/>
        </w:rPr>
      </w:pPr>
    </w:p>
    <w:p>
      <w:pPr>
        <w:ind w:left="1420" w:right="60" w:firstLine="391"/>
        <w:spacing w:after="0" w:line="263" w:lineRule="auto"/>
        <w:tabs>
          <w:tab w:leader="none" w:pos="2233" w:val="left"/>
        </w:tabs>
        <w:numPr>
          <w:ilvl w:val="2"/>
          <w:numId w:val="426"/>
        </w:numPr>
        <w:rPr>
          <w:rFonts w:ascii="Arial" w:cs="Arial" w:eastAsia="Arial" w:hAnsi="Arial"/>
          <w:sz w:val="18"/>
          <w:szCs w:val="18"/>
          <w:color w:val="auto"/>
        </w:rPr>
      </w:pPr>
      <w:r>
        <w:rPr>
          <w:rFonts w:ascii="Arial" w:cs="Arial" w:eastAsia="Arial" w:hAnsi="Arial"/>
          <w:sz w:val="18"/>
          <w:szCs w:val="18"/>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75" w:lineRule="exact"/>
        <w:rPr>
          <w:rFonts w:ascii="Arial" w:cs="Arial" w:eastAsia="Arial" w:hAnsi="Arial"/>
          <w:sz w:val="18"/>
          <w:szCs w:val="18"/>
          <w:color w:val="auto"/>
        </w:rPr>
      </w:pPr>
    </w:p>
    <w:p>
      <w:pPr>
        <w:ind w:left="1420" w:right="340" w:firstLine="391"/>
        <w:spacing w:after="0" w:line="277" w:lineRule="auto"/>
        <w:tabs>
          <w:tab w:leader="none" w:pos="2223" w:val="left"/>
        </w:tabs>
        <w:numPr>
          <w:ilvl w:val="2"/>
          <w:numId w:val="426"/>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2240" w:hanging="429"/>
        <w:spacing w:after="0"/>
        <w:tabs>
          <w:tab w:leader="none" w:pos="2240" w:val="left"/>
        </w:tabs>
        <w:numPr>
          <w:ilvl w:val="2"/>
          <w:numId w:val="426"/>
        </w:numPr>
        <w:rPr>
          <w:rFonts w:ascii="Arial" w:cs="Arial" w:eastAsia="Arial" w:hAnsi="Arial"/>
          <w:sz w:val="16"/>
          <w:szCs w:val="16"/>
          <w:color w:val="auto"/>
        </w:rPr>
      </w:pPr>
      <w:r>
        <w:rPr>
          <w:rFonts w:ascii="Arial" w:cs="Arial" w:eastAsia="Arial" w:hAnsi="Arial"/>
          <w:sz w:val="16"/>
          <w:szCs w:val="16"/>
          <w:color w:val="auto"/>
        </w:rPr>
        <w:t>to register the transfer of or to exchange a Note between a record date and the next succeeding interest payment date.</w:t>
      </w:r>
    </w:p>
    <w:p>
      <w:pPr>
        <w:spacing w:after="0" w:line="140" w:lineRule="exact"/>
        <w:rPr>
          <w:sz w:val="20"/>
          <w:szCs w:val="20"/>
          <w:color w:val="auto"/>
        </w:rPr>
      </w:pPr>
    </w:p>
    <w:p>
      <w:pPr>
        <w:ind w:right="80" w:firstLine="987"/>
        <w:spacing w:after="0" w:line="311" w:lineRule="auto"/>
        <w:tabs>
          <w:tab w:leader="none" w:pos="1381" w:val="left"/>
        </w:tabs>
        <w:numPr>
          <w:ilvl w:val="0"/>
          <w:numId w:val="427"/>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40" w:lineRule="exact"/>
        <w:rPr>
          <w:rFonts w:ascii="Arial" w:cs="Arial" w:eastAsia="Arial" w:hAnsi="Arial"/>
          <w:sz w:val="16"/>
          <w:szCs w:val="16"/>
          <w:color w:val="auto"/>
        </w:rPr>
      </w:pPr>
    </w:p>
    <w:p>
      <w:pPr>
        <w:ind w:left="1380" w:hanging="393"/>
        <w:spacing w:after="0"/>
        <w:tabs>
          <w:tab w:leader="none" w:pos="13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Trustee will authenticate Global Notes and Definitive Notes in accordance with the provisions of Section 2.02 hereof.</w:t>
      </w:r>
    </w:p>
    <w:p>
      <w:pPr>
        <w:spacing w:after="0" w:line="117" w:lineRule="exact"/>
        <w:rPr>
          <w:rFonts w:ascii="Arial" w:cs="Arial" w:eastAsia="Arial" w:hAnsi="Arial"/>
          <w:sz w:val="18"/>
          <w:szCs w:val="18"/>
          <w:color w:val="auto"/>
        </w:rPr>
      </w:pPr>
    </w:p>
    <w:p>
      <w:pPr>
        <w:ind w:right="40" w:firstLine="987"/>
        <w:spacing w:after="0" w:line="277" w:lineRule="auto"/>
        <w:tabs>
          <w:tab w:leader="none" w:pos="1371"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 or electronic mail (in pdf format).</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i w:val="1"/>
          <w:iCs w:val="1"/>
          <w:color w:val="auto"/>
        </w:rPr>
        <w:t>Replacement Notes.</w:t>
      </w:r>
    </w:p>
    <w:p>
      <w:pPr>
        <w:spacing w:after="0" w:line="11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and the Trustee may charge the Holder for their expenses in replacing a Note, including but not limited to the reasonable expenses of counsel and any tax that may be imposed with respect to replacement of such Note.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378" w:name="page379"/>
    <w:bookmarkEnd w:id="378"/>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Every replacement Note is an additional obligation of the Company and will be entitled to all of the benefits of this Indenture equally and proportionately with all other Notes duly issued hereunder.</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i w:val="1"/>
          <w:iCs w:val="1"/>
          <w:color w:val="auto"/>
        </w:rPr>
        <w:t>Outstanding Notes.</w:t>
      </w:r>
    </w:p>
    <w:p>
      <w:pPr>
        <w:spacing w:after="0" w:line="117"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3.07(a) hereof.</w:t>
      </w:r>
    </w:p>
    <w:p>
      <w:pPr>
        <w:spacing w:after="0" w:line="18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accrue.</w:t>
      </w:r>
    </w:p>
    <w:p>
      <w:pPr>
        <w:spacing w:after="0" w:line="211" w:lineRule="exact"/>
        <w:rPr>
          <w:sz w:val="20"/>
          <w:szCs w:val="20"/>
          <w:color w:val="auto"/>
        </w:rPr>
      </w:pPr>
    </w:p>
    <w:p>
      <w:pPr>
        <w:jc w:val="both"/>
        <w:ind w:right="280" w:firstLine="991"/>
        <w:spacing w:after="0" w:line="263" w:lineRule="auto"/>
        <w:rPr>
          <w:sz w:val="20"/>
          <w:szCs w:val="20"/>
          <w:color w:val="auto"/>
        </w:rPr>
      </w:pPr>
      <w:r>
        <w:rPr>
          <w:rFonts w:ascii="Arial" w:cs="Arial" w:eastAsia="Arial" w:hAnsi="Arial"/>
          <w:sz w:val="18"/>
          <w:szCs w:val="18"/>
          <w:color w:val="auto"/>
        </w:rPr>
        <w:t>If the Paying Agent (other than the Company, a Subsidiary or an Affiliate of any thereof) holds, in accordance with this Indenture, on a redemption date or maturity date, money sufficient to pay Notes payable on that date, then on and after that date such Notes will be deemed to be no longer outstanding and will cease to accrue interest.</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i w:val="1"/>
          <w:iCs w:val="1"/>
          <w:color w:val="auto"/>
        </w:rPr>
        <w:t>Treasury Notes.</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In determining whether the Holders of the required principal amount of Notes have concurred in any direction, waiver or consent, Notes owned by the Company or any Subsidiary Guarantor, or by any Person directly or indirectly controlling or controlled by or under direct or indirect common control with the Company or any Subsidiary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Temporary Notes.</w:t>
      </w:r>
    </w:p>
    <w:p>
      <w:pPr>
        <w:spacing w:after="0" w:line="117"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333"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The Company at any time may deliver Notes to the Trustee for cancellation. The Registrar and Paying Agent will forward to the Trustee any Notes surrendered to them for registration of transfer, exchange or payment. The Trustee, in accordance with its customary procedures, and no one else will cancel (subject to the Trustee’s retention policy) all Notes surrendered for registration of transfer, exchange, payment, replacement or cancellation and will dispose of such cancelled Notes in its customary manner (subject to the record retention requirement of the Exchange Act). At the request of the company, the Trustee will confirm the cancellation of the Notes delivered to it. The Company may not issue new Notes to replace Notes that it has paid or that have been delivered to the Trustee for cancellation.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379" w:name="page380"/>
    <w:bookmarkEnd w:id="379"/>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2.12</w:t>
      </w:r>
      <w:r>
        <w:rPr>
          <w:sz w:val="20"/>
          <w:szCs w:val="20"/>
          <w:color w:val="auto"/>
        </w:rPr>
        <w:tab/>
      </w:r>
      <w:r>
        <w:rPr>
          <w:rFonts w:ascii="Arial" w:cs="Arial" w:eastAsia="Arial" w:hAnsi="Arial"/>
          <w:sz w:val="16"/>
          <w:szCs w:val="16"/>
          <w:i w:val="1"/>
          <w:iCs w:val="1"/>
          <w:color w:val="auto"/>
        </w:rPr>
        <w:t>Defaulted Interest.</w:t>
      </w:r>
    </w:p>
    <w:p>
      <w:pPr>
        <w:spacing w:after="0" w:line="11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such special record date may be less than ten (10) days prior to the related payment date for such defaulted interest. At least fifteen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27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Additional Amounts.</w:t>
      </w:r>
    </w:p>
    <w:p>
      <w:pPr>
        <w:spacing w:after="0" w:line="117" w:lineRule="exact"/>
        <w:rPr>
          <w:sz w:val="20"/>
          <w:szCs w:val="20"/>
          <w:color w:val="auto"/>
        </w:rPr>
      </w:pPr>
    </w:p>
    <w:p>
      <w:pPr>
        <w:ind w:right="20" w:firstLine="987"/>
        <w:spacing w:after="0" w:line="269" w:lineRule="auto"/>
        <w:tabs>
          <w:tab w:leader="none" w:pos="1361" w:val="left"/>
        </w:tabs>
        <w:numPr>
          <w:ilvl w:val="0"/>
          <w:numId w:val="428"/>
        </w:numPr>
        <w:rPr>
          <w:rFonts w:ascii="Arial" w:cs="Arial" w:eastAsia="Arial" w:hAnsi="Arial"/>
          <w:sz w:val="17"/>
          <w:szCs w:val="17"/>
          <w:color w:val="auto"/>
        </w:rPr>
      </w:pPr>
      <w:r>
        <w:rPr>
          <w:rFonts w:ascii="Arial" w:cs="Arial" w:eastAsia="Arial" w:hAnsi="Arial"/>
          <w:sz w:val="17"/>
          <w:szCs w:val="17"/>
          <w:color w:val="auto"/>
        </w:rPr>
        <w:t>All payments of principal of, premium, if any, and interest on the Notes and all payments under the Note Guarantees will be made without withholding or deduction for, or on account of, any present or future taxes, duties, assessments or governmental charges of whatever (“</w:t>
      </w:r>
      <w:r>
        <w:rPr>
          <w:rFonts w:ascii="Arial" w:cs="Arial" w:eastAsia="Arial" w:hAnsi="Arial"/>
          <w:sz w:val="17"/>
          <w:szCs w:val="17"/>
          <w:i w:val="1"/>
          <w:iCs w:val="1"/>
          <w:color w:val="auto"/>
        </w:rPr>
        <w:t>Taxes</w:t>
      </w:r>
      <w:r>
        <w:rPr>
          <w:rFonts w:ascii="Arial" w:cs="Arial" w:eastAsia="Arial" w:hAnsi="Arial"/>
          <w:sz w:val="17"/>
          <w:szCs w:val="17"/>
          <w:color w:val="auto"/>
        </w:rPr>
        <w:t>”) nature imposed or levied by or within any jurisdiction in which the Company or any applicable Subsidiary Guarantor is organized or resident for tax purposes (or any political subdivision or taxing authority thereof or therein) or any jurisdiction from or through which payment is made by or on behalf of the Company or any Subsidiary Guarantor (including the jurisdiction of any Paying Agent) (or any political subdivision or taxing authority thereof or therein) (each, as applicable, a “</w:t>
      </w:r>
      <w:r>
        <w:rPr>
          <w:rFonts w:ascii="Arial" w:cs="Arial" w:eastAsia="Arial" w:hAnsi="Arial"/>
          <w:sz w:val="17"/>
          <w:szCs w:val="17"/>
          <w:i w:val="1"/>
          <w:iCs w:val="1"/>
          <w:color w:val="auto"/>
        </w:rPr>
        <w:t>Relevant Jurisdiction</w:t>
      </w:r>
      <w:r>
        <w:rPr>
          <w:rFonts w:ascii="Arial" w:cs="Arial" w:eastAsia="Arial" w:hAnsi="Arial"/>
          <w:sz w:val="17"/>
          <w:szCs w:val="17"/>
          <w:color w:val="auto"/>
        </w:rPr>
        <w:t>”), unless such withholding or deduction is required by law or by regulation or governmental policy having the force of law. In such event, the Company or the applicable Subsidiary Guarantor, as the case may be, will make such deduction or withholding, make payment of the amount so withheld to the appropriate governmental authority and will pay such additional amounts (“</w:t>
      </w:r>
      <w:r>
        <w:rPr>
          <w:rFonts w:ascii="Arial" w:cs="Arial" w:eastAsia="Arial" w:hAnsi="Arial"/>
          <w:sz w:val="17"/>
          <w:szCs w:val="17"/>
          <w:i w:val="1"/>
          <w:iCs w:val="1"/>
          <w:color w:val="auto"/>
        </w:rPr>
        <w:t>Additional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Amounts</w:t>
      </w:r>
      <w:r>
        <w:rPr>
          <w:rFonts w:ascii="Arial" w:cs="Arial" w:eastAsia="Arial" w:hAnsi="Arial"/>
          <w:sz w:val="17"/>
          <w:szCs w:val="17"/>
          <w:color w:val="auto"/>
        </w:rPr>
        <w:t>”) as will result in receipt by the Holder of such amounts as would have been received by such holder had no such withholding or deduction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been required,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Additional Amounts will be payable for or on account of:</w:t>
      </w:r>
    </w:p>
    <w:p>
      <w:pPr>
        <w:spacing w:after="0" w:line="77" w:lineRule="exact"/>
        <w:rPr>
          <w:rFonts w:ascii="Arial" w:cs="Arial" w:eastAsia="Arial" w:hAnsi="Arial"/>
          <w:sz w:val="17"/>
          <w:szCs w:val="17"/>
          <w:color w:val="auto"/>
        </w:rPr>
      </w:pPr>
    </w:p>
    <w:p>
      <w:pPr>
        <w:ind w:left="1820" w:hanging="432"/>
        <w:spacing w:after="0"/>
        <w:tabs>
          <w:tab w:leader="none" w:pos="182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any tax, duty, assessment or other governmental charge that would not have been imposed but for:</w:t>
      </w:r>
    </w:p>
    <w:p>
      <w:pPr>
        <w:spacing w:after="0" w:line="117" w:lineRule="exact"/>
        <w:rPr>
          <w:rFonts w:ascii="Arial" w:cs="Arial" w:eastAsia="Arial" w:hAnsi="Arial"/>
          <w:sz w:val="18"/>
          <w:szCs w:val="18"/>
          <w:color w:val="auto"/>
        </w:rPr>
      </w:pPr>
    </w:p>
    <w:p>
      <w:pPr>
        <w:ind w:left="1420" w:right="60" w:firstLine="391"/>
        <w:spacing w:after="0" w:line="275" w:lineRule="auto"/>
        <w:tabs>
          <w:tab w:leader="none" w:pos="2278" w:val="left"/>
        </w:tabs>
        <w:numPr>
          <w:ilvl w:val="2"/>
          <w:numId w:val="428"/>
        </w:numPr>
        <w:rPr>
          <w:rFonts w:ascii="Arial" w:cs="Arial" w:eastAsia="Arial" w:hAnsi="Arial"/>
          <w:sz w:val="17"/>
          <w:szCs w:val="17"/>
          <w:color w:val="auto"/>
        </w:rPr>
      </w:pPr>
      <w:r>
        <w:rPr>
          <w:rFonts w:ascii="Arial" w:cs="Arial" w:eastAsia="Arial" w:hAnsi="Arial"/>
          <w:sz w:val="17"/>
          <w:szCs w:val="17"/>
          <w:color w:val="auto"/>
        </w:rPr>
        <w:t>the existence of any present or former connection between the Holder or beneficial owner of such Note or Note Guarantee, as the case may be, and the Relevant Jurisdiction including, without limitation, such holder or beneficial owner being or having been a citizen or resident of such Relevant Jurisdiction or treated as a resident thereof or being or having been physically present or engaged in a trade or business therein or having or having had a permanent establishment therein, other than merely holding such Note or the receipt of payments thereunder or under the Note Guarantee;</w:t>
      </w:r>
    </w:p>
    <w:p>
      <w:pPr>
        <w:spacing w:after="0" w:line="68" w:lineRule="exact"/>
        <w:rPr>
          <w:rFonts w:ascii="Arial" w:cs="Arial" w:eastAsia="Arial" w:hAnsi="Arial"/>
          <w:sz w:val="17"/>
          <w:szCs w:val="17"/>
          <w:color w:val="auto"/>
        </w:rPr>
      </w:pPr>
    </w:p>
    <w:p>
      <w:pPr>
        <w:ind w:left="1420" w:right="220" w:firstLine="391"/>
        <w:spacing w:after="0" w:line="279" w:lineRule="auto"/>
        <w:tabs>
          <w:tab w:leader="none" w:pos="2268" w:val="left"/>
        </w:tabs>
        <w:numPr>
          <w:ilvl w:val="2"/>
          <w:numId w:val="428"/>
        </w:numPr>
        <w:rPr>
          <w:rFonts w:ascii="Arial" w:cs="Arial" w:eastAsia="Arial" w:hAnsi="Arial"/>
          <w:sz w:val="17"/>
          <w:szCs w:val="17"/>
          <w:color w:val="auto"/>
        </w:rPr>
      </w:pPr>
      <w:r>
        <w:rPr>
          <w:rFonts w:ascii="Arial" w:cs="Arial" w:eastAsia="Arial" w:hAnsi="Arial"/>
          <w:sz w:val="17"/>
          <w:szCs w:val="17"/>
          <w:color w:val="auto"/>
        </w:rPr>
        <w:t>the presentation of such Note (where presentation is required) more than thirty (30) days after the later 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4" w:right="499" w:bottom="1440" w:gutter="0" w:footer="0" w:header="0"/>
        </w:sectPr>
      </w:pPr>
    </w:p>
    <w:bookmarkStart w:id="380" w:name="page381"/>
    <w:bookmarkEnd w:id="380"/>
    <w:p>
      <w:pPr>
        <w:ind w:left="1420" w:right="380" w:firstLine="391"/>
        <w:spacing w:after="0" w:line="275" w:lineRule="auto"/>
        <w:tabs>
          <w:tab w:leader="none" w:pos="2268" w:val="left"/>
        </w:tabs>
        <w:numPr>
          <w:ilvl w:val="2"/>
          <w:numId w:val="4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failure of the holder or beneficial owner to comply with a timely request of the Company or any Subsidiary Guarantor addressed to the holder or beneficial owner, as the case may be, to provide information concerning such holder’s or beneficial owner’s nationality, residence, identity or connection with any Relevant Jurisdiction, if and to the extent that due and timely compliance with such request would have reduced or eliminated any withholding or deduction as to which Additional Amounts would have otherwise been payable to such holder; or</w:t>
      </w:r>
    </w:p>
    <w:p>
      <w:pPr>
        <w:spacing w:after="0" w:line="68" w:lineRule="exact"/>
        <w:rPr>
          <w:rFonts w:ascii="Arial" w:cs="Arial" w:eastAsia="Arial" w:hAnsi="Arial"/>
          <w:sz w:val="17"/>
          <w:szCs w:val="17"/>
          <w:color w:val="auto"/>
        </w:rPr>
      </w:pPr>
    </w:p>
    <w:p>
      <w:pPr>
        <w:ind w:left="1420" w:firstLine="391"/>
        <w:spacing w:after="0" w:line="277" w:lineRule="auto"/>
        <w:tabs>
          <w:tab w:leader="none" w:pos="2278" w:val="left"/>
        </w:tabs>
        <w:numPr>
          <w:ilvl w:val="2"/>
          <w:numId w:val="429"/>
        </w:numPr>
        <w:rPr>
          <w:rFonts w:ascii="Arial" w:cs="Arial" w:eastAsia="Arial" w:hAnsi="Arial"/>
          <w:sz w:val="18"/>
          <w:szCs w:val="18"/>
          <w:color w:val="auto"/>
        </w:rPr>
      </w:pPr>
      <w:r>
        <w:rPr>
          <w:rFonts w:ascii="Arial" w:cs="Arial" w:eastAsia="Arial" w:hAnsi="Arial"/>
          <w:sz w:val="18"/>
          <w:szCs w:val="18"/>
          <w:color w:val="auto"/>
        </w:rPr>
        <w:t>the presentation of such Note (where presentation is required) for payment in the Relevant Jurisdiction, unless such Note could not have been presented for payment elsewhere;</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430"/>
        </w:numPr>
        <w:rPr>
          <w:rFonts w:ascii="Arial" w:cs="Arial" w:eastAsia="Arial" w:hAnsi="Arial"/>
          <w:sz w:val="16"/>
          <w:szCs w:val="16"/>
          <w:color w:val="auto"/>
        </w:rPr>
      </w:pPr>
      <w:r>
        <w:rPr>
          <w:rFonts w:ascii="Arial" w:cs="Arial" w:eastAsia="Arial" w:hAnsi="Arial"/>
          <w:sz w:val="16"/>
          <w:szCs w:val="16"/>
          <w:color w:val="auto"/>
        </w:rPr>
        <w:t>any estate, inheritance, gift, sale, transfer, excise or personal property or similar tax, assessment or other governmental charge;</w:t>
      </w:r>
    </w:p>
    <w:p>
      <w:pPr>
        <w:spacing w:after="0" w:line="140" w:lineRule="exact"/>
        <w:rPr>
          <w:rFonts w:ascii="Arial" w:cs="Arial" w:eastAsia="Arial" w:hAnsi="Arial"/>
          <w:sz w:val="16"/>
          <w:szCs w:val="16"/>
          <w:color w:val="auto"/>
        </w:rPr>
      </w:pPr>
    </w:p>
    <w:p>
      <w:pPr>
        <w:ind w:left="980" w:right="400" w:firstLine="408"/>
        <w:spacing w:after="0" w:line="311" w:lineRule="auto"/>
        <w:tabs>
          <w:tab w:leader="none" w:pos="1771" w:val="left"/>
        </w:tabs>
        <w:numPr>
          <w:ilvl w:val="1"/>
          <w:numId w:val="430"/>
        </w:numPr>
        <w:rPr>
          <w:rFonts w:ascii="Arial" w:cs="Arial" w:eastAsia="Arial" w:hAnsi="Arial"/>
          <w:sz w:val="16"/>
          <w:szCs w:val="16"/>
          <w:color w:val="auto"/>
        </w:rPr>
      </w:pPr>
      <w:r>
        <w:rPr>
          <w:rFonts w:ascii="Arial" w:cs="Arial" w:eastAsia="Arial" w:hAnsi="Arial"/>
          <w:sz w:val="16"/>
          <w:szCs w:val="16"/>
          <w:color w:val="auto"/>
        </w:rPr>
        <w:t>any tax, duty, assessment or other governmental charge which is payable other than (i) by deduction or withholding from payments of principal of or interest on the Note or payments under the Note Guarantees, or (ii) by direct payment by the Company or applicable Subsidiary Guarantor in respect of claims made against the Company or the applicable Subsidiary Guarantor;</w:t>
      </w:r>
    </w:p>
    <w:p>
      <w:pPr>
        <w:spacing w:after="0" w:line="40" w:lineRule="exact"/>
        <w:rPr>
          <w:rFonts w:ascii="Arial" w:cs="Arial" w:eastAsia="Arial" w:hAnsi="Arial"/>
          <w:sz w:val="16"/>
          <w:szCs w:val="16"/>
          <w:color w:val="auto"/>
        </w:rPr>
      </w:pPr>
    </w:p>
    <w:p>
      <w:pPr>
        <w:ind w:left="980" w:right="40" w:firstLine="408"/>
        <w:spacing w:after="0" w:line="257" w:lineRule="auto"/>
        <w:tabs>
          <w:tab w:leader="none" w:pos="1816" w:val="left"/>
        </w:tabs>
        <w:numPr>
          <w:ilvl w:val="1"/>
          <w:numId w:val="430"/>
        </w:numPr>
        <w:rPr>
          <w:rFonts w:ascii="Arial" w:cs="Arial" w:eastAsia="Arial" w:hAnsi="Arial"/>
          <w:sz w:val="18"/>
          <w:szCs w:val="18"/>
          <w:color w:val="auto"/>
        </w:rPr>
      </w:pPr>
      <w:r>
        <w:rPr>
          <w:rFonts w:ascii="Arial" w:cs="Arial" w:eastAsia="Arial" w:hAnsi="Arial"/>
          <w:sz w:val="18"/>
          <w:szCs w:val="18"/>
          <w:color w:val="auto"/>
        </w:rPr>
        <w:t>any tax arising pursuant to Sections 1471 - 1474 of the U.S. Internal Revenue Code of 1986, as amended, and any successor or amended version that is substantively comparable and not materially more onerous to comply with, any official interpretations thereof, current or future regulations or agreements entered pursuant thereto, any agreement entered pursuant thereto, any U.S. or non-U.S. law enacted in connection with an intergovernmental agreement related thereto, or any rules, regulations, or administrative guidance of any kind relating to any of the foregoing; or</w:t>
      </w:r>
    </w:p>
    <w:p>
      <w:pPr>
        <w:spacing w:after="0" w:line="79" w:lineRule="exact"/>
        <w:rPr>
          <w:rFonts w:ascii="Arial" w:cs="Arial" w:eastAsia="Arial" w:hAnsi="Arial"/>
          <w:sz w:val="18"/>
          <w:szCs w:val="18"/>
          <w:color w:val="auto"/>
        </w:rPr>
      </w:pPr>
    </w:p>
    <w:p>
      <w:pPr>
        <w:ind w:left="1640" w:hanging="252"/>
        <w:spacing w:after="0"/>
        <w:tabs>
          <w:tab w:leader="none" w:pos="1640" w:val="left"/>
        </w:tabs>
        <w:numPr>
          <w:ilvl w:val="1"/>
          <w:numId w:val="430"/>
        </w:numPr>
        <w:rPr>
          <w:rFonts w:ascii="Arial" w:cs="Arial" w:eastAsia="Arial" w:hAnsi="Arial"/>
          <w:sz w:val="16"/>
          <w:szCs w:val="16"/>
          <w:color w:val="auto"/>
        </w:rPr>
      </w:pPr>
      <w:r>
        <w:rPr>
          <w:rFonts w:ascii="Arial" w:cs="Arial" w:eastAsia="Arial" w:hAnsi="Arial"/>
          <w:sz w:val="16"/>
          <w:szCs w:val="16"/>
          <w:color w:val="auto"/>
        </w:rPr>
        <w:t>any combination of taxes, duties, assessments or other governmental charges referred to in the preceding clauses (1), (2), (3) and</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(4); or</w:t>
      </w:r>
    </w:p>
    <w:p>
      <w:pPr>
        <w:spacing w:after="0" w:line="210" w:lineRule="exact"/>
        <w:rPr>
          <w:rFonts w:ascii="Arial" w:cs="Arial" w:eastAsia="Arial" w:hAnsi="Arial"/>
          <w:sz w:val="16"/>
          <w:szCs w:val="16"/>
          <w:color w:val="auto"/>
        </w:rPr>
      </w:pPr>
    </w:p>
    <w:p>
      <w:pPr>
        <w:ind w:right="220" w:firstLine="987"/>
        <w:spacing w:after="0" w:line="257" w:lineRule="auto"/>
        <w:tabs>
          <w:tab w:leader="none" w:pos="142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with respect to any payment of the principal of, or premium, if any, or interest on, such Note or any payment under any Note Guarantee to such holder, if the holder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188"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In addition to the foregoing, the Company and the Subsidiary Guarantors will also pay and indemnify the holder of a Note for any present or future stamp, issue, registration, court or documentary taxes, or any other excise or property taxes, charges or similar levies (including penalties, interest and other reasonable expenses related thereto) which are levied by any Relevant Jurisdiction on the execution, delivery, issuance, or registration of any of the Notes, the Indenture, any Note Guarantee or any other document or instrument referred to therein, or the receipt of any payments with respect thereto, or enforcement of, any of the Notes or any Note Guarantee. The Company and the Subsidiary Guarantors will use all reasonable efforts to obtain certified copies of tax receipts evidencing the payment of any taxes so deducted or withheld from each Relevant Jurisdiction imposing such taxes, in such form as provided in the ordinary course by the Relevant Jurisdiction and as is reasonably available to the Company, and will provide such certified copies to the Trustees and the Paying Agent. Such copies shall be made available to the Holders upon request and will be made available at the offices of the Paying Agent. The Company or the Subsidiary Guarantor, as applicable,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w:t>
      </w:r>
    </w:p>
    <w:p>
      <w:pPr>
        <w:spacing w:after="0" w:line="172" w:lineRule="exact"/>
        <w:rPr>
          <w:sz w:val="20"/>
          <w:szCs w:val="20"/>
          <w:color w:val="auto"/>
        </w:rPr>
      </w:pPr>
    </w:p>
    <w:p>
      <w:pPr>
        <w:ind w:right="340" w:firstLine="987"/>
        <w:spacing w:after="0" w:line="263" w:lineRule="auto"/>
        <w:tabs>
          <w:tab w:leader="none" w:pos="1416" w:val="left"/>
        </w:tabs>
        <w:numPr>
          <w:ilvl w:val="0"/>
          <w:numId w:val="432"/>
        </w:numPr>
        <w:rPr>
          <w:rFonts w:ascii="Arial" w:cs="Arial" w:eastAsia="Arial" w:hAnsi="Arial"/>
          <w:sz w:val="18"/>
          <w:szCs w:val="18"/>
          <w:color w:val="auto"/>
        </w:rPr>
      </w:pPr>
      <w:r>
        <w:rPr>
          <w:rFonts w:ascii="Arial" w:cs="Arial" w:eastAsia="Arial" w:hAnsi="Arial"/>
          <w:sz w:val="18"/>
          <w:szCs w:val="18"/>
          <w:color w:val="auto"/>
        </w:rPr>
        <w:t>Whenever there is mentioned in any context the payment of principal of, and any premium or interest, on any Note or under any Note Guarantee, such mention will be deemed to include payment of Additional Amounts provided for in this Indenture to the extent that, in such context, Additional Amounts are, were or would be payable in respect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381" w:name="page382"/>
    <w:bookmarkEnd w:id="381"/>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2.14</w:t>
      </w:r>
      <w:r>
        <w:rPr>
          <w:sz w:val="20"/>
          <w:szCs w:val="20"/>
          <w:color w:val="auto"/>
        </w:rPr>
        <w:tab/>
      </w:r>
      <w:r>
        <w:rPr>
          <w:rFonts w:ascii="Arial" w:cs="Arial" w:eastAsia="Arial" w:hAnsi="Arial"/>
          <w:sz w:val="16"/>
          <w:szCs w:val="16"/>
          <w:i w:val="1"/>
          <w:iCs w:val="1"/>
          <w:color w:val="auto"/>
        </w:rPr>
        <w:t>Forced Sale or Redemption for Non-QIBs.</w:t>
      </w:r>
    </w:p>
    <w:p>
      <w:pPr>
        <w:spacing w:after="0" w:line="117" w:lineRule="exact"/>
        <w:rPr>
          <w:sz w:val="20"/>
          <w:szCs w:val="20"/>
          <w:color w:val="auto"/>
        </w:rPr>
      </w:pPr>
    </w:p>
    <w:p>
      <w:pPr>
        <w:ind w:firstLine="987"/>
        <w:spacing w:after="0" w:line="290" w:lineRule="auto"/>
        <w:tabs>
          <w:tab w:leader="none" w:pos="1368" w:val="left"/>
        </w:tabs>
        <w:numPr>
          <w:ilvl w:val="0"/>
          <w:numId w:val="433"/>
        </w:numPr>
        <w:rPr>
          <w:rFonts w:ascii="Arial" w:cs="Arial" w:eastAsia="Arial" w:hAnsi="Arial"/>
          <w:sz w:val="16"/>
          <w:szCs w:val="16"/>
          <w:color w:val="auto"/>
        </w:rPr>
      </w:pPr>
      <w:r>
        <w:rPr>
          <w:rFonts w:ascii="Arial" w:cs="Arial" w:eastAsia="Arial" w:hAnsi="Arial"/>
          <w:sz w:val="16"/>
          <w:szCs w:val="16"/>
          <w:color w:val="auto"/>
        </w:rPr>
        <w:t>The Company has the right to require any Holder of a Note (or beneficial interest therein) that is a U.S. Person and is determined not to have been a QIB at the time of acquisition of such Note or is otherwise determined to be in breach, at the time given, of any of the representations and agreements required to be made pursuant to the transfer restrictions set forth herein, to transfer such Security (or beneficial interest therein) to a transferee acceptable to the Company who is able to and who does make all of the representations and agreements required to be made pursuant to the transfer restrictions set forth herein, or to redeem such Note (or beneficial interest therein) within 30 days of receipt of notice of the Company’s election to so redeem such Holder’s Notes on the terms set forth in paragraph (b) below. Pending such transfer or redemption, such Holder will be deemed not to be the Holder of such Note for any purpose, including but not limited to receipt of interest and principal payments on such Note, and such Holder will be deemed to have no interest whatsoever in such Note except as otherwise required to sell or redeem its interest therein.</w:t>
      </w:r>
    </w:p>
    <w:p>
      <w:pPr>
        <w:spacing w:after="0" w:line="57" w:lineRule="exact"/>
        <w:rPr>
          <w:rFonts w:ascii="Arial" w:cs="Arial" w:eastAsia="Arial" w:hAnsi="Arial"/>
          <w:sz w:val="16"/>
          <w:szCs w:val="16"/>
          <w:color w:val="auto"/>
        </w:rPr>
      </w:pPr>
    </w:p>
    <w:p>
      <w:pPr>
        <w:jc w:val="both"/>
        <w:ind w:right="180" w:firstLine="987"/>
        <w:spacing w:after="0" w:line="286" w:lineRule="auto"/>
        <w:tabs>
          <w:tab w:leader="none" w:pos="1371" w:val="left"/>
        </w:tabs>
        <w:numPr>
          <w:ilvl w:val="0"/>
          <w:numId w:val="433"/>
        </w:numPr>
        <w:rPr>
          <w:rFonts w:ascii="Arial" w:cs="Arial" w:eastAsia="Arial" w:hAnsi="Arial"/>
          <w:sz w:val="17"/>
          <w:szCs w:val="17"/>
          <w:color w:val="auto"/>
        </w:rPr>
      </w:pPr>
      <w:r>
        <w:rPr>
          <w:rFonts w:ascii="Arial" w:cs="Arial" w:eastAsia="Arial" w:hAnsi="Arial"/>
          <w:sz w:val="17"/>
          <w:szCs w:val="17"/>
          <w:color w:val="auto"/>
        </w:rPr>
        <w:t>Any such redemption occurring pursuant to paragraph (a) above shall be at a redemption price equal to the lesser of (i) the Person’s cost, plus accrued and unpaid interest, if any, to the redemption date and (ii) 100% of the principal amount thereof, plus accrued and unpaid interest, if any, to the redemption date. The Company shall notify the Trustee in writing of any such redemption as soon as practicable.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382" w:name="page383"/>
    <w:bookmarkEnd w:id="3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the Company elects to redeem Notes pursuant to the optional redemption provisions of Section 3.07 hereof, it must furnish to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Trustee, the Registrar and the Paying Agent, at least 30 days but not more than 60 days before a redemption date, an Officer’s Certificate setting forth:</w:t>
      </w:r>
    </w:p>
    <w:p>
      <w:pPr>
        <w:spacing w:after="0" w:line="126" w:lineRule="exact"/>
        <w:rPr>
          <w:sz w:val="20"/>
          <w:szCs w:val="20"/>
          <w:color w:val="auto"/>
        </w:rPr>
      </w:pPr>
    </w:p>
    <w:p>
      <w:pPr>
        <w:ind w:left="1820" w:hanging="432"/>
        <w:spacing w:after="0"/>
        <w:tabs>
          <w:tab w:leader="none" w:pos="18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117"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If fewer than all of the Notes are to be redeemed or purchased at any time, the Trustee, the Paying Agent or the Registrar will select Notes for redemption or purchase (i) in compliance with the requirements of the principal national securities exchange, if any, on which Notes are listed and any applicable Depositary procedures, (ii) by lot or such other similar method in accordance with the applicable procedures of the Depositary or any other applicable clearing system (if the Notes are Global Notes), or (iii) if there are no such requirements of such exchange or the Notes are not then listed on a national securities exchange or cleared through the Depositary or any other applicable clearing system,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No Notes of a principal amount of US$200,000 or less may be redeemed or purchased in part, and if Notes are redeemed or purchased in part, the remaining outstanding amount must be at least equal to US$200,000 and integral multiples of US$1,000 in excess thereof. None of the Trustee, the Paying Agent or the Registrar will be liable for any selections made under this paragraph.</w:t>
      </w:r>
    </w:p>
    <w:p>
      <w:pPr>
        <w:spacing w:after="0" w:line="178"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In the event of partial redemption or purchase by lot, the particular Notes to be redeemed or purchased will be selected, unless otherwise provided herein, not less than 30 nor more than 60 days prior to the redemption or purchase date by the Registrar from the outstanding Notes not previously called for redemption or purchase.</w:t>
      </w:r>
    </w:p>
    <w:p>
      <w:pPr>
        <w:spacing w:after="0" w:line="1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Registrar will promptly notify the Company in writing of any Definitive Notes selected for redemption or purchase and, in the case of any such Note selected for partial redemption or purchase, the principal amount thereof to be redeemed or purchased. Notes and portions of Notes selected will be in amounts of US$200,000 or integral multiples of US$1,000 in excess thereof; except that if all of the Notes of a Holder are to be redeemed or purchased, the entire outstanding amount of Notes held by such Holder, even if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117"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Subject to the provisions of Section 3.09 hereof, at least 30 days but not more than 60 days before a redemption date, the Company will mail or cause to be mailed, by first class mail, a notice of redemption to each Holder whose Notes are to be redeemed at its registered address, except that redemption notices may be mailed more than 60 days prior to a redemption date (with prior notice to the Trustee) if the notice is issued in connection with a defeasance of the Notes or a satisfaction and discharge of this Indenture pursuant to Article 8 or 11 hereof.</w:t>
      </w:r>
    </w:p>
    <w:p>
      <w:pPr>
        <w:spacing w:after="0" w:line="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117" w:lineRule="exact"/>
        <w:rPr>
          <w:sz w:val="20"/>
          <w:szCs w:val="20"/>
          <w:color w:val="auto"/>
        </w:rPr>
      </w:pPr>
    </w:p>
    <w:p>
      <w:pPr>
        <w:ind w:left="1820" w:hanging="432"/>
        <w:spacing w:after="0"/>
        <w:tabs>
          <w:tab w:leader="none" w:pos="18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0" w:right="479" w:bottom="1440" w:gutter="0" w:footer="0" w:header="0"/>
        </w:sectPr>
      </w:pPr>
    </w:p>
    <w:bookmarkStart w:id="383" w:name="page384"/>
    <w:bookmarkEnd w:id="383"/>
    <w:p>
      <w:pPr>
        <w:ind w:left="1820" w:hanging="432"/>
        <w:spacing w:after="0"/>
        <w:tabs>
          <w:tab w:leader="none" w:pos="18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redemption price;</w:t>
      </w:r>
    </w:p>
    <w:p>
      <w:pPr>
        <w:spacing w:after="0" w:line="117" w:lineRule="exact"/>
        <w:rPr>
          <w:rFonts w:ascii="Arial" w:cs="Arial" w:eastAsia="Arial" w:hAnsi="Arial"/>
          <w:sz w:val="18"/>
          <w:szCs w:val="18"/>
          <w:color w:val="auto"/>
        </w:rPr>
      </w:pPr>
    </w:p>
    <w:p>
      <w:pPr>
        <w:ind w:left="980" w:right="340" w:firstLine="408"/>
        <w:spacing w:after="0" w:line="311" w:lineRule="auto"/>
        <w:tabs>
          <w:tab w:leader="none" w:pos="1771" w:val="left"/>
        </w:tabs>
        <w:numPr>
          <w:ilvl w:val="0"/>
          <w:numId w:val="436"/>
        </w:numPr>
        <w:rPr>
          <w:rFonts w:ascii="Arial" w:cs="Arial" w:eastAsia="Arial" w:hAnsi="Arial"/>
          <w:sz w:val="16"/>
          <w:szCs w:val="16"/>
          <w:color w:val="auto"/>
        </w:rPr>
      </w:pPr>
      <w:r>
        <w:rPr>
          <w:rFonts w:ascii="Arial" w:cs="Arial" w:eastAsia="Arial" w:hAnsi="Arial"/>
          <w:sz w:val="16"/>
          <w:szCs w:val="16"/>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r>
        <w:rPr>
          <w:rFonts w:ascii="Arial" w:cs="Arial" w:eastAsia="Arial" w:hAnsi="Arial"/>
          <w:sz w:val="16"/>
          <w:szCs w:val="16"/>
          <w:i w:val="1"/>
          <w:iCs w:val="1"/>
          <w:color w:val="auto"/>
        </w:rPr>
        <w:t>, provided that</w:t>
      </w:r>
      <w:r>
        <w:rPr>
          <w:rFonts w:ascii="Arial" w:cs="Arial" w:eastAsia="Arial" w:hAnsi="Arial"/>
          <w:sz w:val="16"/>
          <w:szCs w:val="16"/>
          <w:color w:val="auto"/>
        </w:rPr>
        <w:t xml:space="preserve"> the unredeemed portion has a minimum denomination of US$200,000;</w:t>
      </w:r>
    </w:p>
    <w:p>
      <w:pPr>
        <w:spacing w:after="0" w:line="40" w:lineRule="exact"/>
        <w:rPr>
          <w:rFonts w:ascii="Arial" w:cs="Arial" w:eastAsia="Arial" w:hAnsi="Arial"/>
          <w:sz w:val="16"/>
          <w:szCs w:val="16"/>
          <w:color w:val="auto"/>
        </w:rPr>
      </w:pPr>
    </w:p>
    <w:p>
      <w:pPr>
        <w:ind w:left="1820" w:hanging="432"/>
        <w:spacing w:after="0"/>
        <w:tabs>
          <w:tab w:leader="none" w:pos="18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77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redeemed;</w:t>
      </w:r>
    </w:p>
    <w:p>
      <w:pPr>
        <w:spacing w:after="0" w:line="102" w:lineRule="exact"/>
        <w:rPr>
          <w:rFonts w:ascii="Arial" w:cs="Arial" w:eastAsia="Arial" w:hAnsi="Arial"/>
          <w:sz w:val="17"/>
          <w:szCs w:val="17"/>
          <w:color w:val="auto"/>
        </w:rPr>
      </w:pPr>
    </w:p>
    <w:p>
      <w:pPr>
        <w:ind w:left="1780" w:hanging="392"/>
        <w:spacing w:after="0"/>
        <w:tabs>
          <w:tab w:leader="none" w:pos="178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the Notes;</w:t>
      </w:r>
    </w:p>
    <w:p>
      <w:pPr>
        <w:spacing w:after="0" w:line="102" w:lineRule="exact"/>
        <w:rPr>
          <w:rFonts w:ascii="Arial" w:cs="Arial" w:eastAsia="Arial" w:hAnsi="Arial"/>
          <w:sz w:val="16"/>
          <w:szCs w:val="16"/>
          <w:color w:val="auto"/>
        </w:rPr>
      </w:pPr>
    </w:p>
    <w:p>
      <w:pPr>
        <w:ind w:left="1820" w:hanging="432"/>
        <w:spacing w:after="0"/>
        <w:tabs>
          <w:tab w:leader="none" w:pos="18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if applicable, any condition to such redemption; and</w:t>
      </w:r>
    </w:p>
    <w:p>
      <w:pPr>
        <w:spacing w:after="0" w:line="117" w:lineRule="exact"/>
        <w:rPr>
          <w:rFonts w:ascii="Arial" w:cs="Arial" w:eastAsia="Arial" w:hAnsi="Arial"/>
          <w:sz w:val="18"/>
          <w:szCs w:val="18"/>
          <w:color w:val="auto"/>
        </w:rPr>
      </w:pPr>
    </w:p>
    <w:p>
      <w:pPr>
        <w:ind w:left="980" w:right="600" w:firstLine="408"/>
        <w:spacing w:after="0" w:line="277" w:lineRule="auto"/>
        <w:tabs>
          <w:tab w:leader="none" w:pos="18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if applicable, that payment of the redemption price and performance of the Company’s obligations with respect to such redemption is to be performed by another Person and the identity of such other Person.</w:t>
      </w:r>
    </w:p>
    <w:p>
      <w:pPr>
        <w:spacing w:after="0" w:line="170"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At the Company’s request, the Trustee will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three Business Days prior to the date that the notice of redemption is to be delivered to Holders, an Officer’s Certificate requesting that the Trustee give such notice and setting forth the information to be stated in such notice as provided in the preceding paragraph.</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Once notice of redemption is mailed in accordance with Section 3.03 hereof, Notes called for redemption become due and payable on the redemption date at the redemption price stated in such notice, provided, that any redemption pursuant to Paragraph 5 of the Notes may, at the Company’s discretion, be subject to the satisfaction of one or more conditions precedent.</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11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No later than 10 a.m. New York time one Business Days prior to the redemption or purchase date, the Company will deposit with the Trustee or with the Paying Agent money sufficient to pay the redemption or purchase price of and accrued interest and Additional Amounts,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Additional Amounts, if any, on all Notes to be redeemed or purchased.</w:t>
      </w:r>
    </w:p>
    <w:p>
      <w:pPr>
        <w:spacing w:after="0" w:line="188"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384" w:name="page385"/>
    <w:bookmarkEnd w:id="384"/>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117"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In the case of Definitive Notes, 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w:t>
      </w:r>
    </w:p>
    <w:p>
      <w:pPr>
        <w:spacing w:after="0" w:line="292"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117" w:lineRule="exact"/>
        <w:rPr>
          <w:sz w:val="20"/>
          <w:szCs w:val="20"/>
          <w:color w:val="auto"/>
        </w:rPr>
      </w:pPr>
    </w:p>
    <w:p>
      <w:pPr>
        <w:ind w:right="80" w:firstLine="987"/>
        <w:spacing w:after="0" w:line="259" w:lineRule="auto"/>
        <w:tabs>
          <w:tab w:leader="none" w:pos="140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At any time prior to July 15, 2023, the Company may on any one or more occasions redeem up to 35% of the aggregate principal amount of the Notes at a redemption price of 106.500% of the principal amount thereof, plus accrued and unpaid interest,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980" w:right="280" w:firstLine="408"/>
        <w:spacing w:after="0" w:line="277" w:lineRule="auto"/>
        <w:tabs>
          <w:tab w:leader="none" w:pos="1816" w:val="left"/>
        </w:tabs>
        <w:numPr>
          <w:ilvl w:val="1"/>
          <w:numId w:val="437"/>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originally issued under this Indenture (excluding Notes held by the Company and its Subsidiaries) remains outstanding immediately after the occurrence of such redemption; and</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the redemption occurs within 45 days of the date of the closing of such Equity Offering.</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Any redemption notice given in respect of the redemption referred to in the preceding paragraph may be given prior to completion of the related Equity Offering, and any such redemption or notice may, at the discretion of the Company, be subject to the satisfaction of one or more conditions precedent, including the completion of the Equity Offering.</w:t>
      </w:r>
    </w:p>
    <w:p>
      <w:pPr>
        <w:spacing w:after="0" w:line="184" w:lineRule="exact"/>
        <w:rPr>
          <w:sz w:val="20"/>
          <w:szCs w:val="20"/>
          <w:color w:val="auto"/>
        </w:rPr>
      </w:pPr>
    </w:p>
    <w:p>
      <w:pPr>
        <w:ind w:firstLine="987"/>
        <w:spacing w:after="0" w:line="301" w:lineRule="auto"/>
        <w:tabs>
          <w:tab w:leader="none" w:pos="1416" w:val="left"/>
        </w:tabs>
        <w:numPr>
          <w:ilvl w:val="0"/>
          <w:numId w:val="438"/>
        </w:numPr>
        <w:rPr>
          <w:rFonts w:ascii="Arial" w:cs="Arial" w:eastAsia="Arial" w:hAnsi="Arial"/>
          <w:sz w:val="16"/>
          <w:szCs w:val="16"/>
          <w:color w:val="auto"/>
        </w:rPr>
      </w:pPr>
      <w:r>
        <w:rPr>
          <w:rFonts w:ascii="Arial" w:cs="Arial" w:eastAsia="Arial" w:hAnsi="Arial"/>
          <w:sz w:val="16"/>
          <w:szCs w:val="16"/>
          <w:color w:val="auto"/>
        </w:rPr>
        <w:t>At any time prior to July 15, 2023, the Company may redeem all or a part of the Notes, upon not less than 30 nor more than 60 days’ notice, at a redemption price equal to 100% of the principal amount of the Notes redeemed plus the Applicable Premium as of, and accrued and unpaid interest to, the date of redemption, subject to the rights of Holders on the relevant record date to receive interest due on the relevant interest payment date. Any such redemption and notice may, at the discretion of the Company, be subject to satisfaction of one or more conditions precedent.</w:t>
      </w:r>
    </w:p>
    <w:p>
      <w:pPr>
        <w:spacing w:after="0" w:line="157" w:lineRule="exact"/>
        <w:rPr>
          <w:rFonts w:ascii="Arial" w:cs="Arial" w:eastAsia="Arial" w:hAnsi="Arial"/>
          <w:sz w:val="16"/>
          <w:szCs w:val="16"/>
          <w:color w:val="auto"/>
        </w:rPr>
      </w:pPr>
    </w:p>
    <w:p>
      <w:pPr>
        <w:ind w:firstLine="987"/>
        <w:spacing w:after="0" w:line="277" w:lineRule="auto"/>
        <w:tabs>
          <w:tab w:leader="none" w:pos="1371"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Except pursuant to the two preceding paragraphs and the provisions under Section 3.10 and Section 3.11 hereof, the Notes will not be redeemable at the Company’s option prior to July 15, 2023.</w:t>
      </w:r>
    </w:p>
    <w:p>
      <w:pPr>
        <w:spacing w:after="0" w:line="170" w:lineRule="exact"/>
        <w:rPr>
          <w:rFonts w:ascii="Arial" w:cs="Arial" w:eastAsia="Arial" w:hAnsi="Arial"/>
          <w:sz w:val="18"/>
          <w:szCs w:val="18"/>
          <w:color w:val="auto"/>
        </w:rPr>
      </w:pPr>
    </w:p>
    <w:p>
      <w:pPr>
        <w:ind w:firstLine="987"/>
        <w:spacing w:after="0" w:line="259" w:lineRule="auto"/>
        <w:tabs>
          <w:tab w:leader="none" w:pos="1381" w:val="left"/>
        </w:tabs>
        <w:numPr>
          <w:ilvl w:val="0"/>
          <w:numId w:val="438"/>
        </w:numPr>
        <w:rPr>
          <w:rFonts w:ascii="Arial" w:cs="Arial" w:eastAsia="Arial" w:hAnsi="Arial"/>
          <w:sz w:val="18"/>
          <w:szCs w:val="18"/>
          <w:color w:val="auto"/>
        </w:rPr>
      </w:pPr>
      <w:r>
        <w:rPr>
          <w:rFonts w:ascii="Arial" w:cs="Arial" w:eastAsia="Arial" w:hAnsi="Arial"/>
          <w:sz w:val="18"/>
          <w:szCs w:val="18"/>
          <w:color w:val="auto"/>
        </w:rPr>
        <w:t>On or after July 15, 2023, the Company may redeem all or a part of the Notes upon not less than 30 nor more than 60 days’ notice, at the redemption prices (expressed as percentages of the principal amount) set forth below plus accrued and unpaid interest, if any, on the Notes redeemed, to the applicable redemption date, if redeemed during the periods indicated below, subject to the rights of holders of the Notes on the relevant record date to receive interest on the relevant interest payment date:</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6100" w:type="dxa"/>
            <w:vAlign w:val="bottom"/>
            <w:vMerge w:val="restart"/>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6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Twelve-month period on or after July 15, 2023</w:t>
            </w: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gridSpan w:val="2"/>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103.250%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Twelve-month period on or after July 15, 2024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101.625%</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July 15, 2025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385" w:name="page386"/>
    <w:bookmarkEnd w:id="385"/>
    <w:p>
      <w:pPr>
        <w:ind w:firstLine="987"/>
        <w:spacing w:after="0" w:line="271" w:lineRule="auto"/>
        <w:tabs>
          <w:tab w:leader="none" w:pos="1361" w:val="left"/>
        </w:tabs>
        <w:numPr>
          <w:ilvl w:val="0"/>
          <w:numId w:val="4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redemption pursuant to this Section 3.07 shall be made pursuant to the provisions of Section 3.01 through Section 3.06 hereof and 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with respect to such redemption may be performed by another Person.</w:t>
      </w:r>
    </w:p>
    <w:p>
      <w:pPr>
        <w:spacing w:after="0" w:line="28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117"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The Company is not required to make mandatory redemption or sinking fund payments with respect to the Notes. However, under certain circumstances, the Company may be required to offer to purchase Notes as described in Section 4.15 and Section 4.10 hereof. The Company may at any time and from time to time purchase Notes in the open market or otherwise.</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i w:val="1"/>
          <w:iCs w:val="1"/>
          <w:color w:val="auto"/>
        </w:rPr>
        <w:t>Offer to Purchase by Application of Excess Proceeds.</w:t>
      </w:r>
    </w:p>
    <w:p>
      <w:pPr>
        <w:spacing w:after="0" w:line="117"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In the event that, pursuant to Section 4.10 hereof, the Company is required to commence an offer to all Holders to purchase Notes (an “</w:t>
      </w:r>
      <w:r>
        <w:rPr>
          <w:rFonts w:ascii="Arial" w:cs="Arial" w:eastAsia="Arial" w:hAnsi="Arial"/>
          <w:sz w:val="18"/>
          <w:szCs w:val="18"/>
          <w:i w:val="1"/>
          <w:iCs w:val="1"/>
          <w:color w:val="auto"/>
        </w:rPr>
        <w:t>Asset Sale Offer</w:t>
      </w:r>
      <w:r>
        <w:rPr>
          <w:rFonts w:ascii="Arial" w:cs="Arial" w:eastAsia="Arial" w:hAnsi="Arial"/>
          <w:sz w:val="18"/>
          <w:szCs w:val="18"/>
          <w:color w:val="auto"/>
        </w:rPr>
        <w:t>”), it will follow the procedures specified below.</w:t>
      </w:r>
    </w:p>
    <w:p>
      <w:pPr>
        <w:spacing w:after="0" w:line="170"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The Asset Sale Offer shall be made to all Holders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this Indenture with respect to offers to purchase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6"/>
          <w:szCs w:val="16"/>
          <w:i w:val="1"/>
          <w:iCs w:val="1"/>
          <w:color w:val="auto"/>
        </w:rPr>
        <w:t>Offer Period</w:t>
      </w:r>
      <w:r>
        <w:rPr>
          <w:rFonts w:ascii="Arial" w:cs="Arial" w:eastAsia="Arial" w:hAnsi="Arial"/>
          <w:sz w:val="16"/>
          <w:szCs w:val="16"/>
          <w:color w:val="auto"/>
        </w:rPr>
        <w:t>”). No later than five Business Days after the termination of the Offer Period (the “</w:t>
      </w:r>
      <w:r>
        <w:rPr>
          <w:rFonts w:ascii="Arial" w:cs="Arial" w:eastAsia="Arial" w:hAnsi="Arial"/>
          <w:sz w:val="16"/>
          <w:szCs w:val="16"/>
          <w:i w:val="1"/>
          <w:iCs w:val="1"/>
          <w:color w:val="auto"/>
        </w:rPr>
        <w:t>Purchase Date</w:t>
      </w:r>
      <w:r>
        <w:rPr>
          <w:rFonts w:ascii="Arial" w:cs="Arial" w:eastAsia="Arial" w:hAnsi="Arial"/>
          <w:sz w:val="16"/>
          <w:szCs w:val="16"/>
          <w:color w:val="auto"/>
        </w:rPr>
        <w:t>”), the Company will apply all Excess Proceeds (the “</w:t>
      </w:r>
      <w:r>
        <w:rPr>
          <w:rFonts w:ascii="Arial" w:cs="Arial" w:eastAsia="Arial" w:hAnsi="Arial"/>
          <w:sz w:val="16"/>
          <w:szCs w:val="16"/>
          <w:i w:val="1"/>
          <w:iCs w:val="1"/>
          <w:color w:val="auto"/>
        </w:rPr>
        <w:t>Offer Amount</w:t>
      </w:r>
      <w:r>
        <w:rPr>
          <w:rFonts w:ascii="Arial" w:cs="Arial" w:eastAsia="Arial" w:hAnsi="Arial"/>
          <w:sz w:val="16"/>
          <w:szCs w:val="16"/>
          <w:color w:val="auto"/>
        </w:rPr>
        <w:t xml:space="preserve">”) to the purchase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if applicable) or, if less than the Offer Amount has been tendered, all Notes and other Indebtedness tendered in response to the Asset Sale Offer. Payment for any Notes so purchased will be made in the same manner as interest payments are made.</w:t>
      </w:r>
    </w:p>
    <w:p>
      <w:pPr>
        <w:spacing w:after="0" w:line="166"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and Additional Amounts, if any, will be paid to the Person in whose name a Note is registered at the close of business on such record date, and no additional interest will be payable to Holders who tender Notes pursuant to the Asset Sale Offer.</w:t>
      </w:r>
    </w:p>
    <w:p>
      <w:pPr>
        <w:spacing w:after="0" w:line="18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Upon the commencement of an Asset Sale Offer, the Company will send, by first class mail, a notice to the Trustee and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76" w:lineRule="exact"/>
        <w:rPr>
          <w:sz w:val="20"/>
          <w:szCs w:val="20"/>
          <w:color w:val="auto"/>
        </w:rPr>
      </w:pPr>
    </w:p>
    <w:p>
      <w:pPr>
        <w:ind w:left="980" w:right="220" w:firstLine="408"/>
        <w:spacing w:after="0" w:line="277" w:lineRule="auto"/>
        <w:tabs>
          <w:tab w:leader="none" w:pos="1771"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3.09 and Section 4.10 hereof and the length of time the Asset Sale Offer will remain open;</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 interest;</w:t>
      </w:r>
    </w:p>
    <w:p>
      <w:pPr>
        <w:spacing w:after="0" w:line="117" w:lineRule="exact"/>
        <w:rPr>
          <w:rFonts w:ascii="Arial" w:cs="Arial" w:eastAsia="Arial" w:hAnsi="Arial"/>
          <w:sz w:val="18"/>
          <w:szCs w:val="18"/>
          <w:color w:val="auto"/>
        </w:rPr>
      </w:pPr>
    </w:p>
    <w:p>
      <w:pPr>
        <w:ind w:left="980" w:right="280" w:firstLine="408"/>
        <w:spacing w:after="0" w:line="277" w:lineRule="auto"/>
        <w:tabs>
          <w:tab w:leader="none" w:pos="1771"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any Note accepted for payment pursuant to the Asset Sale Offer will cease to accrue interest after the Purchase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386" w:name="page387"/>
    <w:bookmarkEnd w:id="386"/>
    <w:p>
      <w:pPr>
        <w:ind w:left="980" w:right="220" w:firstLine="408"/>
        <w:spacing w:after="0" w:line="277" w:lineRule="auto"/>
        <w:tabs>
          <w:tab w:leader="none" w:pos="1771" w:val="left"/>
        </w:tabs>
        <w:numPr>
          <w:ilvl w:val="0"/>
          <w:numId w:val="4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Holders electing to have a Note purchased pursuant to an Asset Sale Offer may elect to have Notes purchased in integral multiples of US$200,000 and integral multiples of US$1,000 in excess thereof only;</w:t>
      </w:r>
    </w:p>
    <w:p>
      <w:pPr>
        <w:spacing w:after="0" w:line="62" w:lineRule="exact"/>
        <w:rPr>
          <w:rFonts w:ascii="Arial" w:cs="Arial" w:eastAsia="Arial" w:hAnsi="Arial"/>
          <w:sz w:val="18"/>
          <w:szCs w:val="18"/>
          <w:color w:val="auto"/>
        </w:rPr>
      </w:pPr>
    </w:p>
    <w:p>
      <w:pPr>
        <w:jc w:val="both"/>
        <w:ind w:left="980" w:right="80" w:firstLine="408"/>
        <w:spacing w:after="0" w:line="259" w:lineRule="auto"/>
        <w:tabs>
          <w:tab w:leader="none" w:pos="1771"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w:t>
      </w:r>
    </w:p>
    <w:p>
      <w:pPr>
        <w:spacing w:after="0" w:line="78" w:lineRule="exact"/>
        <w:rPr>
          <w:rFonts w:ascii="Arial" w:cs="Arial" w:eastAsia="Arial" w:hAnsi="Arial"/>
          <w:sz w:val="18"/>
          <w:szCs w:val="18"/>
          <w:color w:val="auto"/>
        </w:rPr>
      </w:pPr>
    </w:p>
    <w:p>
      <w:pPr>
        <w:ind w:left="980" w:right="40" w:firstLine="408"/>
        <w:spacing w:after="0" w:line="259" w:lineRule="auto"/>
        <w:tabs>
          <w:tab w:leader="none" w:pos="1771"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that Holders will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w:t>
      </w:r>
    </w:p>
    <w:p>
      <w:pPr>
        <w:spacing w:after="0" w:line="78" w:lineRule="exact"/>
        <w:rPr>
          <w:rFonts w:ascii="Arial" w:cs="Arial" w:eastAsia="Arial" w:hAnsi="Arial"/>
          <w:sz w:val="18"/>
          <w:szCs w:val="18"/>
          <w:color w:val="auto"/>
        </w:rPr>
      </w:pPr>
    </w:p>
    <w:p>
      <w:pPr>
        <w:ind w:left="980" w:right="20" w:firstLine="408"/>
        <w:spacing w:after="0" w:line="257" w:lineRule="auto"/>
        <w:tabs>
          <w:tab w:leader="none" w:pos="181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that, if the aggregate principal amount of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by holders thereof exceeds the Offer Amount, the Company will select the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to be purchased in accordance with Section 3.02 based on the principal amount of Notes and such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(with such adjustments as may be deemed appropriate by the Company so that only Notes in denominations of US$200,000, or integral multiples of US$1,000 in excess thereof, will be purchased); and</w:t>
      </w:r>
    </w:p>
    <w:p>
      <w:pPr>
        <w:spacing w:after="0" w:line="79" w:lineRule="exact"/>
        <w:rPr>
          <w:rFonts w:ascii="Arial" w:cs="Arial" w:eastAsia="Arial" w:hAnsi="Arial"/>
          <w:sz w:val="18"/>
          <w:szCs w:val="18"/>
          <w:color w:val="auto"/>
        </w:rPr>
      </w:pPr>
    </w:p>
    <w:p>
      <w:pPr>
        <w:ind w:left="980" w:right="120" w:firstLine="408"/>
        <w:spacing w:after="0" w:line="263" w:lineRule="auto"/>
        <w:tabs>
          <w:tab w:leader="none" w:pos="181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that Holders whose Notes were purchased only in part will be issued new Notes equal in principal amount to the unpurchased portion of the Notes surrendered (or transferred by book-entry transfer),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has a minimum denomination of US$200,000.</w:t>
      </w:r>
    </w:p>
    <w:p>
      <w:pPr>
        <w:spacing w:after="0" w:line="184"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On or before the Purchase Date, the Company will, to the extent lawful, accept for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necessary (but subject to Section 3.02), the Offer Amount of Notes or portions thereof tendered pursuant to the Asset Sale Offer, or if less than the Offer Amount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(but in any case not later than five days after the Purchase Date)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unpurchased portion has a minimum denomination of US$200,000. Any Note not so accepted shall be promptly mailed or delivered by the Company to the Holder thereof. The Company will publicly announce the results of the Asset Sale Offer on the Purchase Date.</w:t>
      </w:r>
    </w:p>
    <w:p>
      <w:pPr>
        <w:spacing w:after="0" w:line="168"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Other than as specifically provided in this Section 3.09, any purchase pursuant to this Section 3.09 shall be made pursuant to the provisions of Section 3.01 through Section 3.06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387" w:name="page388"/>
    <w:bookmarkEnd w:id="387"/>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3.10</w:t>
      </w:r>
      <w:r>
        <w:rPr>
          <w:sz w:val="20"/>
          <w:szCs w:val="20"/>
          <w:color w:val="auto"/>
        </w:rPr>
        <w:tab/>
      </w:r>
      <w:r>
        <w:rPr>
          <w:rFonts w:ascii="Arial" w:cs="Arial" w:eastAsia="Arial" w:hAnsi="Arial"/>
          <w:sz w:val="16"/>
          <w:szCs w:val="16"/>
          <w:i w:val="1"/>
          <w:iCs w:val="1"/>
          <w:color w:val="auto"/>
        </w:rPr>
        <w:t>Redemption for Taxation Reasons.</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Notes may be redeemed, at the option of the Company, as a whole but not in part, upon giving not less than 30 days’ nor more than 60 days’ notice to Holders (which notice will be irrevocable), at a redemption price equal to 100% of the principal amount thereof, together with accrued and unpaid interest (including any Additional Amounts), if any, to the date fixed by the Company for redemption (the “</w:t>
      </w:r>
      <w:r>
        <w:rPr>
          <w:rFonts w:ascii="Arial" w:cs="Arial" w:eastAsia="Arial" w:hAnsi="Arial"/>
          <w:sz w:val="18"/>
          <w:szCs w:val="18"/>
          <w:i w:val="1"/>
          <w:iCs w:val="1"/>
          <w:color w:val="auto"/>
        </w:rPr>
        <w:t>Tax Redemption Date</w:t>
      </w:r>
      <w:r>
        <w:rPr>
          <w:rFonts w:ascii="Arial" w:cs="Arial" w:eastAsia="Arial" w:hAnsi="Arial"/>
          <w:sz w:val="18"/>
          <w:szCs w:val="18"/>
          <w:color w:val="auto"/>
        </w:rPr>
        <w:t>”) if, as a result of:</w:t>
      </w:r>
    </w:p>
    <w:p>
      <w:pPr>
        <w:spacing w:after="0" w:line="79" w:lineRule="exact"/>
        <w:rPr>
          <w:sz w:val="20"/>
          <w:szCs w:val="20"/>
          <w:color w:val="auto"/>
        </w:rPr>
      </w:pPr>
    </w:p>
    <w:p>
      <w:pPr>
        <w:ind w:left="980" w:right="340" w:firstLine="408"/>
        <w:spacing w:after="0" w:line="277" w:lineRule="auto"/>
        <w:tabs>
          <w:tab w:leader="none" w:pos="1771"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any change in, or amendment to, the laws (or any regulations or rulings promulgated thereunder) of a Relevant Jurisdiction affecting taxation; or</w:t>
      </w:r>
    </w:p>
    <w:p>
      <w:pPr>
        <w:spacing w:after="0" w:line="62" w:lineRule="exact"/>
        <w:rPr>
          <w:rFonts w:ascii="Arial" w:cs="Arial" w:eastAsia="Arial" w:hAnsi="Arial"/>
          <w:sz w:val="18"/>
          <w:szCs w:val="18"/>
          <w:color w:val="auto"/>
        </w:rPr>
      </w:pPr>
    </w:p>
    <w:p>
      <w:pPr>
        <w:ind w:left="980" w:right="360" w:firstLine="408"/>
        <w:spacing w:after="0" w:line="277" w:lineRule="auto"/>
        <w:tabs>
          <w:tab w:leader="none" w:pos="1771"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any change in, or amendment to, an official position regarding the application or interpretation of such laws, regulations or rulings (including a holding, judgment or order by a court of competent jurisdiction),</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which change or amendment becomes effective on or after the date of this Indenture with respect to any payment due or to become due under the Notes, this Indenture or a Note Guarantee, the Company or a Subsidiary Guarantor, as the case may be, is, or on the next Interest Payment Date would be, required to pay Additional Amounts, and such requirement cannot be avoided by the Company or a Subsidiary Guarantor, as the case may be, taking reasonable measures available to it;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the avoidance of doubt, changing the jurisdiction of the Company or a Subsidiary Guarantor is not a reasonable measure for the purposes of this Section 3.10;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notice of redemption will be given earlier than 90 days prior to the earliest date on which the Company or a Subsidiary Guarantor, as the case may be, would be obligated to pay such Additional Amounts if a payment in respect of the Notes were then due.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Prior to the mailing of any notice of redemption of the Notes pursuant to the foregoing, the Company will deliver to the Trustee:</w:t>
      </w:r>
    </w:p>
    <w:p>
      <w:pPr>
        <w:spacing w:after="0" w:line="129" w:lineRule="exact"/>
        <w:rPr>
          <w:sz w:val="20"/>
          <w:szCs w:val="20"/>
          <w:color w:val="auto"/>
        </w:rPr>
      </w:pPr>
    </w:p>
    <w:p>
      <w:pPr>
        <w:ind w:left="980" w:right="180" w:firstLine="408"/>
        <w:spacing w:after="0" w:line="263" w:lineRule="auto"/>
        <w:tabs>
          <w:tab w:leader="none" w:pos="1771"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 Officer’s Certificate stating that such change or amendment referred to in the prior paragraph has occurred, and describing the facts related thereto and stating that such requirement cannot be avoided by the Company or such Subsidiary Guarantor, as the case may be, taking reasonable measures available to it; and</w:t>
      </w:r>
    </w:p>
    <w:p>
      <w:pPr>
        <w:spacing w:after="0" w:line="75" w:lineRule="exact"/>
        <w:rPr>
          <w:rFonts w:ascii="Arial" w:cs="Arial" w:eastAsia="Arial" w:hAnsi="Arial"/>
          <w:sz w:val="18"/>
          <w:szCs w:val="18"/>
          <w:color w:val="auto"/>
        </w:rPr>
      </w:pPr>
    </w:p>
    <w:p>
      <w:pPr>
        <w:ind w:left="980" w:right="40" w:firstLine="408"/>
        <w:spacing w:after="0" w:line="277" w:lineRule="auto"/>
        <w:tabs>
          <w:tab w:leader="none" w:pos="1771"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 Opinion of Counsel or an opinion of a tax consultant of recognized international standing stating that the requirement to pay such Additional Amounts results from such change or amendment referred to in the prior paragraph.</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The Trustee will accept and shall be entitled to rely on such Officer’s Certificate and Opinion of Counsel or opinion of tax consultant as sufficient evidence of the satisfaction of the conditions precedent described above, in which event it will be conclusive and binding on the Holders. Any Notes that are redeemed pursuant to this Section 3.10 will be cancelled.</w:t>
      </w:r>
    </w:p>
    <w:p>
      <w:pPr>
        <w:spacing w:after="0" w:line="292"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i w:val="1"/>
          <w:iCs w:val="1"/>
          <w:color w:val="auto"/>
        </w:rPr>
        <w:t>Gaming Redemption.</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Each Holder, by accepting a Note, shall be deemed to have agreed that if the Gaming Authority of any jurisdiction in which the Company or any of its Affiliates (including Melco Resorts Macau) conducts or proposes to conduct gaming requires that a person who is a holder or the beneficial owner of Notes be licensed, qualified or found suitable under applicable Gaming Laws, such holder or beneficial owner, as the case may be, shall apply for a license, qualification or a finding of suitability within the required time period. If such Person fails to apply or become licensed or qualified or is found unsuitable, the Company shall have the right, at its option:</w:t>
      </w:r>
    </w:p>
    <w:p>
      <w:pPr>
        <w:spacing w:after="0" w:line="80" w:lineRule="exact"/>
        <w:rPr>
          <w:sz w:val="20"/>
          <w:szCs w:val="20"/>
          <w:color w:val="auto"/>
        </w:rPr>
      </w:pPr>
    </w:p>
    <w:p>
      <w:pPr>
        <w:ind w:left="980" w:right="40" w:firstLine="408"/>
        <w:spacing w:after="0" w:line="277" w:lineRule="auto"/>
        <w:tabs>
          <w:tab w:leader="none" w:pos="1771"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to require such Person to dispose of its Notes or beneficial interest therein within 30 days of receipt of notice of the Company’s election or such earlier date as may be requested or prescribed by such Gaming Authority;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388" w:name="page389"/>
    <w:bookmarkEnd w:id="388"/>
    <w:p>
      <w:pPr>
        <w:ind w:left="980" w:right="560" w:firstLine="408"/>
        <w:spacing w:after="0" w:line="277" w:lineRule="auto"/>
        <w:tabs>
          <w:tab w:leader="none" w:pos="1771"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redeem such Notes, which redemption may be less than 30 days following the notice of redemption if so requested or prescribed by the applicable gaming authority, at a redemption price equal to:</w:t>
      </w:r>
    </w:p>
    <w:p>
      <w:pPr>
        <w:spacing w:after="0" w:line="62" w:lineRule="exact"/>
        <w:rPr>
          <w:rFonts w:ascii="Arial" w:cs="Arial" w:eastAsia="Arial" w:hAnsi="Arial"/>
          <w:sz w:val="18"/>
          <w:szCs w:val="18"/>
          <w:color w:val="auto"/>
        </w:rPr>
      </w:pPr>
    </w:p>
    <w:p>
      <w:pPr>
        <w:ind w:left="2280" w:hanging="469"/>
        <w:spacing w:after="0"/>
        <w:tabs>
          <w:tab w:leader="none" w:pos="228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30" w:lineRule="exact"/>
        <w:rPr>
          <w:rFonts w:ascii="Arial" w:cs="Arial" w:eastAsia="Arial" w:hAnsi="Arial"/>
          <w:sz w:val="18"/>
          <w:szCs w:val="18"/>
          <w:color w:val="auto"/>
        </w:rPr>
      </w:pPr>
    </w:p>
    <w:p>
      <w:pPr>
        <w:ind w:left="2840" w:right="80" w:hanging="428"/>
        <w:spacing w:after="0" w:line="277" w:lineRule="auto"/>
        <w:tabs>
          <w:tab w:leader="none" w:pos="2840" w:val="left"/>
        </w:tabs>
        <w:numPr>
          <w:ilvl w:val="2"/>
          <w:numId w:val="445"/>
        </w:numPr>
        <w:rPr>
          <w:rFonts w:ascii="Arial" w:cs="Arial" w:eastAsia="Arial" w:hAnsi="Arial"/>
          <w:sz w:val="18"/>
          <w:szCs w:val="18"/>
          <w:color w:val="auto"/>
        </w:rPr>
      </w:pPr>
      <w:r>
        <w:rPr>
          <w:rFonts w:ascii="Arial" w:cs="Arial" w:eastAsia="Arial" w:hAnsi="Arial"/>
          <w:sz w:val="18"/>
          <w:szCs w:val="18"/>
          <w:color w:val="auto"/>
        </w:rPr>
        <w:t>the Person’s cost, plus accrued and unpaid interest, if any, to the earlier of the redemption date or the date of the finding of unsuitability or failure to comply; and</w:t>
      </w:r>
    </w:p>
    <w:p>
      <w:pPr>
        <w:spacing w:after="0" w:line="75" w:lineRule="exact"/>
        <w:rPr>
          <w:rFonts w:ascii="Arial" w:cs="Arial" w:eastAsia="Arial" w:hAnsi="Arial"/>
          <w:sz w:val="18"/>
          <w:szCs w:val="18"/>
          <w:color w:val="auto"/>
        </w:rPr>
      </w:pPr>
    </w:p>
    <w:p>
      <w:pPr>
        <w:ind w:left="2840" w:right="180" w:hanging="428"/>
        <w:spacing w:after="0" w:line="277" w:lineRule="auto"/>
        <w:tabs>
          <w:tab w:leader="none" w:pos="2840" w:val="left"/>
        </w:tabs>
        <w:numPr>
          <w:ilvl w:val="2"/>
          <w:numId w:val="445"/>
        </w:numPr>
        <w:rPr>
          <w:rFonts w:ascii="Arial" w:cs="Arial" w:eastAsia="Arial" w:hAnsi="Arial"/>
          <w:sz w:val="18"/>
          <w:szCs w:val="18"/>
          <w:color w:val="auto"/>
        </w:rPr>
      </w:pPr>
      <w:r>
        <w:rPr>
          <w:rFonts w:ascii="Arial" w:cs="Arial" w:eastAsia="Arial" w:hAnsi="Arial"/>
          <w:sz w:val="18"/>
          <w:szCs w:val="18"/>
          <w:color w:val="auto"/>
        </w:rPr>
        <w:t>100% of the principal amount thereof, plus accrued and unpaid interest, if any, to the earlier of the redemption date or the date of the finding of unsuitability or failure to comply; or</w:t>
      </w:r>
    </w:p>
    <w:p>
      <w:pPr>
        <w:spacing w:after="0" w:line="62" w:lineRule="exact"/>
        <w:rPr>
          <w:rFonts w:ascii="Arial" w:cs="Arial" w:eastAsia="Arial" w:hAnsi="Arial"/>
          <w:sz w:val="18"/>
          <w:szCs w:val="18"/>
          <w:color w:val="auto"/>
        </w:rPr>
      </w:pPr>
    </w:p>
    <w:p>
      <w:pPr>
        <w:ind w:left="2240" w:hanging="429"/>
        <w:spacing w:after="0"/>
        <w:tabs>
          <w:tab w:leader="none" w:pos="224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such other amount as may be required by applicable law or order of the applicable Gaming Authority.</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Company shall notify the Trustee in writing of any such redemption as soon as practicable. Neither the Company nor the Trustee shall be responsible for any costs or expenses any Holder may incur in connection with such Holder’s application for a license, qualification or a finding of suitability.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40" w:top="274" w:right="499" w:bottom="1440" w:gutter="0" w:footer="0" w:header="0"/>
        </w:sectPr>
      </w:pPr>
    </w:p>
    <w:bookmarkStart w:id="389" w:name="page390"/>
    <w:bookmarkEnd w:id="38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Payment of Notes.</w:t>
      </w:r>
    </w:p>
    <w:p>
      <w:pPr>
        <w:spacing w:after="0" w:line="117"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The Company will pay or cause to be paid the principal of, premium, if any, and interest and Additional Amounts, if any, on, the Notes on the dates and in the manner provided in the Notes. Principal, premium, if any, and interest and Additional Amounts, if any, will be considered paid on the date due if the Paying Agent, if other than the Company or a Subsidiary thereof, holds as of 10:00 a.m. New York Time two Business Days prior to the due date money deposited by the Company in immediately available funds and designated for and sufficient to pay all principal, premium, if any, interest and Additional Amounts, if any, then due. All the funds provided to the Paying Agent must be in U.S. Dollars.</w:t>
      </w:r>
    </w:p>
    <w:p>
      <w:pPr>
        <w:spacing w:after="0" w:line="161"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92"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designation or rescission will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The Company hereby designates Deutsche Bank Trust Company Americas as one such office or agency of the Company in accordance with Section 2.03 hereof.</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117" w:lineRule="exact"/>
        <w:rPr>
          <w:sz w:val="20"/>
          <w:szCs w:val="20"/>
          <w:color w:val="auto"/>
        </w:rPr>
      </w:pPr>
    </w:p>
    <w:p>
      <w:pPr>
        <w:ind w:left="1400" w:hanging="413"/>
        <w:spacing w:after="0"/>
        <w:tabs>
          <w:tab w:leader="none" w:pos="14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Company will provide to the Trustee and the Holders and make available to potential investors:</w:t>
      </w:r>
    </w:p>
    <w:p>
      <w:pPr>
        <w:spacing w:after="0" w:line="225" w:lineRule="exact"/>
        <w:rPr>
          <w:rFonts w:ascii="Arial" w:cs="Arial" w:eastAsia="Arial" w:hAnsi="Arial"/>
          <w:sz w:val="18"/>
          <w:szCs w:val="18"/>
          <w:color w:val="auto"/>
        </w:rPr>
      </w:pPr>
    </w:p>
    <w:p>
      <w:pPr>
        <w:ind w:left="980" w:firstLine="408"/>
        <w:spacing w:after="0" w:line="286" w:lineRule="auto"/>
        <w:tabs>
          <w:tab w:leader="none" w:pos="1816" w:val="left"/>
        </w:tabs>
        <w:numPr>
          <w:ilvl w:val="1"/>
          <w:numId w:val="446"/>
        </w:numPr>
        <w:rPr>
          <w:rFonts w:ascii="Arial" w:cs="Arial" w:eastAsia="Arial" w:hAnsi="Arial"/>
          <w:sz w:val="16"/>
          <w:szCs w:val="16"/>
          <w:color w:val="auto"/>
        </w:rPr>
      </w:pPr>
      <w:r>
        <w:rPr>
          <w:rFonts w:ascii="Arial" w:cs="Arial" w:eastAsia="Arial" w:hAnsi="Arial"/>
          <w:sz w:val="16"/>
          <w:szCs w:val="16"/>
          <w:color w:val="auto"/>
        </w:rPr>
        <w:t xml:space="preserve">within 120 days after the end of the Company’s fiscal year, annual reports of the Company containing: (a) information with a level of detail that is substantially comparable to the sections in the Offering Memorandum entitled “Selected Consolidated Financial and Operational Data,” “Business,” “Management,” “Related Party Transactions” and “Description of Other Material Indebtedness;” (b) the Company’s audited consolidated (i) balance sheet as of the end of the two most recent fiscal years and (ii) income statement and statement of cash flow for the two most recent fiscal years, in each case prepared in accordance with U.S. GAAP and including complete footnotes to such financial statements and the report of the independent auditors on the financial statements; (c) an operating and financial review of the two most recent fiscal years for the Company and its Restricted Subsidiaries, including a discussion of (i) the financial condition and results of operations of the Company on a consolidated basis and any material changes between such two fiscal years and (ii) any material developments in the business of the Company and its Restricted Subsidiaries; and (d)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income statement and balance sheet information of the Company, together with explanatory footnotes, for any Change of Control or material acquisitions, dispositions or recapitalizations that have occurred since the beginning of the most recently completed fiscal year, unless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has been provided in a previous report pursuant to paragraph (2)(c) below;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shall be required to be provided for any material acquisitions or dispositions relating solely to the Phase II Project;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440" w:top="270" w:right="499" w:bottom="1440" w:gutter="0" w:footer="0" w:header="0"/>
        </w:sectPr>
      </w:pPr>
    </w:p>
    <w:bookmarkStart w:id="390" w:name="page391"/>
    <w:bookmarkEnd w:id="390"/>
    <w:p>
      <w:pPr>
        <w:ind w:left="984" w:right="40" w:firstLine="408"/>
        <w:spacing w:after="0" w:line="269" w:lineRule="auto"/>
        <w:tabs>
          <w:tab w:leader="none" w:pos="1775" w:val="left"/>
        </w:tabs>
        <w:numPr>
          <w:ilvl w:val="2"/>
          <w:numId w:val="4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60 days after the end of each day of the first three fiscal quarters in each fiscal year of the Company, quarterly reports containing: (a) the Company’s unaudited condensed consolidated (i) balance sheet as of the end of such quarter and (ii) statement of income and cash flow for the quarterly and year to date periods ending on the most recent balance sheet date, and the comparable prior year periods, in each case prepared in accordance with U.S. GAAP; (b) an operating and financial review of such periods for the Company and its Restricted Subsidiaries including a discussion of (i) the financial condition and results of operations of the Company on a consolidated basis and material changes between the current period and the period of the prior year and (ii) any material developments in the business of the Company and its Restricted Subsidiaries; (c)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income statement and balance sheet information of the Company, together with explanatory footnotes, for any Change of Control or material acquisitions, dispositions or recapitalizations that have occurred since the beginning of the most recently completed fiscal quarter,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pro forma information shall be required to be provided for any material acquisitions or dispositions relating solely to the Phase II Project,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Company may provide any such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information relating to a material acquisition within 75 days following such quarterly report in the form of a report provided pursuant to clause (3) below; and</w:t>
      </w:r>
    </w:p>
    <w:p>
      <w:pPr>
        <w:spacing w:after="0" w:line="70" w:lineRule="exact"/>
        <w:rPr>
          <w:rFonts w:ascii="Arial" w:cs="Arial" w:eastAsia="Arial" w:hAnsi="Arial"/>
          <w:sz w:val="17"/>
          <w:szCs w:val="17"/>
          <w:color w:val="auto"/>
        </w:rPr>
      </w:pPr>
    </w:p>
    <w:p>
      <w:pPr>
        <w:ind w:left="984" w:right="200" w:firstLine="408"/>
        <w:spacing w:after="0" w:line="275" w:lineRule="auto"/>
        <w:tabs>
          <w:tab w:leader="none" w:pos="1820" w:val="left"/>
        </w:tabs>
        <w:numPr>
          <w:ilvl w:val="2"/>
          <w:numId w:val="447"/>
        </w:numPr>
        <w:rPr>
          <w:rFonts w:ascii="Arial" w:cs="Arial" w:eastAsia="Arial" w:hAnsi="Arial"/>
          <w:sz w:val="17"/>
          <w:szCs w:val="17"/>
          <w:color w:val="auto"/>
        </w:rPr>
      </w:pPr>
      <w:r>
        <w:rPr>
          <w:rFonts w:ascii="Arial" w:cs="Arial" w:eastAsia="Arial" w:hAnsi="Arial"/>
          <w:sz w:val="17"/>
          <w:szCs w:val="17"/>
          <w:color w:val="auto"/>
        </w:rPr>
        <w:t>promptly from time to time after the occurrence of any of the events listed in (a)to (d) of this clause (3) information with respect to (a) any change in the independent accountants of the Company or any of the Significant Subsidiaries of the Company, (b) any material acquisition or disposition, (c) any material event that the Company or any Restricted Subsidiary of the Company announces publicly and (d) any information that the Company is required to make publicly available under the requirements of the SGX-ST or such other exchanges on which the securities of the Company or its Subsidiaries are then listed.</w:t>
      </w:r>
    </w:p>
    <w:p>
      <w:pPr>
        <w:spacing w:after="0" w:line="176" w:lineRule="exact"/>
        <w:rPr>
          <w:rFonts w:ascii="Arial" w:cs="Arial" w:eastAsia="Arial" w:hAnsi="Arial"/>
          <w:sz w:val="17"/>
          <w:szCs w:val="17"/>
          <w:color w:val="auto"/>
        </w:rPr>
      </w:pPr>
    </w:p>
    <w:p>
      <w:pPr>
        <w:ind w:left="4" w:firstLine="987"/>
        <w:spacing w:after="0" w:line="301" w:lineRule="auto"/>
        <w:tabs>
          <w:tab w:leader="none" w:pos="1385" w:val="left"/>
        </w:tabs>
        <w:numPr>
          <w:ilvl w:val="1"/>
          <w:numId w:val="448"/>
        </w:numPr>
        <w:rPr>
          <w:rFonts w:ascii="Arial" w:cs="Arial" w:eastAsia="Arial" w:hAnsi="Arial"/>
          <w:sz w:val="16"/>
          <w:szCs w:val="16"/>
          <w:color w:val="auto"/>
        </w:rPr>
      </w:pPr>
      <w:r>
        <w:rPr>
          <w:rFonts w:ascii="Arial" w:cs="Arial" w:eastAsia="Arial" w:hAnsi="Arial"/>
          <w:sz w:val="16"/>
          <w:szCs w:val="16"/>
          <w:color w:val="auto"/>
        </w:rPr>
        <w:t>If the Company has designated any of its Subsidiaries as Unrestricted Subsidiaries and any such Unrestricted Subsidiary or group of Unrestricted Subsidiaries constitute Significant Subsidiaries of the Company, then the annual and quarterly information required by the paragraphs (a)(1) and (a)(2) hereof shall include a reasonably detailed presentation of the financial condition and results of operations of the Company and its Restricted Subsidiaries separate from the financial condition and results of operations of such Unrestricted Subsidiaries of the Company.</w:t>
      </w:r>
    </w:p>
    <w:p>
      <w:pPr>
        <w:spacing w:after="0" w:line="157" w:lineRule="exact"/>
        <w:rPr>
          <w:rFonts w:ascii="Arial" w:cs="Arial" w:eastAsia="Arial" w:hAnsi="Arial"/>
          <w:sz w:val="16"/>
          <w:szCs w:val="16"/>
          <w:color w:val="auto"/>
        </w:rPr>
      </w:pPr>
    </w:p>
    <w:p>
      <w:pPr>
        <w:ind w:left="4" w:right="180" w:firstLine="987"/>
        <w:spacing w:after="0" w:line="287" w:lineRule="auto"/>
        <w:tabs>
          <w:tab w:leader="none" w:pos="1375" w:val="left"/>
        </w:tabs>
        <w:numPr>
          <w:ilvl w:val="1"/>
          <w:numId w:val="448"/>
        </w:numPr>
        <w:rPr>
          <w:rFonts w:ascii="Arial" w:cs="Arial" w:eastAsia="Arial" w:hAnsi="Arial"/>
          <w:sz w:val="16"/>
          <w:szCs w:val="16"/>
          <w:color w:val="auto"/>
        </w:rPr>
      </w:pPr>
      <w:r>
        <w:rPr>
          <w:rFonts w:ascii="Arial" w:cs="Arial" w:eastAsia="Arial" w:hAnsi="Arial"/>
          <w:sz w:val="16"/>
          <w:szCs w:val="16"/>
          <w:color w:val="auto"/>
        </w:rPr>
        <w:t>In addition, so long as the Notes are “restricted securities” within the meaning of Rule 144(a)(3) of the Securities Act and in any period during which the Company is not subject to Section 13 or 15(d) of the Exchange Act nor exempt therefrom pursuant to Rule 12g3-2(b), the Company shall furnish to the holders of the Notes, securities analysts and prospective investors, upon their request, any information that Rule 144A(d)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under the Securities Act would require the Company to provide to such parties.</w:t>
      </w:r>
    </w:p>
    <w:p>
      <w:pPr>
        <w:spacing w:after="0" w:line="210" w:lineRule="exact"/>
        <w:rPr>
          <w:rFonts w:ascii="Arial" w:cs="Arial" w:eastAsia="Arial" w:hAnsi="Arial"/>
          <w:sz w:val="18"/>
          <w:szCs w:val="18"/>
          <w:color w:val="auto"/>
        </w:rPr>
      </w:pPr>
    </w:p>
    <w:p>
      <w:pPr>
        <w:ind w:left="4" w:right="60" w:firstLine="987"/>
        <w:spacing w:after="0" w:line="272" w:lineRule="auto"/>
        <w:tabs>
          <w:tab w:leader="none" w:pos="1430" w:val="left"/>
        </w:tabs>
        <w:numPr>
          <w:ilvl w:val="1"/>
          <w:numId w:val="449"/>
        </w:numPr>
        <w:rPr>
          <w:rFonts w:ascii="Arial" w:cs="Arial" w:eastAsia="Arial" w:hAnsi="Arial"/>
          <w:sz w:val="17"/>
          <w:szCs w:val="17"/>
          <w:color w:val="auto"/>
        </w:rPr>
      </w:pPr>
      <w:r>
        <w:rPr>
          <w:rFonts w:ascii="Arial" w:cs="Arial" w:eastAsia="Arial" w:hAnsi="Arial"/>
          <w:sz w:val="17"/>
          <w:szCs w:val="17"/>
          <w:color w:val="auto"/>
        </w:rPr>
        <w:t xml:space="preserve">The Company may elect to satisfy its obligations under this Section 4.03 with respect to all such financial information relating to the Company by furnishing, or making available on the SEC’s website,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shall have no responsibility whatsoever to determine whether such filing has occurred, such financial information relating to Studio City International, or by furnishing or making available on the SGX’s website such financial information relating to Studio City Company Limited; provided that the same is accompanied by consolidating information that explains in reasonable detail the differences between the information relating to Studio City International or Studio City Company Limited (as the case may be), on the one hand, and the information relating to the Company and its Restricted Subsidiaries on a stand-alone basis, on the other hand; provided further that the Company shall make no more than two such elections.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4"/>
          </w:cols>
          <w:pgMar w:left="436" w:top="274" w:right="439" w:bottom="1440" w:gutter="0" w:footer="0" w:header="0"/>
        </w:sectPr>
      </w:pPr>
    </w:p>
    <w:bookmarkStart w:id="391" w:name="page392"/>
    <w:bookmarkEnd w:id="391"/>
    <w:p>
      <w:pPr>
        <w:ind w:left="4" w:right="380" w:firstLine="987"/>
        <w:spacing w:after="0" w:line="342" w:lineRule="auto"/>
        <w:tabs>
          <w:tab w:leader="none" w:pos="1420" w:val="left"/>
        </w:tabs>
        <w:numPr>
          <w:ilvl w:val="0"/>
          <w:numId w:val="4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financial statement information required under this covenant shall be prepared on a consistent basis in accordance with U.S. GAAP. In addition, all financial statement information and all reports required under this covenant shall be presented in the English language.</w:t>
      </w:r>
    </w:p>
    <w:p>
      <w:pPr>
        <w:spacing w:after="0" w:line="123" w:lineRule="exact"/>
        <w:rPr>
          <w:rFonts w:ascii="Arial" w:cs="Arial" w:eastAsia="Arial" w:hAnsi="Arial"/>
          <w:sz w:val="16"/>
          <w:szCs w:val="16"/>
          <w:color w:val="auto"/>
        </w:rPr>
      </w:pPr>
    </w:p>
    <w:p>
      <w:pPr>
        <w:ind w:left="1404" w:hanging="413"/>
        <w:spacing w:after="0"/>
        <w:tabs>
          <w:tab w:leader="none" w:pos="1404" w:val="left"/>
        </w:tabs>
        <w:numPr>
          <w:ilvl w:val="0"/>
          <w:numId w:val="450"/>
        </w:numPr>
        <w:rPr>
          <w:rFonts w:ascii="Arial" w:cs="Arial" w:eastAsia="Arial" w:hAnsi="Arial"/>
          <w:sz w:val="18"/>
          <w:szCs w:val="18"/>
          <w:color w:val="auto"/>
        </w:rPr>
      </w:pPr>
      <w:r>
        <w:rPr>
          <w:rFonts w:ascii="Arial" w:cs="Arial" w:eastAsia="Arial" w:hAnsi="Arial"/>
          <w:sz w:val="18"/>
          <w:szCs w:val="18"/>
          <w:i w:val="1"/>
          <w:iCs w:val="1"/>
          <w:color w:val="auto"/>
        </w:rPr>
        <w:t>[Intentionally Omitted].</w:t>
      </w:r>
    </w:p>
    <w:p>
      <w:pPr>
        <w:spacing w:after="0" w:line="225" w:lineRule="exact"/>
        <w:rPr>
          <w:rFonts w:ascii="Arial" w:cs="Arial" w:eastAsia="Arial" w:hAnsi="Arial"/>
          <w:sz w:val="18"/>
          <w:szCs w:val="18"/>
          <w:color w:val="auto"/>
        </w:rPr>
      </w:pPr>
    </w:p>
    <w:p>
      <w:pPr>
        <w:ind w:left="4" w:right="220" w:firstLine="987"/>
        <w:spacing w:after="0" w:line="259" w:lineRule="auto"/>
        <w:tabs>
          <w:tab w:leader="none" w:pos="1385" w:val="left"/>
        </w:tabs>
        <w:numPr>
          <w:ilvl w:val="0"/>
          <w:numId w:val="450"/>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the Officer’s Certificates).</w:t>
      </w:r>
    </w:p>
    <w:p>
      <w:pPr>
        <w:spacing w:after="0" w:line="295"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117" w:lineRule="exact"/>
        <w:rPr>
          <w:sz w:val="20"/>
          <w:szCs w:val="20"/>
          <w:color w:val="auto"/>
        </w:rPr>
      </w:pPr>
    </w:p>
    <w:p>
      <w:pPr>
        <w:ind w:left="4" w:firstLine="987"/>
        <w:spacing w:after="0" w:line="289" w:lineRule="auto"/>
        <w:tabs>
          <w:tab w:leader="none" w:pos="1372" w:val="left"/>
        </w:tabs>
        <w:numPr>
          <w:ilvl w:val="1"/>
          <w:numId w:val="451"/>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166" w:lineRule="exact"/>
        <w:rPr>
          <w:rFonts w:ascii="Arial" w:cs="Arial" w:eastAsia="Arial" w:hAnsi="Arial"/>
          <w:sz w:val="16"/>
          <w:szCs w:val="16"/>
          <w:color w:val="auto"/>
        </w:rPr>
      </w:pPr>
    </w:p>
    <w:p>
      <w:pPr>
        <w:ind w:left="1424" w:hanging="433"/>
        <w:spacing w:after="0"/>
        <w:tabs>
          <w:tab w:leader="none" w:pos="1424" w:val="left"/>
        </w:tabs>
        <w:numPr>
          <w:ilvl w:val="1"/>
          <w:numId w:val="451"/>
        </w:numPr>
        <w:rPr>
          <w:rFonts w:ascii="Arial" w:cs="Arial" w:eastAsia="Arial" w:hAnsi="Arial"/>
          <w:sz w:val="18"/>
          <w:szCs w:val="18"/>
          <w:i w:val="1"/>
          <w:iCs w:val="1"/>
          <w:color w:val="auto"/>
        </w:rPr>
      </w:pP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ind w:left="1364" w:hanging="373"/>
        <w:spacing w:after="0"/>
        <w:tabs>
          <w:tab w:leader="none" w:pos="1364" w:val="left"/>
        </w:tabs>
        <w:numPr>
          <w:ilvl w:val="1"/>
          <w:numId w:val="451"/>
        </w:numPr>
        <w:rPr>
          <w:rFonts w:ascii="Arial" w:cs="Arial" w:eastAsia="Arial" w:hAnsi="Arial"/>
          <w:sz w:val="16"/>
          <w:szCs w:val="16"/>
          <w:color w:val="auto"/>
        </w:rPr>
      </w:pPr>
      <w:r>
        <w:rPr>
          <w:rFonts w:ascii="Arial" w:cs="Arial" w:eastAsia="Arial" w:hAnsi="Arial"/>
          <w:sz w:val="16"/>
          <w:szCs w:val="16"/>
          <w:color w:val="auto"/>
        </w:rPr>
        <w:t>So long as any of the Notes are outstanding, the Company will deliver to the Trustee, as soon as possible and in any event within five</w:t>
      </w:r>
    </w:p>
    <w:p>
      <w:pPr>
        <w:spacing w:after="0" w:line="46" w:lineRule="exact"/>
        <w:rPr>
          <w:rFonts w:ascii="Arial" w:cs="Arial" w:eastAsia="Arial" w:hAnsi="Arial"/>
          <w:sz w:val="16"/>
          <w:szCs w:val="16"/>
          <w:color w:val="auto"/>
        </w:rPr>
      </w:pPr>
    </w:p>
    <w:p>
      <w:pPr>
        <w:ind w:left="4" w:right="120" w:hanging="4"/>
        <w:spacing w:after="0" w:line="253" w:lineRule="auto"/>
        <w:tabs>
          <w:tab w:leader="none" w:pos="259" w:val="left"/>
        </w:tabs>
        <w:numPr>
          <w:ilvl w:val="0"/>
          <w:numId w:val="452"/>
        </w:numPr>
        <w:rPr>
          <w:rFonts w:ascii="Arial" w:cs="Arial" w:eastAsia="Arial" w:hAnsi="Arial"/>
          <w:sz w:val="18"/>
          <w:szCs w:val="18"/>
          <w:color w:val="auto"/>
        </w:rPr>
      </w:pPr>
      <w:r>
        <w:rPr>
          <w:rFonts w:ascii="Arial" w:cs="Arial" w:eastAsia="Arial" w:hAnsi="Arial"/>
          <w:sz w:val="18"/>
          <w:szCs w:val="18"/>
          <w:color w:val="auto"/>
        </w:rPr>
        <w:t>Business Days after the Company becomes aware of any Default or Event of Default, an Officer’s Certificate specifying such Default or Event of Default and what action the Company is taking or proposes to take with respect thereto. The Trustee shall not be deemed to have a duty to monitor compliance by the Company, nor to have knowledge of a Default or an Event of Default (other than a payment default on a scheduled interest payment date) unless a Responsible Officer of the Trustee receives written notice thereof, stating that it is a notice of default and referencing the applicable section of this Indenture.</w:t>
      </w:r>
    </w:p>
    <w:p>
      <w:pPr>
        <w:spacing w:after="0" w:line="299"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3"/>
          <w:szCs w:val="13"/>
          <w:i w:val="1"/>
          <w:iCs w:val="1"/>
          <w:color w:val="auto"/>
        </w:rPr>
        <w:t>Taxes.</w:t>
      </w:r>
    </w:p>
    <w:p>
      <w:pPr>
        <w:spacing w:after="0" w:line="117"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required to be paid by the Company or such Subsidiaries except such as are contested in good faith and by appropriate proceedings or where the failure to effect such payment is not adverse in any material respect to the Holders.</w:t>
      </w:r>
    </w:p>
    <w:p>
      <w:pPr>
        <w:spacing w:after="0" w:line="292"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117" w:lineRule="exact"/>
        <w:rPr>
          <w:sz w:val="20"/>
          <w:szCs w:val="20"/>
          <w:color w:val="auto"/>
        </w:rPr>
      </w:pPr>
    </w:p>
    <w:p>
      <w:pPr>
        <w:ind w:left="4" w:right="20" w:firstLine="991"/>
        <w:spacing w:after="0" w:line="275"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4" w:right="479" w:bottom="1440" w:gutter="0" w:footer="0" w:header="0"/>
        </w:sectPr>
      </w:pPr>
    </w:p>
    <w:bookmarkStart w:id="392" w:name="page393"/>
    <w:bookmarkEnd w:id="392"/>
    <w:p>
      <w:pPr>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4.07</w:t>
      </w:r>
      <w:r>
        <w:rPr>
          <w:sz w:val="20"/>
          <w:szCs w:val="20"/>
          <w:color w:val="auto"/>
        </w:rPr>
        <w:tab/>
      </w:r>
      <w:r>
        <w:rPr>
          <w:rFonts w:ascii="Arial" w:cs="Arial" w:eastAsia="Arial" w:hAnsi="Arial"/>
          <w:sz w:val="16"/>
          <w:szCs w:val="16"/>
          <w:i w:val="1"/>
          <w:iCs w:val="1"/>
          <w:color w:val="auto"/>
        </w:rPr>
        <w:t>Limitation on Restricted Payments.</w:t>
      </w:r>
    </w:p>
    <w:p>
      <w:pPr>
        <w:spacing w:after="0" w:line="117" w:lineRule="exact"/>
        <w:rPr>
          <w:sz w:val="20"/>
          <w:szCs w:val="20"/>
          <w:color w:val="auto"/>
        </w:rPr>
      </w:pPr>
    </w:p>
    <w:p>
      <w:pPr>
        <w:ind w:left="960" w:hanging="413"/>
        <w:spacing w:after="0"/>
        <w:tabs>
          <w:tab w:leader="none" w:pos="9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117" w:lineRule="exact"/>
        <w:rPr>
          <w:rFonts w:ascii="Arial" w:cs="Arial" w:eastAsia="Arial" w:hAnsi="Arial"/>
          <w:sz w:val="18"/>
          <w:szCs w:val="18"/>
          <w:color w:val="auto"/>
        </w:rPr>
      </w:pPr>
    </w:p>
    <w:p>
      <w:pPr>
        <w:jc w:val="both"/>
        <w:ind w:left="540" w:right="140" w:firstLine="408"/>
        <w:spacing w:after="0" w:line="296" w:lineRule="auto"/>
        <w:tabs>
          <w:tab w:leader="none" w:pos="1331" w:val="left"/>
        </w:tabs>
        <w:numPr>
          <w:ilvl w:val="1"/>
          <w:numId w:val="453"/>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(other than dividends or distributions payable in Equity Interests (other than Disqualified Stock) of the Company and other than dividends or distributions payable to the Company or a Restricted Subsidiary of the Company);</w:t>
      </w:r>
    </w:p>
    <w:p>
      <w:pPr>
        <w:spacing w:after="0" w:line="53" w:lineRule="exact"/>
        <w:rPr>
          <w:rFonts w:ascii="Arial" w:cs="Arial" w:eastAsia="Arial" w:hAnsi="Arial"/>
          <w:sz w:val="16"/>
          <w:szCs w:val="16"/>
          <w:color w:val="auto"/>
        </w:rPr>
      </w:pPr>
    </w:p>
    <w:p>
      <w:pPr>
        <w:ind w:left="540" w:right="500" w:firstLine="408"/>
        <w:spacing w:after="0" w:line="308" w:lineRule="auto"/>
        <w:tabs>
          <w:tab w:leader="none" w:pos="1331" w:val="left"/>
        </w:tabs>
        <w:numPr>
          <w:ilvl w:val="1"/>
          <w:numId w:val="453"/>
        </w:numPr>
        <w:rPr>
          <w:rFonts w:ascii="Arial" w:cs="Arial" w:eastAsia="Arial" w:hAnsi="Arial"/>
          <w:sz w:val="17"/>
          <w:szCs w:val="17"/>
          <w:color w:val="auto"/>
        </w:rPr>
      </w:pPr>
      <w:r>
        <w:rPr>
          <w:rFonts w:ascii="Arial" w:cs="Arial" w:eastAsia="Arial" w:hAnsi="Arial"/>
          <w:sz w:val="17"/>
          <w:szCs w:val="17"/>
          <w:color w:val="auto"/>
        </w:rPr>
        <w:t>purchase, redeem or otherwise acquire or retire for value (including, without limitation, in connection with any merger or consolidation involving the Company) any Equity Interests of the Company or any of its direct or indirect parents;</w:t>
      </w:r>
    </w:p>
    <w:p>
      <w:pPr>
        <w:spacing w:after="0" w:line="38" w:lineRule="exact"/>
        <w:rPr>
          <w:rFonts w:ascii="Arial" w:cs="Arial" w:eastAsia="Arial" w:hAnsi="Arial"/>
          <w:sz w:val="17"/>
          <w:szCs w:val="17"/>
          <w:color w:val="auto"/>
        </w:rPr>
      </w:pPr>
    </w:p>
    <w:p>
      <w:pPr>
        <w:ind w:left="540" w:right="40" w:firstLine="408"/>
        <w:spacing w:after="0" w:line="311" w:lineRule="auto"/>
        <w:tabs>
          <w:tab w:leader="none" w:pos="1331" w:val="left"/>
        </w:tabs>
        <w:numPr>
          <w:ilvl w:val="1"/>
          <w:numId w:val="453"/>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Subordinated Indebtedness of the Company or any Subsidiary Guarantor (excluding any intercompany Indebtedness between or among the Company and any of its Restricted Subsidiaries), except a payment of interest or principal at the Stated Maturity thereof; or</w:t>
      </w:r>
    </w:p>
    <w:p>
      <w:pPr>
        <w:spacing w:after="0" w:line="40" w:lineRule="exact"/>
        <w:rPr>
          <w:rFonts w:ascii="Arial" w:cs="Arial" w:eastAsia="Arial" w:hAnsi="Arial"/>
          <w:sz w:val="16"/>
          <w:szCs w:val="16"/>
          <w:color w:val="auto"/>
        </w:rPr>
      </w:pPr>
    </w:p>
    <w:p>
      <w:pPr>
        <w:ind w:left="1380" w:hanging="432"/>
        <w:spacing w:after="0"/>
        <w:tabs>
          <w:tab w:leader="none" w:pos="138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(all such payments and other actions set forth in clauses (1) through (4) above being collectively referred to as “</w:t>
      </w:r>
      <w:r>
        <w:rPr>
          <w:rFonts w:ascii="Arial" w:cs="Arial" w:eastAsia="Arial" w:hAnsi="Arial"/>
          <w:sz w:val="16"/>
          <w:szCs w:val="16"/>
          <w:i w:val="1"/>
          <w:iCs w:val="1"/>
          <w:color w:val="auto"/>
        </w:rPr>
        <w:t>Restricted Payments</w:t>
      </w:r>
      <w:r>
        <w:rPr>
          <w:rFonts w:ascii="Arial" w:cs="Arial" w:eastAsia="Arial" w:hAnsi="Arial"/>
          <w:sz w:val="16"/>
          <w:szCs w:val="16"/>
          <w:color w:val="auto"/>
        </w:rPr>
        <w: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117" w:lineRule="exact"/>
        <w:rPr>
          <w:sz w:val="20"/>
          <w:szCs w:val="20"/>
          <w:color w:val="auto"/>
        </w:rPr>
      </w:pPr>
    </w:p>
    <w:p>
      <w:pPr>
        <w:ind w:left="1800" w:hanging="429"/>
        <w:spacing w:after="0"/>
        <w:tabs>
          <w:tab w:leader="none" w:pos="180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or would occur as a consequence thereof;</w:t>
      </w:r>
    </w:p>
    <w:p>
      <w:pPr>
        <w:spacing w:after="0" w:line="128" w:lineRule="exact"/>
        <w:rPr>
          <w:rFonts w:ascii="Arial" w:cs="Arial" w:eastAsia="Arial" w:hAnsi="Arial"/>
          <w:sz w:val="17"/>
          <w:szCs w:val="17"/>
          <w:color w:val="auto"/>
        </w:rPr>
      </w:pPr>
    </w:p>
    <w:p>
      <w:pPr>
        <w:ind w:left="980" w:firstLine="391"/>
        <w:spacing w:after="0" w:line="286" w:lineRule="auto"/>
        <w:tabs>
          <w:tab w:leader="none" w:pos="1783" w:val="left"/>
        </w:tabs>
        <w:numPr>
          <w:ilvl w:val="0"/>
          <w:numId w:val="454"/>
        </w:numPr>
        <w:rPr>
          <w:rFonts w:ascii="Arial" w:cs="Arial" w:eastAsia="Arial" w:hAnsi="Arial"/>
          <w:sz w:val="17"/>
          <w:szCs w:val="17"/>
          <w:color w:val="auto"/>
        </w:rPr>
      </w:pPr>
      <w:r>
        <w:rPr>
          <w:rFonts w:ascii="Arial" w:cs="Arial" w:eastAsia="Arial" w:hAnsi="Arial"/>
          <w:sz w:val="17"/>
          <w:szCs w:val="17"/>
          <w:color w:val="auto"/>
        </w:rPr>
        <w:t xml:space="preserve">the Company would, at the time of such Restricted Payment and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as if such Restricted Payment had been made at the beginning of the applicable four-quarter period, have been permitted to Incur at least US$1.00 of additional Indebtedness pursuant to the Fixed Charge Coverage Ratio test set forth in Section 4.09(a) hereof; and</w:t>
      </w:r>
    </w:p>
    <w:p>
      <w:pPr>
        <w:spacing w:after="0" w:line="57" w:lineRule="exact"/>
        <w:rPr>
          <w:rFonts w:ascii="Arial" w:cs="Arial" w:eastAsia="Arial" w:hAnsi="Arial"/>
          <w:sz w:val="17"/>
          <w:szCs w:val="17"/>
          <w:color w:val="auto"/>
        </w:rPr>
      </w:pPr>
    </w:p>
    <w:p>
      <w:pPr>
        <w:ind w:left="980" w:right="20" w:firstLine="391"/>
        <w:spacing w:after="0" w:line="263" w:lineRule="auto"/>
        <w:tabs>
          <w:tab w:leader="none" w:pos="1783"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since the Measurement Date (excluding Restricted Payments permitted by clauses (2) through (12) of Section 4.07(b)) pursuant to this Indenture, is less than the sum of:</w:t>
      </w:r>
    </w:p>
    <w:p>
      <w:pPr>
        <w:spacing w:after="0" w:line="75" w:lineRule="exact"/>
        <w:rPr>
          <w:rFonts w:ascii="Arial" w:cs="Arial" w:eastAsia="Arial" w:hAnsi="Arial"/>
          <w:sz w:val="18"/>
          <w:szCs w:val="18"/>
          <w:color w:val="auto"/>
        </w:rPr>
      </w:pPr>
    </w:p>
    <w:p>
      <w:pPr>
        <w:ind w:left="1540" w:right="40" w:firstLine="360"/>
        <w:spacing w:after="0" w:line="259" w:lineRule="auto"/>
        <w:tabs>
          <w:tab w:leader="none" w:pos="2296" w:val="left"/>
        </w:tabs>
        <w:numPr>
          <w:ilvl w:val="1"/>
          <w:numId w:val="454"/>
        </w:numPr>
        <w:rPr>
          <w:rFonts w:ascii="Arial" w:cs="Arial" w:eastAsia="Arial" w:hAnsi="Arial"/>
          <w:sz w:val="18"/>
          <w:szCs w:val="18"/>
          <w:color w:val="auto"/>
        </w:rPr>
      </w:pPr>
      <w:r>
        <w:rPr>
          <w:rFonts w:ascii="Arial" w:cs="Arial" w:eastAsia="Arial" w:hAnsi="Arial"/>
          <w:sz w:val="18"/>
          <w:szCs w:val="18"/>
          <w:color w:val="auto"/>
        </w:rPr>
        <w:t xml:space="preserve">75% of the EBITDA of the Company </w:t>
      </w:r>
      <w:r>
        <w:rPr>
          <w:rFonts w:ascii="Arial" w:cs="Arial" w:eastAsia="Arial" w:hAnsi="Arial"/>
          <w:sz w:val="18"/>
          <w:szCs w:val="18"/>
          <w:i w:val="1"/>
          <w:iCs w:val="1"/>
          <w:color w:val="auto"/>
        </w:rPr>
        <w:t>less</w:t>
      </w:r>
      <w:r>
        <w:rPr>
          <w:rFonts w:ascii="Arial" w:cs="Arial" w:eastAsia="Arial" w:hAnsi="Arial"/>
          <w:sz w:val="18"/>
          <w:szCs w:val="18"/>
          <w:color w:val="auto"/>
        </w:rPr>
        <w:t xml:space="preserve"> 2.00 times Fixed Charges for the period (taken as one accounting period) from January 1, 2019 to the end of the Company’s most recently ended fiscal quarter for which internal financial statements are available at the time of such Restricted Payment (or, if such EBITDA for such period is a deficit, </w:t>
      </w:r>
      <w:r>
        <w:rPr>
          <w:rFonts w:ascii="Arial" w:cs="Arial" w:eastAsia="Arial" w:hAnsi="Arial"/>
          <w:sz w:val="18"/>
          <w:szCs w:val="18"/>
          <w:i w:val="1"/>
          <w:iCs w:val="1"/>
          <w:color w:val="auto"/>
        </w:rPr>
        <w:t>minus</w:t>
      </w:r>
      <w:r>
        <w:rPr>
          <w:rFonts w:ascii="Arial" w:cs="Arial" w:eastAsia="Arial" w:hAnsi="Arial"/>
          <w:sz w:val="18"/>
          <w:szCs w:val="18"/>
          <w:color w:val="auto"/>
        </w:rPr>
        <w:t xml:space="preserve"> 100% of such deficit);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ind w:left="1540" w:right="40" w:firstLine="360"/>
        <w:spacing w:after="0" w:line="255" w:lineRule="auto"/>
        <w:tabs>
          <w:tab w:leader="none" w:pos="2346" w:val="left"/>
        </w:tabs>
        <w:numPr>
          <w:ilvl w:val="1"/>
          <w:numId w:val="454"/>
        </w:numPr>
        <w:rPr>
          <w:rFonts w:ascii="Arial" w:cs="Arial" w:eastAsia="Arial" w:hAnsi="Arial"/>
          <w:sz w:val="18"/>
          <w:szCs w:val="18"/>
          <w:color w:val="auto"/>
        </w:rPr>
      </w:pPr>
      <w:r>
        <w:rPr>
          <w:rFonts w:ascii="Arial" w:cs="Arial" w:eastAsia="Arial" w:hAnsi="Arial"/>
          <w:sz w:val="18"/>
          <w:szCs w:val="18"/>
          <w:color w:val="auto"/>
        </w:rPr>
        <w:t xml:space="preserve">100% of the aggregate net cash proceeds received by the Company since the Measurement Date as a contribution to its common equity capital or from the issue or sale of Equity Interests (other than Disqualified Stock) of the Company (in each case, other than in connection with any Excluded Contribution) or from the issue or sale of convertible or exchangeable Disqualified Stock or convertible or exchangeable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60"/>
          </w:cols>
          <w:pgMar w:left="880" w:top="274" w:right="459" w:bottom="1440" w:gutter="0" w:footer="0" w:header="0"/>
        </w:sectPr>
      </w:pPr>
    </w:p>
    <w:bookmarkStart w:id="393" w:name="page394"/>
    <w:bookmarkEnd w:id="393"/>
    <w:p>
      <w:pPr>
        <w:ind w:left="993" w:right="80" w:firstLine="360"/>
        <w:spacing w:after="0" w:line="286" w:lineRule="auto"/>
        <w:tabs>
          <w:tab w:leader="none" w:pos="1848" w:val="left"/>
        </w:tabs>
        <w:numPr>
          <w:ilvl w:val="1"/>
          <w:numId w:val="4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Restricted Investment that was made after the Measurement Date (x) is reduced as a result of payments of dividends to the Company or a Restricted Subsidiary of the Company or (y) is sold for cash or otherwise liquidated or repaid for cash, (in the case of sub-clauses (x) and (y)) the lesser of (i) the cash return of capital with respect to such Restricted Investment (less the cost of disposition, if any) and (ii) the initial amount of such Restricted Investment or</w:t>
      </w:r>
    </w:p>
    <w:p>
      <w:pPr>
        <w:spacing w:after="0" w:line="1" w:lineRule="exact"/>
        <w:rPr>
          <w:rFonts w:ascii="Arial" w:cs="Arial" w:eastAsia="Arial" w:hAnsi="Arial"/>
          <w:sz w:val="16"/>
          <w:szCs w:val="16"/>
          <w:color w:val="auto"/>
        </w:rPr>
      </w:pPr>
    </w:p>
    <w:p>
      <w:pPr>
        <w:ind w:left="993" w:right="80" w:hanging="1"/>
        <w:spacing w:after="0" w:line="255" w:lineRule="auto"/>
        <w:tabs>
          <w:tab w:leader="none" w:pos="1237"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is reduced upon the release of a Note Guarantee granted by the Company or a Restricted Subsidiary of the Company that constituted a Restricted Investment, to the extent that the initial granting of such Note Guarantee reduced the restricted payments capacity under Section 4.07(a)(4)(C); </w:t>
      </w:r>
      <w:r>
        <w:rPr>
          <w:rFonts w:ascii="Arial" w:cs="Arial" w:eastAsia="Arial" w:hAnsi="Arial"/>
          <w:sz w:val="18"/>
          <w:szCs w:val="18"/>
          <w:i w:val="1"/>
          <w:iCs w:val="1"/>
          <w:color w:val="auto"/>
        </w:rPr>
        <w:t>plus</w:t>
      </w:r>
    </w:p>
    <w:p>
      <w:pPr>
        <w:spacing w:after="0" w:line="82" w:lineRule="exact"/>
        <w:rPr>
          <w:sz w:val="20"/>
          <w:szCs w:val="20"/>
          <w:color w:val="auto"/>
        </w:rPr>
      </w:pPr>
    </w:p>
    <w:p>
      <w:pPr>
        <w:ind w:left="993" w:right="20" w:firstLine="360"/>
        <w:spacing w:after="0" w:line="255" w:lineRule="auto"/>
        <w:tabs>
          <w:tab w:leader="none" w:pos="1838" w:val="left"/>
        </w:tabs>
        <w:numPr>
          <w:ilvl w:val="2"/>
          <w:numId w:val="457"/>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the Company designated as such after the Measurement Date is re- designated as a Restricted Subsidiary after the Measurement Date, the lesser of (i) the Fair Market Value of the Company’s Restricted Investment in such Subsidiary as of the date of such re-designation or (ii) the Fair Market Value of the net aggregate Investments made by the Company or a Restricted Subsidiary of the Company in such Unrestricted Subsidiary from the date such entity was originally designated as an Unrestricted Subsidiary through the date of such re-designation;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993" w:right="40" w:firstLine="360"/>
        <w:spacing w:after="0" w:line="263" w:lineRule="auto"/>
        <w:tabs>
          <w:tab w:leader="none" w:pos="1788" w:val="left"/>
        </w:tabs>
        <w:numPr>
          <w:ilvl w:val="2"/>
          <w:numId w:val="457"/>
        </w:numPr>
        <w:rPr>
          <w:rFonts w:ascii="Arial" w:cs="Arial" w:eastAsia="Arial" w:hAnsi="Arial"/>
          <w:sz w:val="18"/>
          <w:szCs w:val="18"/>
          <w:color w:val="auto"/>
        </w:rPr>
      </w:pPr>
      <w:r>
        <w:rPr>
          <w:rFonts w:ascii="Arial" w:cs="Arial" w:eastAsia="Arial" w:hAnsi="Arial"/>
          <w:sz w:val="18"/>
          <w:szCs w:val="18"/>
          <w:color w:val="auto"/>
        </w:rPr>
        <w:t>100% of the aggregate amount received from the sale of the stock of any Unrestricted Subsidiary of the Company after the Measurement Date or 100% of any dividends received by the Company or a Restricted Subsidiary of the Company after the Measurement Date from an Unrestricted Subsidiary of the Company.</w:t>
      </w:r>
    </w:p>
    <w:p>
      <w:pPr>
        <w:spacing w:after="0" w:line="183" w:lineRule="exact"/>
        <w:rPr>
          <w:rFonts w:ascii="Arial" w:cs="Arial" w:eastAsia="Arial" w:hAnsi="Arial"/>
          <w:sz w:val="18"/>
          <w:szCs w:val="18"/>
          <w:color w:val="auto"/>
        </w:rPr>
      </w:pPr>
    </w:p>
    <w:p>
      <w:pPr>
        <w:ind w:left="433" w:hanging="433"/>
        <w:spacing w:after="0"/>
        <w:tabs>
          <w:tab w:leader="none" w:pos="43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provisions of Section 4.07(a) hereof will not prohibit:</w:t>
      </w:r>
    </w:p>
    <w:p>
      <w:pPr>
        <w:spacing w:after="0" w:line="117" w:lineRule="exact"/>
        <w:rPr>
          <w:rFonts w:ascii="Arial" w:cs="Arial" w:eastAsia="Arial" w:hAnsi="Arial"/>
          <w:sz w:val="18"/>
          <w:szCs w:val="18"/>
          <w:color w:val="auto"/>
        </w:rPr>
      </w:pPr>
    </w:p>
    <w:p>
      <w:pPr>
        <w:ind w:left="-7" w:right="60" w:firstLine="408"/>
        <w:spacing w:after="0" w:line="263" w:lineRule="auto"/>
        <w:tabs>
          <w:tab w:leader="none" w:pos="783" w:val="left"/>
        </w:tabs>
        <w:numPr>
          <w:ilvl w:val="1"/>
          <w:numId w:val="458"/>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75" w:lineRule="exact"/>
        <w:rPr>
          <w:rFonts w:ascii="Arial" w:cs="Arial" w:eastAsia="Arial" w:hAnsi="Arial"/>
          <w:sz w:val="18"/>
          <w:szCs w:val="18"/>
          <w:color w:val="auto"/>
        </w:rPr>
      </w:pPr>
    </w:p>
    <w:p>
      <w:pPr>
        <w:ind w:left="-7" w:firstLine="408"/>
        <w:spacing w:after="0" w:line="257" w:lineRule="auto"/>
        <w:tabs>
          <w:tab w:leader="none" w:pos="783"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of the substantially concurrent sale (other than to a Subsidiary of the Company) of, Equity Interests of the Company (other than Disqualified Stock) or from the substantially concurrent contribution of common equity capital to the Company (in each case, other than in connection with any Excluded Contribution);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net cash proceeds that are utilized for any such Restricted Payment will be excluded from Section 4.07(a)(4)(C)(ii) hereof;</w:t>
      </w:r>
    </w:p>
    <w:p>
      <w:pPr>
        <w:spacing w:after="0" w:line="79" w:lineRule="exact"/>
        <w:rPr>
          <w:rFonts w:ascii="Arial" w:cs="Arial" w:eastAsia="Arial" w:hAnsi="Arial"/>
          <w:sz w:val="18"/>
          <w:szCs w:val="18"/>
          <w:color w:val="auto"/>
        </w:rPr>
      </w:pPr>
    </w:p>
    <w:p>
      <w:pPr>
        <w:ind w:left="-7" w:right="320" w:firstLine="408"/>
        <w:spacing w:after="0" w:line="263" w:lineRule="auto"/>
        <w:tabs>
          <w:tab w:leader="none" w:pos="783" w:val="left"/>
        </w:tabs>
        <w:numPr>
          <w:ilvl w:val="1"/>
          <w:numId w:val="458"/>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Subordinated Indebtedness of the Company or any Subsidiary Guarantor with the net cash proceeds from a substantially concurrent Incurrence of Permitted Refinancing Indebtedness;</w:t>
      </w:r>
    </w:p>
    <w:p>
      <w:pPr>
        <w:spacing w:after="0" w:line="75" w:lineRule="exact"/>
        <w:rPr>
          <w:rFonts w:ascii="Arial" w:cs="Arial" w:eastAsia="Arial" w:hAnsi="Arial"/>
          <w:sz w:val="18"/>
          <w:szCs w:val="18"/>
          <w:color w:val="auto"/>
        </w:rPr>
      </w:pPr>
    </w:p>
    <w:p>
      <w:pPr>
        <w:ind w:left="-7" w:right="440" w:firstLine="408"/>
        <w:spacing w:after="0" w:line="277" w:lineRule="auto"/>
        <w:tabs>
          <w:tab w:leader="none" w:pos="828"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xml:space="preserve">the payment of any dividend (or, in the case of any partnership or limited liability company, any similar distribution) by a Restricted Subsidiary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103"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13"/>
          </w:cols>
          <w:pgMar w:left="1427" w:top="274" w:right="459" w:bottom="1440" w:gutter="0" w:footer="0" w:header="0"/>
        </w:sectPr>
      </w:pPr>
    </w:p>
    <w:bookmarkStart w:id="394" w:name="page395"/>
    <w:bookmarkEnd w:id="394"/>
    <w:p>
      <w:pPr>
        <w:ind w:firstLine="408"/>
        <w:spacing w:after="0" w:line="286" w:lineRule="auto"/>
        <w:tabs>
          <w:tab w:leader="none" w:pos="791" w:val="left"/>
        </w:tabs>
        <w:numPr>
          <w:ilvl w:val="0"/>
          <w:numId w:val="4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repurchase, redemption or other acquisition or retirement for value of any Equity Interests of the Company or any Restricted Subsidiary of the Company held by any current or former officer, director or employee of the Company or any of its Restricted Subsidiaries pursuant to any equity subscription agreement, stock option agreement, shareholders’ agreement or similar agreement;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the aggregate price paid for all such repurchased, redeemed, acquired or retired Equity Interests may not exceed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US$1.0 million in any twelve-month period;</w:t>
      </w:r>
    </w:p>
    <w:p>
      <w:pPr>
        <w:spacing w:after="0" w:line="102" w:lineRule="exact"/>
        <w:rPr>
          <w:rFonts w:ascii="Arial" w:cs="Arial" w:eastAsia="Arial" w:hAnsi="Arial"/>
          <w:sz w:val="16"/>
          <w:szCs w:val="16"/>
          <w:color w:val="auto"/>
        </w:rPr>
      </w:pPr>
    </w:p>
    <w:p>
      <w:pPr>
        <w:ind w:right="580" w:firstLine="408"/>
        <w:spacing w:after="0" w:line="277" w:lineRule="auto"/>
        <w:tabs>
          <w:tab w:leader="none" w:pos="791"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62" w:lineRule="exact"/>
        <w:rPr>
          <w:rFonts w:ascii="Arial" w:cs="Arial" w:eastAsia="Arial" w:hAnsi="Arial"/>
          <w:sz w:val="18"/>
          <w:szCs w:val="18"/>
          <w:color w:val="auto"/>
        </w:rPr>
      </w:pPr>
    </w:p>
    <w:p>
      <w:pPr>
        <w:ind w:right="100" w:firstLine="408"/>
        <w:spacing w:after="0" w:line="263" w:lineRule="auto"/>
        <w:tabs>
          <w:tab w:leader="none" w:pos="791"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the Company or any Restricted Subsidiary of the Company issued on or after the Issue Date in accordance with the Fixed Charge Coverage Ratio test described in Section 4.09(a) hereof;</w:t>
      </w:r>
    </w:p>
    <w:p>
      <w:pPr>
        <w:spacing w:after="0" w:line="75" w:lineRule="exact"/>
        <w:rPr>
          <w:rFonts w:ascii="Arial" w:cs="Arial" w:eastAsia="Arial" w:hAnsi="Arial"/>
          <w:sz w:val="18"/>
          <w:szCs w:val="18"/>
          <w:color w:val="auto"/>
        </w:rPr>
      </w:pPr>
    </w:p>
    <w:p>
      <w:pPr>
        <w:ind w:right="600" w:firstLine="408"/>
        <w:spacing w:after="0" w:line="308" w:lineRule="auto"/>
        <w:tabs>
          <w:tab w:leader="none" w:pos="791" w:val="left"/>
        </w:tabs>
        <w:numPr>
          <w:ilvl w:val="0"/>
          <w:numId w:val="459"/>
        </w:numPr>
        <w:rPr>
          <w:rFonts w:ascii="Arial" w:cs="Arial" w:eastAsia="Arial" w:hAnsi="Arial"/>
          <w:sz w:val="17"/>
          <w:szCs w:val="17"/>
          <w:color w:val="auto"/>
        </w:rPr>
      </w:pPr>
      <w:r>
        <w:rPr>
          <w:rFonts w:ascii="Arial" w:cs="Arial" w:eastAsia="Arial" w:hAnsi="Arial"/>
          <w:sz w:val="17"/>
          <w:szCs w:val="17"/>
          <w:color w:val="auto"/>
        </w:rPr>
        <w:t>any Restricted Payment made or deemed to be made by the Company or a Restricted Subsidiary of the Company under, pursuant to or in connection with the Services and Right to Use Agreement, the Reinvestment Agreement or the MSA;</w:t>
      </w:r>
    </w:p>
    <w:p>
      <w:pPr>
        <w:spacing w:after="0" w:line="38" w:lineRule="exact"/>
        <w:rPr>
          <w:rFonts w:ascii="Arial" w:cs="Arial" w:eastAsia="Arial" w:hAnsi="Arial"/>
          <w:sz w:val="17"/>
          <w:szCs w:val="17"/>
          <w:color w:val="auto"/>
        </w:rPr>
      </w:pPr>
    </w:p>
    <w:p>
      <w:pPr>
        <w:ind w:left="840" w:hanging="432"/>
        <w:spacing w:after="0"/>
        <w:tabs>
          <w:tab w:leader="none" w:pos="8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40" w:hanging="532"/>
        <w:spacing w:after="0"/>
        <w:tabs>
          <w:tab w:leader="none" w:pos="9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117" w:lineRule="exact"/>
        <w:rPr>
          <w:rFonts w:ascii="Arial" w:cs="Arial" w:eastAsia="Arial" w:hAnsi="Arial"/>
          <w:sz w:val="18"/>
          <w:szCs w:val="18"/>
          <w:color w:val="auto"/>
        </w:rPr>
      </w:pPr>
    </w:p>
    <w:p>
      <w:pPr>
        <w:ind w:right="20" w:firstLine="408"/>
        <w:spacing w:after="0" w:line="263" w:lineRule="auto"/>
        <w:tabs>
          <w:tab w:leader="none" w:pos="919" w:val="left"/>
        </w:tabs>
        <w:numPr>
          <w:ilvl w:val="0"/>
          <w:numId w:val="459"/>
        </w:numPr>
        <w:rPr>
          <w:rFonts w:ascii="Arial" w:cs="Arial" w:eastAsia="Arial" w:hAnsi="Arial"/>
          <w:sz w:val="18"/>
          <w:szCs w:val="18"/>
          <w:color w:val="auto"/>
        </w:rPr>
      </w:pPr>
      <w:r>
        <w:rPr>
          <w:rFonts w:ascii="Arial" w:cs="Arial" w:eastAsia="Arial" w:hAnsi="Arial"/>
          <w:sz w:val="18"/>
          <w:szCs w:val="18"/>
          <w:color w:val="auto"/>
        </w:rPr>
        <w:t>payments to any parent entity in respect of directors’ fees, remuneration and expenses (including director and officer insurance (including premiums therefore)) to the extent relating to the Company and its Subsidiaries, in an aggregate amount not to exceed US$2.0 million per annum;</w:t>
      </w:r>
    </w:p>
    <w:p>
      <w:pPr>
        <w:spacing w:after="0" w:line="75" w:lineRule="exact"/>
        <w:rPr>
          <w:rFonts w:ascii="Arial" w:cs="Arial" w:eastAsia="Arial" w:hAnsi="Arial"/>
          <w:sz w:val="18"/>
          <w:szCs w:val="18"/>
          <w:color w:val="auto"/>
        </w:rPr>
      </w:pPr>
    </w:p>
    <w:p>
      <w:pPr>
        <w:ind w:left="940" w:hanging="532"/>
        <w:spacing w:after="0"/>
        <w:tabs>
          <w:tab w:leader="none" w:pos="9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making of Restricted Payments, if applicable:</w:t>
      </w:r>
    </w:p>
    <w:p>
      <w:pPr>
        <w:spacing w:after="0" w:line="117" w:lineRule="exact"/>
        <w:rPr>
          <w:rFonts w:ascii="Arial" w:cs="Arial" w:eastAsia="Arial" w:hAnsi="Arial"/>
          <w:sz w:val="18"/>
          <w:szCs w:val="18"/>
          <w:color w:val="auto"/>
        </w:rPr>
      </w:pPr>
    </w:p>
    <w:p>
      <w:pPr>
        <w:ind w:left="440" w:right="80" w:firstLine="391"/>
        <w:spacing w:after="0" w:line="285" w:lineRule="auto"/>
        <w:tabs>
          <w:tab w:leader="none" w:pos="1253" w:val="left"/>
        </w:tabs>
        <w:numPr>
          <w:ilvl w:val="1"/>
          <w:numId w:val="459"/>
        </w:numPr>
        <w:rPr>
          <w:rFonts w:ascii="Arial" w:cs="Arial" w:eastAsia="Arial" w:hAnsi="Arial"/>
          <w:sz w:val="16"/>
          <w:szCs w:val="16"/>
          <w:color w:val="auto"/>
        </w:rPr>
      </w:pPr>
      <w:r>
        <w:rPr>
          <w:rFonts w:ascii="Arial" w:cs="Arial" w:eastAsia="Arial" w:hAnsi="Arial"/>
          <w:sz w:val="16"/>
          <w:szCs w:val="16"/>
          <w:color w:val="auto"/>
        </w:rPr>
        <w:t>in amounts required for any direct or indirect parent of the Company to pay fees and expenses (including franchise or similar taxes) required to maintain its corporate existence, customary salary, bonus and other benefits payable to, and indemnities provided on behalf of, officers and employees of any direct or indirect parent of the Company and general corporate operating and overhead expenses of any direct or indirect parent of the Company in each case to the extent such fees and expenses are attributable to the ownership or operation of the Company, if applicable, and its Subsidiaries, in an aggregate amount not to exceed</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US$2.0 million per annum;</w:t>
      </w:r>
    </w:p>
    <w:p>
      <w:pPr>
        <w:spacing w:after="0" w:line="102" w:lineRule="exact"/>
        <w:rPr>
          <w:rFonts w:ascii="Arial" w:cs="Arial" w:eastAsia="Arial" w:hAnsi="Arial"/>
          <w:sz w:val="16"/>
          <w:szCs w:val="16"/>
          <w:color w:val="auto"/>
        </w:rPr>
      </w:pPr>
    </w:p>
    <w:p>
      <w:pPr>
        <w:jc w:val="both"/>
        <w:ind w:left="440" w:right="280" w:firstLine="391"/>
        <w:spacing w:after="0" w:line="301" w:lineRule="auto"/>
        <w:tabs>
          <w:tab w:leader="none" w:pos="1288" w:val="left"/>
        </w:tabs>
        <w:numPr>
          <w:ilvl w:val="1"/>
          <w:numId w:val="459"/>
        </w:numPr>
        <w:rPr>
          <w:rFonts w:ascii="Arial" w:cs="Arial" w:eastAsia="Arial" w:hAnsi="Arial"/>
          <w:sz w:val="16"/>
          <w:szCs w:val="16"/>
          <w:color w:val="auto"/>
        </w:rPr>
      </w:pPr>
      <w:r>
        <w:rPr>
          <w:rFonts w:ascii="Arial" w:cs="Arial" w:eastAsia="Arial" w:hAnsi="Arial"/>
          <w:sz w:val="16"/>
          <w:szCs w:val="16"/>
          <w:color w:val="auto"/>
        </w:rPr>
        <w:t xml:space="preserve">in amounts required for any direct or indirect parent of the Company, if applicable, to pay interest and/or principal on Indebtedness the proceeds of which have been contributed to the Company or any of its Restricted Subsidiaries prior to the Issue Date and that has been guaranteed by, or is otherwise considered Indebtedness of, the Company Incurred in accordance with Section 4.09;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amount of any such proceeds will be excluded from Section 4.07(a)(4)(C)(ii);</w:t>
      </w:r>
    </w:p>
    <w:p>
      <w:pPr>
        <w:spacing w:after="0" w:line="49" w:lineRule="exact"/>
        <w:rPr>
          <w:rFonts w:ascii="Arial" w:cs="Arial" w:eastAsia="Arial" w:hAnsi="Arial"/>
          <w:sz w:val="16"/>
          <w:szCs w:val="16"/>
          <w:color w:val="auto"/>
        </w:rPr>
      </w:pPr>
    </w:p>
    <w:p>
      <w:pPr>
        <w:ind w:left="440" w:right="80" w:firstLine="391"/>
        <w:spacing w:after="0" w:line="277" w:lineRule="auto"/>
        <w:tabs>
          <w:tab w:leader="none" w:pos="1243" w:val="left"/>
        </w:tabs>
        <w:numPr>
          <w:ilvl w:val="1"/>
          <w:numId w:val="459"/>
        </w:numPr>
        <w:rPr>
          <w:rFonts w:ascii="Arial" w:cs="Arial" w:eastAsia="Arial" w:hAnsi="Arial"/>
          <w:sz w:val="18"/>
          <w:szCs w:val="18"/>
          <w:color w:val="auto"/>
        </w:rPr>
      </w:pPr>
      <w:r>
        <w:rPr>
          <w:rFonts w:ascii="Arial" w:cs="Arial" w:eastAsia="Arial" w:hAnsi="Arial"/>
          <w:sz w:val="18"/>
          <w:szCs w:val="18"/>
          <w:color w:val="auto"/>
        </w:rPr>
        <w:t>in amounts required for any direct or indirect parent of the Company to pay fees and expenses, other than to Affiliates of the Company, related to any unsuccessful equity or debt offering of such parent; and</w:t>
      </w:r>
    </w:p>
    <w:p>
      <w:pPr>
        <w:spacing w:after="0" w:line="62" w:lineRule="exact"/>
        <w:rPr>
          <w:rFonts w:ascii="Arial" w:cs="Arial" w:eastAsia="Arial" w:hAnsi="Arial"/>
          <w:sz w:val="18"/>
          <w:szCs w:val="18"/>
          <w:color w:val="auto"/>
        </w:rPr>
      </w:pPr>
    </w:p>
    <w:p>
      <w:pPr>
        <w:ind w:left="440" w:right="680" w:firstLine="391"/>
        <w:spacing w:after="0" w:line="277" w:lineRule="auto"/>
        <w:tabs>
          <w:tab w:leader="none" w:pos="1253" w:val="left"/>
        </w:tabs>
        <w:numPr>
          <w:ilvl w:val="1"/>
          <w:numId w:val="459"/>
        </w:numPr>
        <w:rPr>
          <w:rFonts w:ascii="Arial" w:cs="Arial" w:eastAsia="Arial" w:hAnsi="Arial"/>
          <w:sz w:val="18"/>
          <w:szCs w:val="18"/>
          <w:color w:val="auto"/>
        </w:rPr>
      </w:pPr>
      <w:r>
        <w:rPr>
          <w:rFonts w:ascii="Arial" w:cs="Arial" w:eastAsia="Arial" w:hAnsi="Arial"/>
          <w:sz w:val="18"/>
          <w:szCs w:val="18"/>
          <w:color w:val="auto"/>
        </w:rPr>
        <w:t>payments for services under any Revenue Sharing Agreement that would constitute or be deemed to constitute a Restricted Payment;</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020"/>
          </w:cols>
          <w:pgMar w:left="1420" w:top="274" w:right="459" w:bottom="1440" w:gutter="0" w:footer="0" w:header="0"/>
        </w:sectPr>
      </w:pPr>
    </w:p>
    <w:bookmarkStart w:id="395" w:name="page396"/>
    <w:bookmarkEnd w:id="395"/>
    <w:p>
      <w:pPr>
        <w:ind w:left="980" w:right="20" w:firstLine="408"/>
        <w:spacing w:after="0" w:line="275" w:lineRule="auto"/>
        <w:tabs>
          <w:tab w:leader="none" w:pos="1860" w:val="left"/>
        </w:tabs>
        <w:numPr>
          <w:ilvl w:val="0"/>
          <w:numId w:val="4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Restricted Payment used to fund the Transactions and the payment of fees and expenses incurred in connection with the Transactions or owed by the Company or any direct or indirect parent of the Company or its Restricted Subsidiaries to Affiliates, and any other payments made, including any such payments made to any direct or indirect parent of the Company to enable it to make payments, in connection with the consummation of the Transactions, whether payable on the Issue Date or thereafter, in each case on terms described in the Offering Memorandum under “Use of Proceeds” and to the extent permitted by Section 4.11;</w:t>
      </w:r>
    </w:p>
    <w:p>
      <w:pPr>
        <w:spacing w:after="0" w:line="68" w:lineRule="exact"/>
        <w:rPr>
          <w:rFonts w:ascii="Arial" w:cs="Arial" w:eastAsia="Arial" w:hAnsi="Arial"/>
          <w:sz w:val="17"/>
          <w:szCs w:val="17"/>
          <w:color w:val="auto"/>
        </w:rPr>
      </w:pPr>
    </w:p>
    <w:p>
      <w:pPr>
        <w:ind w:left="980" w:right="40" w:firstLine="408"/>
        <w:spacing w:after="0" w:line="277" w:lineRule="auto"/>
        <w:tabs>
          <w:tab w:leader="none" w:pos="18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any Restricted Payments, to the extent required to be made by any Gaming Authority having jurisdiction over the Company or any of its Restricted Subsidiaries or Melco Resorts Macau (or any other operator of the Studio City Casino);</w:t>
      </w:r>
    </w:p>
    <w:p>
      <w:pPr>
        <w:spacing w:after="0" w:line="62" w:lineRule="exact"/>
        <w:rPr>
          <w:rFonts w:ascii="Arial" w:cs="Arial" w:eastAsia="Arial" w:hAnsi="Arial"/>
          <w:sz w:val="18"/>
          <w:szCs w:val="18"/>
          <w:color w:val="auto"/>
        </w:rPr>
      </w:pPr>
    </w:p>
    <w:p>
      <w:pPr>
        <w:ind w:left="980" w:right="300" w:firstLine="408"/>
        <w:spacing w:after="0" w:line="263" w:lineRule="auto"/>
        <w:tabs>
          <w:tab w:leader="none" w:pos="18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cash payments in lieu of the issuance of fractional shares in connection with the exercise of warrants, options or other securities convertible into or exchangeable for Capital Stock of the Company or any Restricted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cash payment shall not be for the purpose of evading the limitation of this Section 4.07;</w:t>
      </w:r>
    </w:p>
    <w:p>
      <w:pPr>
        <w:spacing w:after="0" w:line="75" w:lineRule="exact"/>
        <w:rPr>
          <w:rFonts w:ascii="Arial" w:cs="Arial" w:eastAsia="Arial" w:hAnsi="Arial"/>
          <w:sz w:val="18"/>
          <w:szCs w:val="18"/>
          <w:color w:val="auto"/>
        </w:rPr>
      </w:pPr>
    </w:p>
    <w:p>
      <w:pPr>
        <w:ind w:left="980" w:right="60" w:firstLine="408"/>
        <w:spacing w:after="0" w:line="311" w:lineRule="auto"/>
        <w:tabs>
          <w:tab w:leader="none" w:pos="186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Subordinated Indebtedness of the Company or any Subsidiary Guarantor pursuant to provisions similar to those described under Section 4.15,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all Notes tendered by holders of the Notes in connection with a Change of Control Offer have been repurchased, redeemed or acquired for value;</w:t>
      </w:r>
    </w:p>
    <w:p>
      <w:pPr>
        <w:spacing w:after="0" w:line="40" w:lineRule="exact"/>
        <w:rPr>
          <w:rFonts w:ascii="Arial" w:cs="Arial" w:eastAsia="Arial" w:hAnsi="Arial"/>
          <w:sz w:val="16"/>
          <w:szCs w:val="16"/>
          <w:color w:val="auto"/>
        </w:rPr>
      </w:pPr>
    </w:p>
    <w:p>
      <w:pPr>
        <w:ind w:left="980" w:firstLine="408"/>
        <w:spacing w:after="0" w:line="275" w:lineRule="auto"/>
        <w:tabs>
          <w:tab w:leader="none" w:pos="186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 xml:space="preserve">payments or distributions to dissenting stockholders of Capital Stock of the Company pursuant to applicable law in connection with a consolidation, merger or transfer of all or substantially all of the assets of the Company and its Restricted Subsidiaries, taken as a whole, that complies with Section 5.01;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as a result of such consolidation, merger or transfer of assets, the Company shall have made a Change of Control Offer (if required by this Indenture) and that all Notes tendered by holders in connection with such Change of Control Offer have been repurchased, redeemed or acquired for value; and</w:t>
      </w:r>
    </w:p>
    <w:p>
      <w:pPr>
        <w:spacing w:after="0" w:line="68" w:lineRule="exact"/>
        <w:rPr>
          <w:rFonts w:ascii="Arial" w:cs="Arial" w:eastAsia="Arial" w:hAnsi="Arial"/>
          <w:sz w:val="17"/>
          <w:szCs w:val="17"/>
          <w:color w:val="auto"/>
        </w:rPr>
      </w:pPr>
    </w:p>
    <w:p>
      <w:pPr>
        <w:ind w:left="1860" w:hanging="472"/>
        <w:spacing w:after="0"/>
        <w:tabs>
          <w:tab w:leader="none" w:pos="18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US$15.0 million since the Issue Date,</w:t>
      </w:r>
    </w:p>
    <w:p>
      <w:pPr>
        <w:spacing w:after="0" w:line="22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at the time of, and after giving effect to, any Restricted Payment permitted under clauses (12), (13) and (18)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4.07(b), no Default shall have occurred and be continuing or would occur as a consequence thereof.</w:t>
      </w:r>
    </w:p>
    <w:p>
      <w:pPr>
        <w:spacing w:after="0" w:line="170"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The amount of all Restricted Payments (other than cash) will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4.07 will be determined by the Board of Directors of the Company whose resolution with respect thereto will be delivered to the Trustee as set forth in an Officer’s Certificate of the Company. The Company’s Board of Directors’ determination must be based upon an opinion or appraisal issued by an accounting, appraisal or investment banking firm of international standing (an “</w:t>
      </w:r>
      <w:r>
        <w:rPr>
          <w:rFonts w:ascii="Arial" w:cs="Arial" w:eastAsia="Arial" w:hAnsi="Arial"/>
          <w:sz w:val="17"/>
          <w:szCs w:val="17"/>
          <w:i w:val="1"/>
          <w:iCs w:val="1"/>
          <w:color w:val="auto"/>
        </w:rPr>
        <w:t>Independent Financial Advisor</w:t>
      </w:r>
      <w:r>
        <w:rPr>
          <w:rFonts w:ascii="Arial" w:cs="Arial" w:eastAsia="Arial" w:hAnsi="Arial"/>
          <w:sz w:val="17"/>
          <w:szCs w:val="17"/>
          <w:color w:val="auto"/>
        </w:rPr>
        <w:t>”) if the Fair Market Value exceeds US$45.0 million.</w:t>
      </w:r>
    </w:p>
    <w:p>
      <w:pPr>
        <w:spacing w:after="0" w:line="28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Dividend and Other Payment Restrictions Affecting Subsidiaries.</w:t>
      </w:r>
    </w:p>
    <w:p>
      <w:pPr>
        <w:spacing w:after="0" w:line="117" w:lineRule="exact"/>
        <w:rPr>
          <w:sz w:val="20"/>
          <w:szCs w:val="20"/>
          <w:color w:val="auto"/>
        </w:rPr>
      </w:pPr>
    </w:p>
    <w:p>
      <w:pPr>
        <w:ind w:right="460" w:firstLine="987"/>
        <w:spacing w:after="0" w:line="308" w:lineRule="auto"/>
        <w:tabs>
          <w:tab w:leader="none" w:pos="1368"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The Company will not, and will not permit any of its Restricted Subsidiaries to, directly or indirectly, create or otherwise cause, permit or suffer to exist or become effective any consensual encumbrance or restriction on the ability of any Restricted Subsidiary to:</w:t>
      </w:r>
    </w:p>
    <w:p>
      <w:pPr>
        <w:spacing w:after="0" w:line="38" w:lineRule="exact"/>
        <w:rPr>
          <w:rFonts w:ascii="Arial" w:cs="Arial" w:eastAsia="Arial" w:hAnsi="Arial"/>
          <w:sz w:val="17"/>
          <w:szCs w:val="17"/>
          <w:color w:val="auto"/>
        </w:rPr>
      </w:pPr>
    </w:p>
    <w:p>
      <w:pPr>
        <w:ind w:left="980" w:right="80" w:firstLine="408"/>
        <w:spacing w:after="0" w:line="263" w:lineRule="auto"/>
        <w:tabs>
          <w:tab w:leader="none" w:pos="1771" w:val="left"/>
        </w:tabs>
        <w:numPr>
          <w:ilvl w:val="1"/>
          <w:numId w:val="461"/>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396" w:name="page397"/>
    <w:bookmarkEnd w:id="396"/>
    <w:p>
      <w:pPr>
        <w:ind w:left="793" w:hanging="392"/>
        <w:spacing w:after="0"/>
        <w:tabs>
          <w:tab w:leader="none" w:pos="793" w:val="left"/>
        </w:tabs>
        <w:numPr>
          <w:ilvl w:val="1"/>
          <w:numId w:val="4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loans or advances to the Company or any of its Restricted Subsidiaries; or</w:t>
      </w:r>
    </w:p>
    <w:p>
      <w:pPr>
        <w:spacing w:after="0" w:line="117" w:lineRule="exact"/>
        <w:rPr>
          <w:rFonts w:ascii="Arial" w:cs="Arial" w:eastAsia="Arial" w:hAnsi="Arial"/>
          <w:sz w:val="18"/>
          <w:szCs w:val="18"/>
          <w:color w:val="auto"/>
        </w:rPr>
      </w:pPr>
    </w:p>
    <w:p>
      <w:pPr>
        <w:ind w:left="793" w:hanging="392"/>
        <w:spacing w:after="0"/>
        <w:tabs>
          <w:tab w:leader="none" w:pos="793" w:val="left"/>
        </w:tabs>
        <w:numPr>
          <w:ilvl w:val="1"/>
          <w:numId w:val="462"/>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Company or any of its Restricted Subsidiaries.</w:t>
      </w:r>
    </w:p>
    <w:p>
      <w:pPr>
        <w:spacing w:after="0" w:line="225" w:lineRule="exact"/>
        <w:rPr>
          <w:rFonts w:ascii="Arial" w:cs="Arial" w:eastAsia="Arial" w:hAnsi="Arial"/>
          <w:sz w:val="18"/>
          <w:szCs w:val="18"/>
          <w:color w:val="auto"/>
        </w:rPr>
      </w:pPr>
    </w:p>
    <w:p>
      <w:pPr>
        <w:ind w:left="393" w:hanging="393"/>
        <w:spacing w:after="0"/>
        <w:tabs>
          <w:tab w:leader="none" w:pos="39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restrictions in Section 4.08(a) hereof will not apply to encumbrances or restrictions existing under or by reason of:</w:t>
      </w:r>
    </w:p>
    <w:p>
      <w:pPr>
        <w:spacing w:after="0" w:line="117" w:lineRule="exact"/>
        <w:rPr>
          <w:rFonts w:ascii="Arial" w:cs="Arial" w:eastAsia="Arial" w:hAnsi="Arial"/>
          <w:sz w:val="18"/>
          <w:szCs w:val="18"/>
          <w:color w:val="auto"/>
        </w:rPr>
      </w:pPr>
    </w:p>
    <w:p>
      <w:pPr>
        <w:ind w:left="-7" w:right="60" w:firstLine="408"/>
        <w:spacing w:after="0" w:line="257" w:lineRule="auto"/>
        <w:tabs>
          <w:tab w:leader="none" w:pos="783" w:val="left"/>
        </w:tabs>
        <w:numPr>
          <w:ilvl w:val="1"/>
          <w:numId w:val="463"/>
        </w:numPr>
        <w:rPr>
          <w:rFonts w:ascii="Arial" w:cs="Arial" w:eastAsia="Arial" w:hAnsi="Arial"/>
          <w:sz w:val="18"/>
          <w:szCs w:val="18"/>
          <w:color w:val="auto"/>
        </w:rPr>
      </w:pPr>
      <w:r>
        <w:rPr>
          <w:rFonts w:ascii="Arial" w:cs="Arial" w:eastAsia="Arial" w:hAnsi="Arial"/>
          <w:sz w:val="18"/>
          <w:szCs w:val="18"/>
          <w:color w:val="auto"/>
        </w:rPr>
        <w:t xml:space="preserve">agreements governing Indebtedness or any other agreements in existence on the Issue Date as in effect on the Issue Date and any amendments, restatements, modifications, renewals, supplements, refundings, replacements or refinancings of those agreements;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the amendments, restatements, modifications, renewals, supplements, refundings, replacements or refinancings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more restrictive, taken as a whole, with respect to such dividend and other restrictions than those contained in those agreements on the Issue Date;</w:t>
      </w:r>
    </w:p>
    <w:p>
      <w:pPr>
        <w:spacing w:after="0" w:line="79" w:lineRule="exact"/>
        <w:rPr>
          <w:rFonts w:ascii="Arial" w:cs="Arial" w:eastAsia="Arial" w:hAnsi="Arial"/>
          <w:sz w:val="18"/>
          <w:szCs w:val="18"/>
          <w:color w:val="auto"/>
        </w:rPr>
      </w:pPr>
    </w:p>
    <w:p>
      <w:pPr>
        <w:ind w:left="-7" w:right="20" w:firstLine="408"/>
        <w:spacing w:after="0" w:line="257" w:lineRule="auto"/>
        <w:tabs>
          <w:tab w:leader="none" w:pos="783" w:val="left"/>
        </w:tabs>
        <w:numPr>
          <w:ilvl w:val="1"/>
          <w:numId w:val="463"/>
        </w:numPr>
        <w:rPr>
          <w:rFonts w:ascii="Arial" w:cs="Arial" w:eastAsia="Arial" w:hAnsi="Arial"/>
          <w:sz w:val="18"/>
          <w:szCs w:val="18"/>
          <w:color w:val="auto"/>
        </w:rPr>
      </w:pPr>
      <w:r>
        <w:rPr>
          <w:rFonts w:ascii="Arial" w:cs="Arial" w:eastAsia="Arial" w:hAnsi="Arial"/>
          <w:sz w:val="18"/>
          <w:szCs w:val="18"/>
          <w:color w:val="auto"/>
        </w:rPr>
        <w:t xml:space="preserve">the Credit Facilities Documents (other than the Senior Secured Credit Facilities), and any amendments, restatements, modifications, renewals, supplements, refundings, replacements or refinancings of those agreements;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Credit Facilities Documents and the amendments, restatements, modifications, renewals, supplements, refundings, replacements or refinancings thereof are not materially more restrictive, taken as a whole, with respect to such dividend and the other restrictions than those contained in the Senior Secured Credit Facilities;</w:t>
      </w:r>
    </w:p>
    <w:p>
      <w:pPr>
        <w:spacing w:after="0" w:line="79" w:lineRule="exact"/>
        <w:rPr>
          <w:rFonts w:ascii="Arial" w:cs="Arial" w:eastAsia="Arial" w:hAnsi="Arial"/>
          <w:sz w:val="18"/>
          <w:szCs w:val="18"/>
          <w:color w:val="auto"/>
        </w:rPr>
      </w:pPr>
    </w:p>
    <w:p>
      <w:pPr>
        <w:ind w:left="793" w:hanging="392"/>
        <w:spacing w:after="0"/>
        <w:tabs>
          <w:tab w:leader="none" w:pos="793" w:val="left"/>
        </w:tabs>
        <w:numPr>
          <w:ilvl w:val="1"/>
          <w:numId w:val="463"/>
        </w:numPr>
        <w:rPr>
          <w:rFonts w:ascii="Arial" w:cs="Arial" w:eastAsia="Arial" w:hAnsi="Arial"/>
          <w:sz w:val="18"/>
          <w:szCs w:val="18"/>
          <w:color w:val="auto"/>
        </w:rPr>
      </w:pPr>
      <w:r>
        <w:rPr>
          <w:rFonts w:ascii="Arial" w:cs="Arial" w:eastAsia="Arial" w:hAnsi="Arial"/>
          <w:sz w:val="18"/>
          <w:szCs w:val="18"/>
          <w:color w:val="auto"/>
        </w:rPr>
        <w:t>the Indenture, the Notes and the Note Guarantees;</w:t>
      </w:r>
    </w:p>
    <w:p>
      <w:pPr>
        <w:spacing w:after="0" w:line="117" w:lineRule="exact"/>
        <w:rPr>
          <w:rFonts w:ascii="Arial" w:cs="Arial" w:eastAsia="Arial" w:hAnsi="Arial"/>
          <w:sz w:val="18"/>
          <w:szCs w:val="18"/>
          <w:color w:val="auto"/>
        </w:rPr>
      </w:pPr>
    </w:p>
    <w:p>
      <w:pPr>
        <w:ind w:left="793" w:hanging="392"/>
        <w:spacing w:after="0"/>
        <w:tabs>
          <w:tab w:leader="none" w:pos="793"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applicable law, rule, regulation or order, or governmental license, permit or concession;</w:t>
      </w:r>
    </w:p>
    <w:p>
      <w:pPr>
        <w:spacing w:after="0" w:line="117" w:lineRule="exact"/>
        <w:rPr>
          <w:rFonts w:ascii="Arial" w:cs="Arial" w:eastAsia="Arial" w:hAnsi="Arial"/>
          <w:sz w:val="18"/>
          <w:szCs w:val="18"/>
          <w:color w:val="auto"/>
        </w:rPr>
      </w:pPr>
    </w:p>
    <w:p>
      <w:pPr>
        <w:ind w:left="-7" w:firstLine="408"/>
        <w:spacing w:after="0" w:line="270" w:lineRule="auto"/>
        <w:tabs>
          <w:tab w:leader="none" w:pos="783" w:val="left"/>
        </w:tabs>
        <w:numPr>
          <w:ilvl w:val="1"/>
          <w:numId w:val="463"/>
        </w:numPr>
        <w:rPr>
          <w:rFonts w:ascii="Arial" w:cs="Arial" w:eastAsia="Arial" w:hAnsi="Arial"/>
          <w:sz w:val="17"/>
          <w:szCs w:val="17"/>
          <w:color w:val="auto"/>
        </w:rPr>
      </w:pPr>
      <w:r>
        <w:rPr>
          <w:rFonts w:ascii="Arial" w:cs="Arial" w:eastAsia="Arial" w:hAnsi="Arial"/>
          <w:sz w:val="17"/>
          <w:szCs w:val="17"/>
          <w:color w:val="auto"/>
        </w:rPr>
        <w:t xml:space="preserve">any agreement or instrument governing Indebtedness or Capital Stock of a Person or assets acquired by the Company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(and any amendments, restatements, modifications, renewals, supplements, refundings, replacements or refinancings of those agreements or instruments;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w:t>
      </w:r>
      <w:r>
        <w:rPr>
          <w:rFonts w:ascii="Arial" w:cs="Arial" w:eastAsia="Arial" w:hAnsi="Arial"/>
          <w:sz w:val="17"/>
          <w:szCs w:val="17"/>
          <w:color w:val="auto"/>
        </w:rPr>
        <w:t>the amendments, restatements, modifications, renewals, supplements, refundings, replacements or refinancings are not materially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more restrictive, taken as a whole, with respect to such dividend and other restrictions than those contained in those agreements or instruments at the time of such acquisition); </w:t>
      </w:r>
      <w:r>
        <w:rPr>
          <w:rFonts w:ascii="Arial" w:cs="Arial" w:eastAsia="Arial" w:hAnsi="Arial"/>
          <w:sz w:val="17"/>
          <w:szCs w:val="17"/>
          <w:i w:val="1"/>
          <w:iCs w:val="1"/>
          <w:color w:val="auto"/>
        </w:rPr>
        <w:t>provided further, that</w:t>
      </w:r>
      <w:r>
        <w:rPr>
          <w:rFonts w:ascii="Arial" w:cs="Arial" w:eastAsia="Arial" w:hAnsi="Arial"/>
          <w:sz w:val="17"/>
          <w:szCs w:val="17"/>
          <w:color w:val="auto"/>
        </w:rPr>
        <w:t>, in the case of Indebtedness, such Indebtedness was permitted by the terms of this Indenture to be Incurred;</w:t>
      </w:r>
    </w:p>
    <w:p>
      <w:pPr>
        <w:spacing w:after="0" w:line="72" w:lineRule="exact"/>
        <w:rPr>
          <w:rFonts w:ascii="Arial" w:cs="Arial" w:eastAsia="Arial" w:hAnsi="Arial"/>
          <w:sz w:val="17"/>
          <w:szCs w:val="17"/>
          <w:color w:val="auto"/>
        </w:rPr>
      </w:pPr>
    </w:p>
    <w:p>
      <w:pPr>
        <w:ind w:left="-7" w:right="280" w:firstLine="408"/>
        <w:spacing w:after="0" w:line="277" w:lineRule="auto"/>
        <w:tabs>
          <w:tab w:leader="none" w:pos="783" w:val="left"/>
        </w:tabs>
        <w:numPr>
          <w:ilvl w:val="1"/>
          <w:numId w:val="463"/>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including, without limitation, with respect to any intellectual property, entered into in the ordinary course of business;</w:t>
      </w:r>
    </w:p>
    <w:p>
      <w:pPr>
        <w:spacing w:after="0" w:line="62" w:lineRule="exact"/>
        <w:rPr>
          <w:rFonts w:ascii="Arial" w:cs="Arial" w:eastAsia="Arial" w:hAnsi="Arial"/>
          <w:sz w:val="18"/>
          <w:szCs w:val="18"/>
          <w:color w:val="auto"/>
        </w:rPr>
      </w:pPr>
    </w:p>
    <w:p>
      <w:pPr>
        <w:ind w:left="-7" w:right="60" w:firstLine="408"/>
        <w:spacing w:after="0" w:line="277" w:lineRule="auto"/>
        <w:tabs>
          <w:tab w:leader="none" w:pos="783" w:val="left"/>
        </w:tabs>
        <w:numPr>
          <w:ilvl w:val="1"/>
          <w:numId w:val="463"/>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Section 4.08(a)(3);</w:t>
      </w:r>
    </w:p>
    <w:p>
      <w:pPr>
        <w:spacing w:after="0" w:line="62" w:lineRule="exact"/>
        <w:rPr>
          <w:rFonts w:ascii="Arial" w:cs="Arial" w:eastAsia="Arial" w:hAnsi="Arial"/>
          <w:sz w:val="18"/>
          <w:szCs w:val="18"/>
          <w:color w:val="auto"/>
        </w:rPr>
      </w:pPr>
    </w:p>
    <w:p>
      <w:pPr>
        <w:ind w:left="-7" w:right="160" w:firstLine="408"/>
        <w:spacing w:after="0" w:line="277" w:lineRule="auto"/>
        <w:tabs>
          <w:tab w:leader="none" w:pos="783"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Equity Interests or property or assets of a Restricted Subsidiary that restricts distributions by that Restricted Subsidiary pending the sale or other disposition;</w:t>
      </w:r>
    </w:p>
    <w:p>
      <w:pPr>
        <w:spacing w:after="0" w:line="62" w:lineRule="exact"/>
        <w:rPr>
          <w:rFonts w:ascii="Arial" w:cs="Arial" w:eastAsia="Arial" w:hAnsi="Arial"/>
          <w:sz w:val="18"/>
          <w:szCs w:val="18"/>
          <w:color w:val="auto"/>
        </w:rPr>
      </w:pPr>
    </w:p>
    <w:p>
      <w:pPr>
        <w:jc w:val="both"/>
        <w:ind w:left="-7" w:right="440" w:firstLine="408"/>
        <w:spacing w:after="0" w:line="263" w:lineRule="auto"/>
        <w:tabs>
          <w:tab w:leader="none" w:pos="783" w:val="left"/>
        </w:tabs>
        <w:numPr>
          <w:ilvl w:val="1"/>
          <w:numId w:val="463"/>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restrictions contained in the agreements governing such Permitted Refinancing Indebtedness are not materially more restrictive, taken as a whole, than those contained in the agreements governing the Indebtedness being refinanced;</w:t>
      </w:r>
    </w:p>
    <w:p>
      <w:pPr>
        <w:spacing w:after="0" w:line="116"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013"/>
          </w:cols>
          <w:pgMar w:left="1427" w:top="274" w:right="459" w:bottom="1440" w:gutter="0" w:footer="0" w:header="0"/>
        </w:sectPr>
      </w:pPr>
    </w:p>
    <w:bookmarkStart w:id="397" w:name="page398"/>
    <w:bookmarkEnd w:id="397"/>
    <w:p>
      <w:pPr>
        <w:ind w:left="960" w:right="260" w:firstLine="408"/>
        <w:spacing w:after="0" w:line="277" w:lineRule="auto"/>
        <w:tabs>
          <w:tab w:leader="none" w:pos="18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permitted to be incurred under the provisions of Section 4.12 hereof that limit the right of the debtor to dispose of the assets subject to such Liens;</w:t>
      </w:r>
    </w:p>
    <w:p>
      <w:pPr>
        <w:spacing w:after="0" w:line="62" w:lineRule="exact"/>
        <w:rPr>
          <w:rFonts w:ascii="Arial" w:cs="Arial" w:eastAsia="Arial" w:hAnsi="Arial"/>
          <w:sz w:val="18"/>
          <w:szCs w:val="18"/>
          <w:color w:val="auto"/>
        </w:rPr>
      </w:pPr>
    </w:p>
    <w:p>
      <w:pPr>
        <w:ind w:left="960" w:right="60" w:firstLine="408"/>
        <w:spacing w:after="0" w:line="259" w:lineRule="auto"/>
        <w:tabs>
          <w:tab w:leader="none" w:pos="183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provisions limiting dividends or the disposition or distribution of assets, property or Equity Interests in joint venture or operating agreements, asset sale agreements, sale-leaseback agreements, stock sale agreements, merger agreements and other similar agreements entered into with the approval of the Company’s Board of Directors, which limitation is applicable only to the assets, property or Equity Interests that are the subject of such agreements;</w:t>
      </w:r>
    </w:p>
    <w:p>
      <w:pPr>
        <w:spacing w:after="0" w:line="78" w:lineRule="exact"/>
        <w:rPr>
          <w:rFonts w:ascii="Arial" w:cs="Arial" w:eastAsia="Arial" w:hAnsi="Arial"/>
          <w:sz w:val="18"/>
          <w:szCs w:val="18"/>
          <w:color w:val="auto"/>
        </w:rPr>
      </w:pPr>
    </w:p>
    <w:p>
      <w:pPr>
        <w:ind w:left="960" w:right="540" w:firstLine="408"/>
        <w:spacing w:after="0" w:line="277" w:lineRule="auto"/>
        <w:tabs>
          <w:tab w:leader="none" w:pos="18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or suppliers under contracts entered into in the ordinary course of business; and</w:t>
      </w:r>
    </w:p>
    <w:p>
      <w:pPr>
        <w:spacing w:after="0" w:line="62" w:lineRule="exact"/>
        <w:rPr>
          <w:rFonts w:ascii="Arial" w:cs="Arial" w:eastAsia="Arial" w:hAnsi="Arial"/>
          <w:sz w:val="18"/>
          <w:szCs w:val="18"/>
          <w:color w:val="auto"/>
        </w:rPr>
      </w:pPr>
    </w:p>
    <w:p>
      <w:pPr>
        <w:ind w:left="960" w:firstLine="408"/>
        <w:spacing w:after="0" w:line="271" w:lineRule="auto"/>
        <w:tabs>
          <w:tab w:leader="none" w:pos="184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 xml:space="preserve">any agreement or instrument with respect to any Unrestricted Subsidiary or the property or assets of such Unrestricted Subsidiary that is designated as a Restricted Subsidiary in accordance with the terms of this Indenture at the time of such designation and not incurred in contemplation of such designation, which encumbrances or restrictions are not applicable to any Person or the property or assets of any Person other than such Subsidiary or its subsidiaries or the property or assets of such Subsidiary or its subsidiaries, and any extensions, refinancing, renewals, supplements or amendments or replacements thereof;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encumbrances and restrictions in any such extension, refinancing, renewal, supplement, amendment or replacement, taken as a whole, are no more restrictive in any material respect than those encumbrances or restrictions that are then in effect and that are being extended, refinanced, renewed, supplemented, amended or replaced.</w:t>
      </w:r>
    </w:p>
    <w:p>
      <w:pPr>
        <w:spacing w:after="0" w:line="286" w:lineRule="exact"/>
        <w:rPr>
          <w:sz w:val="20"/>
          <w:szCs w:val="20"/>
          <w:color w:val="auto"/>
        </w:rPr>
      </w:pPr>
    </w:p>
    <w:p>
      <w:pPr>
        <w:ind w:left="420"/>
        <w:spacing w:after="0"/>
        <w:tabs>
          <w:tab w:leader="none" w:pos="148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Limitation on Incurrence of Indebtedness and Issuance of Disqualified Stock and Preferred Stock.</w:t>
      </w:r>
    </w:p>
    <w:p>
      <w:pPr>
        <w:spacing w:after="0" w:line="117" w:lineRule="exact"/>
        <w:rPr>
          <w:sz w:val="20"/>
          <w:szCs w:val="20"/>
          <w:color w:val="auto"/>
        </w:rPr>
      </w:pPr>
    </w:p>
    <w:p>
      <w:pPr>
        <w:ind w:left="-20" w:right="120" w:firstLine="987"/>
        <w:spacing w:after="0" w:line="289" w:lineRule="auto"/>
        <w:tabs>
          <w:tab w:leader="none" w:pos="1348" w:val="left"/>
        </w:tabs>
        <w:numPr>
          <w:ilvl w:val="0"/>
          <w:numId w:val="465"/>
        </w:numPr>
        <w:rPr>
          <w:rFonts w:ascii="Arial" w:cs="Arial" w:eastAsia="Arial" w:hAnsi="Arial"/>
          <w:sz w:val="16"/>
          <w:szCs w:val="16"/>
          <w:color w:val="auto"/>
        </w:rPr>
      </w:pPr>
      <w:r>
        <w:rPr>
          <w:rFonts w:ascii="Arial" w:cs="Arial" w:eastAsia="Arial" w:hAnsi="Arial"/>
          <w:sz w:val="16"/>
          <w:szCs w:val="16"/>
          <w:color w:val="auto"/>
        </w:rPr>
        <w:t xml:space="preserve">The Company will not, and will not permit any of its Restricted Subsidiaries to, directly or indirectly, Incur any Indebtedness (including Acquired Indebtedness) and the Company will not issue any shares of Disqualified Stock and the Company will not, and the Company will not permit any of its Restricted Subsidiaries, to issue any shares of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Incur Indebtedness (including Acquired Indebtedness) or issue Disqualified Stock, and the Company or any Subsidiary Guarantor may Incur Indebtedness (including Acquired Indebtedness) or issue Preferred Stock, if the Fixed Charge Coverage Ratio of the Company for the most recently ended four full fiscal quarters for which internal financial statements are available immediately preceding the date on which such additional Indebtedness is Incurred or such Disqualified Stock or Preferred Stock is issued, as the case may be, would have been at least 2.00 to 1.00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spacing w:after="0" w:line="274" w:lineRule="exact"/>
        <w:rPr>
          <w:rFonts w:ascii="Arial" w:cs="Arial" w:eastAsia="Arial" w:hAnsi="Arial"/>
          <w:sz w:val="16"/>
          <w:szCs w:val="16"/>
          <w:color w:val="auto"/>
        </w:rPr>
      </w:pPr>
    </w:p>
    <w:p>
      <w:pPr>
        <w:ind w:left="1360" w:hanging="393"/>
        <w:spacing w:after="0"/>
        <w:tabs>
          <w:tab w:leader="none" w:pos="13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provisions of Section 4.09(a) hereof do not apply to the following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60" w:right="20" w:firstLine="408"/>
        <w:spacing w:after="0" w:line="271" w:lineRule="auto"/>
        <w:tabs>
          <w:tab w:leader="none" w:pos="1751" w:val="left"/>
        </w:tabs>
        <w:numPr>
          <w:ilvl w:val="1"/>
          <w:numId w:val="465"/>
        </w:numPr>
        <w:rPr>
          <w:rFonts w:ascii="Arial" w:cs="Arial" w:eastAsia="Arial" w:hAnsi="Arial"/>
          <w:sz w:val="17"/>
          <w:szCs w:val="17"/>
          <w:color w:val="auto"/>
        </w:rPr>
      </w:pPr>
      <w:r>
        <w:rPr>
          <w:rFonts w:ascii="Arial" w:cs="Arial" w:eastAsia="Arial" w:hAnsi="Arial"/>
          <w:sz w:val="17"/>
          <w:szCs w:val="17"/>
          <w:color w:val="auto"/>
        </w:rPr>
        <w:t xml:space="preserve">the Incurrence by the Company and the Subsidiary Guarantors of Indebtedness under Credit Facilities;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 the date of the Incurrence of any such Indebtedness and after giving effect thereto, the aggregate principal amount outstanding of all such Indebtedness Incurred pursuant to this clause (1) (together with any refinancing thereof) does not exceed the sum of: (i)(x)</w:t>
      </w:r>
    </w:p>
    <w:p>
      <w:pPr>
        <w:ind w:left="960" w:right="8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US$35.0 million; plus (y) US$100.0 million Incurred in respect of the Phase II Project;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in the case of clause (i)(y), the aggregate amount of all Net Proceeds of Asset Sales applied since the Issue Date to repay any term Indebtedness Incurred pursuant to this clause (1) (i)(y) or to repay any revolving credit indebtedness Incurred under this clause (1)(i)(y) and effect a corresponding commitment reduction thereunder pursuant to Section 4.10 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60" w:top="274" w:right="459" w:bottom="1440" w:gutter="0" w:footer="0" w:header="0"/>
        </w:sectPr>
      </w:pPr>
    </w:p>
    <w:bookmarkStart w:id="398" w:name="page399"/>
    <w:bookmarkEnd w:id="398"/>
    <w:p>
      <w:pPr>
        <w:ind w:left="-20" w:right="320" w:firstLine="408"/>
        <w:spacing w:after="0" w:line="277" w:lineRule="auto"/>
        <w:tabs>
          <w:tab w:leader="none" w:pos="771" w:val="left"/>
        </w:tabs>
        <w:numPr>
          <w:ilvl w:val="0"/>
          <w:numId w:val="4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Incurrence of Indebtedness represented by the Notes (other than Additional Notes) and the Note Guarantees (other than Note Guarantees for Additional Notes) and the Intercompany Note Proceeds Loans;</w:t>
      </w:r>
    </w:p>
    <w:p>
      <w:pPr>
        <w:spacing w:after="0" w:line="62" w:lineRule="exact"/>
        <w:rPr>
          <w:rFonts w:ascii="Arial" w:cs="Arial" w:eastAsia="Arial" w:hAnsi="Arial"/>
          <w:sz w:val="18"/>
          <w:szCs w:val="18"/>
          <w:color w:val="auto"/>
        </w:rPr>
      </w:pPr>
    </w:p>
    <w:p>
      <w:pPr>
        <w:ind w:left="-20" w:right="100" w:firstLine="408"/>
        <w:spacing w:after="0" w:line="273" w:lineRule="auto"/>
        <w:tabs>
          <w:tab w:leader="none" w:pos="771" w:val="left"/>
        </w:tabs>
        <w:numPr>
          <w:ilvl w:val="0"/>
          <w:numId w:val="466"/>
        </w:numPr>
        <w:rPr>
          <w:rFonts w:ascii="Arial" w:cs="Arial" w:eastAsia="Arial" w:hAnsi="Arial"/>
          <w:sz w:val="17"/>
          <w:szCs w:val="17"/>
          <w:color w:val="auto"/>
        </w:rPr>
      </w:pPr>
      <w:r>
        <w:rPr>
          <w:rFonts w:ascii="Arial" w:cs="Arial" w:eastAsia="Arial" w:hAnsi="Arial"/>
          <w:sz w:val="17"/>
          <w:szCs w:val="17"/>
          <w:color w:val="auto"/>
        </w:rPr>
        <w:t>(a) the Incurrence by the Company or the Subsidiary Guarantors of Indebtedness in an aggregate principal amount at any time outstanding, including all Permitted Refinancing Indebtedness Incurred to renew, refund, refinance, replace, defease or discharge any Indebtedness Incurred pursuant to this clause (3)(a), not to exceed the greater of (x) an amount equal to 3.5 times the EBITDA of the Company for the most recently ended four full fiscal quarters for which internal financial statements are available immediately preceding the relevant time of determination and (y) US$1,200,000,000, and (b) Indebtedness existing on the Issue Date (other than the Existing Studio City Company Notes and Indebtedness described in clauses (1) and (2));</w:t>
      </w:r>
    </w:p>
    <w:p>
      <w:pPr>
        <w:spacing w:after="0" w:line="69" w:lineRule="exact"/>
        <w:rPr>
          <w:rFonts w:ascii="Arial" w:cs="Arial" w:eastAsia="Arial" w:hAnsi="Arial"/>
          <w:sz w:val="17"/>
          <w:szCs w:val="17"/>
          <w:color w:val="auto"/>
        </w:rPr>
      </w:pPr>
    </w:p>
    <w:p>
      <w:pPr>
        <w:ind w:left="-20" w:firstLine="408"/>
        <w:spacing w:after="0" w:line="291" w:lineRule="auto"/>
        <w:tabs>
          <w:tab w:leader="none" w:pos="771"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the Incurrence of Indebtedness of the Company or any of its Restricted Subsidiaries represented by Capital Lease Obligations, mortgage financings or purchase money obligations, in each case, Incurred for the purpose of financing all or any part of the purchase price or cost of design, construction, installation or improvement of property, plant or other assets (including through the acquisition of Capital Stock of any person that owns property, plant or other assets which will, upon acquisition, become a Restricted Subsidiary) used in the business of the Company or any of its Restricted Subsidiaries, in an aggregate principal amount, including all Permitted Refinancing Indebtedness Incurred to renew, refund, refinance, replace, defease or discharge any Indebtedness Incurred pursuant to this clause (4), not to exceed the greater of (x) US$50.0 million and (y) 2.0% of Total Assets at any time outstanding;</w:t>
      </w:r>
    </w:p>
    <w:p>
      <w:pPr>
        <w:spacing w:after="0" w:line="58" w:lineRule="exact"/>
        <w:rPr>
          <w:rFonts w:ascii="Arial" w:cs="Arial" w:eastAsia="Arial" w:hAnsi="Arial"/>
          <w:sz w:val="16"/>
          <w:szCs w:val="16"/>
          <w:color w:val="auto"/>
        </w:rPr>
      </w:pPr>
    </w:p>
    <w:p>
      <w:pPr>
        <w:ind w:left="-20" w:right="60" w:firstLine="408"/>
        <w:spacing w:after="0" w:line="259" w:lineRule="auto"/>
        <w:tabs>
          <w:tab w:leader="none" w:pos="771"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Permitted Refinancing Indebtedness in exchange for, or the net proceeds of which are used to renew, refund, refinance, replace, defease or discharge Indebtedness (other than intercompany Indebtedness) that was permitted by this Indenture to be Incurred under Section 4.09(a) or clauses (2), (3)(b), (4), (5) or (15) of this Section 4.09(b);</w:t>
      </w:r>
    </w:p>
    <w:p>
      <w:pPr>
        <w:spacing w:after="0" w:line="78" w:lineRule="exact"/>
        <w:rPr>
          <w:rFonts w:ascii="Arial" w:cs="Arial" w:eastAsia="Arial" w:hAnsi="Arial"/>
          <w:sz w:val="18"/>
          <w:szCs w:val="18"/>
          <w:color w:val="auto"/>
        </w:rPr>
      </w:pPr>
    </w:p>
    <w:p>
      <w:pPr>
        <w:ind w:left="-20" w:firstLine="408"/>
        <w:spacing w:after="0" w:line="293" w:lineRule="auto"/>
        <w:tabs>
          <w:tab w:leader="none" w:pos="771" w:val="left"/>
        </w:tabs>
        <w:numPr>
          <w:ilvl w:val="0"/>
          <w:numId w:val="466"/>
        </w:numPr>
        <w:rPr>
          <w:rFonts w:ascii="Arial" w:cs="Arial" w:eastAsia="Arial" w:hAnsi="Arial"/>
          <w:sz w:val="16"/>
          <w:szCs w:val="16"/>
          <w:color w:val="auto"/>
        </w:rPr>
      </w:pPr>
      <w:r>
        <w:rPr>
          <w:rFonts w:ascii="Arial" w:cs="Arial" w:eastAsia="Arial" w:hAnsi="Arial"/>
          <w:sz w:val="16"/>
          <w:szCs w:val="16"/>
          <w:color w:val="auto"/>
        </w:rPr>
        <w:t>(a) Obligations in respect of workers’ compensation claims, self-insurance obligations, bankers’ acceptances, performance, bid, appeal and surety bonds and completion or performance guarantees (including the guarantee of any land grant) provided by the Company or any Restricted Subsidiary in connection with the Property or in the ordinary course of business and (b) Indebtedness constituting reimbursement obligations with respect to letters of credit or trade or bank guarantees (including for land grants) issued in the ordinary course of business to the extent that such letters of credit, trade or bank guarantees (including for land grants) are not drawn upon or, if drawn upon, to the extent such drawing is reimbursed no later than thirty (30) days following receipt of a demand for reimbursement;</w:t>
      </w:r>
    </w:p>
    <w:p>
      <w:pPr>
        <w:spacing w:after="0" w:line="56" w:lineRule="exact"/>
        <w:rPr>
          <w:rFonts w:ascii="Arial" w:cs="Arial" w:eastAsia="Arial" w:hAnsi="Arial"/>
          <w:sz w:val="16"/>
          <w:szCs w:val="16"/>
          <w:color w:val="auto"/>
        </w:rPr>
      </w:pPr>
    </w:p>
    <w:p>
      <w:pPr>
        <w:ind w:left="-20" w:right="460" w:firstLine="408"/>
        <w:spacing w:after="0" w:line="277" w:lineRule="auto"/>
        <w:tabs>
          <w:tab w:leader="none" w:pos="771"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intercompany Indebtedness between or among the Company or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jc w:val="both"/>
        <w:ind w:left="420" w:right="80" w:firstLine="391"/>
        <w:spacing w:after="0" w:line="311" w:lineRule="auto"/>
        <w:tabs>
          <w:tab w:leader="none" w:pos="1233" w:val="left"/>
        </w:tabs>
        <w:numPr>
          <w:ilvl w:val="1"/>
          <w:numId w:val="466"/>
        </w:numPr>
        <w:rPr>
          <w:rFonts w:ascii="Arial" w:cs="Arial" w:eastAsia="Arial" w:hAnsi="Arial"/>
          <w:sz w:val="16"/>
          <w:szCs w:val="16"/>
          <w:color w:val="auto"/>
        </w:rPr>
      </w:pPr>
      <w:r>
        <w:rPr>
          <w:rFonts w:ascii="Arial" w:cs="Arial" w:eastAsia="Arial" w:hAnsi="Arial"/>
          <w:sz w:val="16"/>
          <w:szCs w:val="16"/>
          <w:color w:val="auto"/>
        </w:rPr>
        <w:t>if the Company or any Subsidiary Guarantor is the obligor on such Indebtedness and the payee is not the Company or a Subsidiary Guarantor, such Indebtedness must be expressly subordinated to the prior payment in full in cash of all Obligations then due with respect to the Notes, in the case of the Company, or the Note Guarantee, in the case of a Subsidiary Guarantor; and</w:t>
      </w:r>
    </w:p>
    <w:p>
      <w:pPr>
        <w:spacing w:after="0" w:line="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9960"/>
          </w:cols>
          <w:pgMar w:left="1440" w:top="274" w:right="499" w:bottom="1440" w:gutter="0" w:footer="0" w:header="0"/>
        </w:sectPr>
      </w:pPr>
    </w:p>
    <w:bookmarkStart w:id="399" w:name="page400"/>
    <w:bookmarkEnd w:id="399"/>
    <w:p>
      <w:pPr>
        <w:ind w:left="433" w:firstLine="391"/>
        <w:spacing w:after="0" w:line="301" w:lineRule="auto"/>
        <w:tabs>
          <w:tab w:leader="none" w:pos="1236" w:val="left"/>
        </w:tabs>
        <w:numPr>
          <w:ilvl w:val="2"/>
          <w:numId w:val="4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any subsequent issuance or transfer of Equity Interests that results in any such Indebtedness being held by a Person other than the Company or a Restricted Subsidiary of the Company and (ii) any sale or other transfer of any such Indebtedness to a Person that is not the Company or a Restricted Subsidiary of the Company, will be deemed, in each case, to constitute an Incurrence of such Indebtedness by the Company or such Restricted Subsidiary, as the case may be, that was not permitted by this clause (7);</w:t>
      </w:r>
    </w:p>
    <w:p>
      <w:pPr>
        <w:spacing w:after="0" w:line="49" w:lineRule="exact"/>
        <w:rPr>
          <w:rFonts w:ascii="Arial" w:cs="Arial" w:eastAsia="Arial" w:hAnsi="Arial"/>
          <w:sz w:val="16"/>
          <w:szCs w:val="16"/>
          <w:color w:val="auto"/>
        </w:rPr>
      </w:pPr>
    </w:p>
    <w:p>
      <w:pPr>
        <w:ind w:left="-7" w:right="120" w:firstLine="408"/>
        <w:spacing w:after="0" w:line="277" w:lineRule="auto"/>
        <w:tabs>
          <w:tab w:leader="none" w:pos="78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shares of Preferred Stock of a Restricted Subsidiary issued to the Company or another Restricted Subsidiary of the Company; </w:t>
      </w:r>
      <w:r>
        <w:rPr>
          <w:rFonts w:ascii="Arial" w:cs="Arial" w:eastAsia="Arial" w:hAnsi="Arial"/>
          <w:sz w:val="18"/>
          <w:szCs w:val="18"/>
          <w:i w:val="1"/>
          <w:iCs w:val="1"/>
          <w:color w:val="auto"/>
        </w:rPr>
        <w:t>provided that</w:t>
      </w:r>
    </w:p>
    <w:p>
      <w:pPr>
        <w:spacing w:after="0" w:line="62" w:lineRule="exact"/>
        <w:rPr>
          <w:rFonts w:ascii="Arial" w:cs="Arial" w:eastAsia="Arial" w:hAnsi="Arial"/>
          <w:sz w:val="18"/>
          <w:szCs w:val="18"/>
          <w:color w:val="auto"/>
        </w:rPr>
      </w:pPr>
    </w:p>
    <w:p>
      <w:pPr>
        <w:ind w:left="433" w:right="220" w:firstLine="391"/>
        <w:spacing w:after="0" w:line="277" w:lineRule="auto"/>
        <w:tabs>
          <w:tab w:leader="none" w:pos="1246" w:val="left"/>
        </w:tabs>
        <w:numPr>
          <w:ilvl w:val="2"/>
          <w:numId w:val="468"/>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Company or a Restricted Subsidiary of the Company; and</w:t>
      </w:r>
    </w:p>
    <w:p>
      <w:pPr>
        <w:spacing w:after="0" w:line="62" w:lineRule="exact"/>
        <w:rPr>
          <w:rFonts w:ascii="Arial" w:cs="Arial" w:eastAsia="Arial" w:hAnsi="Arial"/>
          <w:sz w:val="18"/>
          <w:szCs w:val="18"/>
          <w:color w:val="auto"/>
        </w:rPr>
      </w:pPr>
    </w:p>
    <w:p>
      <w:pPr>
        <w:ind w:left="433" w:firstLine="391"/>
        <w:spacing w:after="0" w:line="263" w:lineRule="auto"/>
        <w:tabs>
          <w:tab w:leader="none" w:pos="1236" w:val="left"/>
        </w:tabs>
        <w:numPr>
          <w:ilvl w:val="2"/>
          <w:numId w:val="468"/>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the Company or a Restricted Subsidiary of the Company, will be deemed, in each case, to constitute an issuance of such Preferred Stock by such Restricted Subsidiary that was not permitted by this clause (8).</w:t>
      </w:r>
    </w:p>
    <w:p>
      <w:pPr>
        <w:spacing w:after="0" w:line="75" w:lineRule="exact"/>
        <w:rPr>
          <w:rFonts w:ascii="Arial" w:cs="Arial" w:eastAsia="Arial" w:hAnsi="Arial"/>
          <w:sz w:val="18"/>
          <w:szCs w:val="18"/>
          <w:color w:val="auto"/>
        </w:rPr>
      </w:pPr>
    </w:p>
    <w:p>
      <w:pPr>
        <w:ind w:left="-7" w:right="80" w:firstLine="408"/>
        <w:spacing w:after="0" w:line="277" w:lineRule="auto"/>
        <w:tabs>
          <w:tab w:leader="none" w:pos="78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Hedging Obligations in the ordinary course of business and not for speculative purposes;</w:t>
      </w:r>
    </w:p>
    <w:p>
      <w:pPr>
        <w:spacing w:after="0" w:line="62" w:lineRule="exact"/>
        <w:rPr>
          <w:rFonts w:ascii="Arial" w:cs="Arial" w:eastAsia="Arial" w:hAnsi="Arial"/>
          <w:sz w:val="18"/>
          <w:szCs w:val="18"/>
          <w:color w:val="auto"/>
        </w:rPr>
      </w:pPr>
    </w:p>
    <w:p>
      <w:pPr>
        <w:jc w:val="both"/>
        <w:ind w:left="-7" w:right="80" w:firstLine="408"/>
        <w:spacing w:after="0" w:line="259" w:lineRule="auto"/>
        <w:tabs>
          <w:tab w:leader="none" w:pos="87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the guarantee by the Company or any Restricted Subsidiary of the Company of Indebtedness of the Company or a Restricted Subsidiary of the Company that was permitted to be Incurred by another provision of this Section 4.09;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Indebtedness being guaranteed is subordinated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then the guarantee shall be subordinated or </w:t>
      </w:r>
      <w:r>
        <w:rPr>
          <w:rFonts w:ascii="Arial" w:cs="Arial" w:eastAsia="Arial" w:hAnsi="Arial"/>
          <w:sz w:val="18"/>
          <w:szCs w:val="18"/>
          <w:i w:val="1"/>
          <w:iCs w:val="1"/>
          <w:color w:val="auto"/>
        </w:rPr>
        <w:t>pari passu</w:t>
      </w:r>
      <w:r>
        <w:rPr>
          <w:rFonts w:ascii="Arial" w:cs="Arial" w:eastAsia="Arial" w:hAnsi="Arial"/>
          <w:sz w:val="18"/>
          <w:szCs w:val="18"/>
          <w:color w:val="auto"/>
        </w:rPr>
        <w:t>, as applicable, to the same extent as the Indebtedness guaranteed;</w:t>
      </w:r>
    </w:p>
    <w:p>
      <w:pPr>
        <w:spacing w:after="0" w:line="78" w:lineRule="exact"/>
        <w:rPr>
          <w:rFonts w:ascii="Arial" w:cs="Arial" w:eastAsia="Arial" w:hAnsi="Arial"/>
          <w:sz w:val="18"/>
          <w:szCs w:val="18"/>
          <w:color w:val="auto"/>
        </w:rPr>
      </w:pPr>
    </w:p>
    <w:p>
      <w:pPr>
        <w:ind w:left="-7" w:right="680" w:firstLine="408"/>
        <w:spacing w:after="0" w:line="263" w:lineRule="auto"/>
        <w:tabs>
          <w:tab w:leader="none" w:pos="866" w:val="left"/>
        </w:tabs>
        <w:numPr>
          <w:ilvl w:val="1"/>
          <w:numId w:val="468"/>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inadvertently drawn against insufficient funds, so long as such Indebtedness is extinguished within five (5) Business Days of its Incurrence;</w:t>
      </w:r>
    </w:p>
    <w:p>
      <w:pPr>
        <w:spacing w:after="0" w:line="75" w:lineRule="exact"/>
        <w:rPr>
          <w:rFonts w:ascii="Arial" w:cs="Arial" w:eastAsia="Arial" w:hAnsi="Arial"/>
          <w:sz w:val="18"/>
          <w:szCs w:val="18"/>
          <w:color w:val="auto"/>
        </w:rPr>
      </w:pPr>
    </w:p>
    <w:p>
      <w:pPr>
        <w:ind w:left="-7" w:right="20" w:firstLine="408"/>
        <w:spacing w:after="0" w:line="257" w:lineRule="auto"/>
        <w:tabs>
          <w:tab w:leader="none" w:pos="87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to the extent constituting Indebtedness, agreements to pay service fees to professionals (including architects, engineers, contractors and designers) in furtherance of and/or in connection with the Property or agreements to pay fees and expenses or other amounts pursuant to the Services and Right to Use Agreement or the MSA or otherwise arising under the Services and Right to Use Agreement or the MSA in the ordinary course of business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such agreements shall give rise to Indebtedness for borrowed money);</w:t>
      </w:r>
    </w:p>
    <w:p>
      <w:pPr>
        <w:spacing w:after="0" w:line="79" w:lineRule="exact"/>
        <w:rPr>
          <w:rFonts w:ascii="Arial" w:cs="Arial" w:eastAsia="Arial" w:hAnsi="Arial"/>
          <w:sz w:val="18"/>
          <w:szCs w:val="18"/>
          <w:color w:val="auto"/>
        </w:rPr>
      </w:pPr>
    </w:p>
    <w:p>
      <w:pPr>
        <w:ind w:left="-7" w:firstLine="408"/>
        <w:spacing w:after="0" w:line="254" w:lineRule="auto"/>
        <w:tabs>
          <w:tab w:leader="none" w:pos="87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Indebtedness arising from agreements providing for indemnification, adjustment of purchase price or similar obligations, or from guarantees or letters of credit, surety bonds, or performance bonds securing any obligation of the Company or any Restricted Subsidiary of the Company pursuant to such agreements, in each case, incurred or assumed in connection with the acquisition or disposition of any business, assets or Capital Stock of a Restricted Subsidiary, other than guarantees of Indebtedness incurred by any Person acquiring all or any portion of such business, assets or Subsidiary for the purpose of financing such acquisition;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maximum aggregate liability in respect of all such Indebtedness shall at no time exceed the gross proceeds actually received in connection with such disposition;</w:t>
      </w:r>
    </w:p>
    <w:p>
      <w:pPr>
        <w:spacing w:after="0" w:line="86" w:lineRule="exact"/>
        <w:rPr>
          <w:rFonts w:ascii="Arial" w:cs="Arial" w:eastAsia="Arial" w:hAnsi="Arial"/>
          <w:sz w:val="18"/>
          <w:szCs w:val="18"/>
          <w:color w:val="auto"/>
        </w:rPr>
      </w:pPr>
    </w:p>
    <w:p>
      <w:pPr>
        <w:ind w:left="873" w:hanging="472"/>
        <w:spacing w:after="0"/>
        <w:tabs>
          <w:tab w:leader="none" w:pos="87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Obligations in respect of Shareholder Subordinated Debt;</w:t>
      </w:r>
    </w:p>
    <w:p>
      <w:pPr>
        <w:spacing w:after="0" w:line="117" w:lineRule="exact"/>
        <w:rPr>
          <w:rFonts w:ascii="Arial" w:cs="Arial" w:eastAsia="Arial" w:hAnsi="Arial"/>
          <w:sz w:val="18"/>
          <w:szCs w:val="18"/>
          <w:color w:val="auto"/>
        </w:rPr>
      </w:pPr>
    </w:p>
    <w:p>
      <w:pPr>
        <w:ind w:left="873" w:hanging="472"/>
        <w:spacing w:after="0"/>
        <w:tabs>
          <w:tab w:leader="none" w:pos="873" w:val="left"/>
        </w:tabs>
        <w:numPr>
          <w:ilvl w:val="1"/>
          <w:numId w:val="468"/>
        </w:numPr>
        <w:rPr>
          <w:rFonts w:ascii="Arial" w:cs="Arial" w:eastAsia="Arial" w:hAnsi="Arial"/>
          <w:sz w:val="16"/>
          <w:szCs w:val="16"/>
          <w:color w:val="auto"/>
        </w:rPr>
      </w:pPr>
      <w:r>
        <w:rPr>
          <w:rFonts w:ascii="Arial" w:cs="Arial" w:eastAsia="Arial" w:hAnsi="Arial"/>
          <w:sz w:val="16"/>
          <w:szCs w:val="16"/>
          <w:color w:val="auto"/>
        </w:rPr>
        <w:t>any guarantees made solely in connection with (and limited in scope to) the giving of a Lien of the type specified in clause</w:t>
      </w:r>
    </w:p>
    <w:p>
      <w:pPr>
        <w:spacing w:after="0" w:line="46" w:lineRule="exact"/>
        <w:rPr>
          <w:rFonts w:ascii="Arial" w:cs="Arial" w:eastAsia="Arial" w:hAnsi="Arial"/>
          <w:sz w:val="16"/>
          <w:szCs w:val="16"/>
          <w:color w:val="auto"/>
        </w:rPr>
      </w:pPr>
    </w:p>
    <w:p>
      <w:pPr>
        <w:ind w:left="-7" w:right="560" w:firstLine="7"/>
        <w:spacing w:after="0" w:line="260" w:lineRule="auto"/>
        <w:tabs>
          <w:tab w:leader="none" w:pos="337" w:val="left"/>
        </w:tabs>
        <w:numPr>
          <w:ilvl w:val="0"/>
          <w:numId w:val="469"/>
        </w:numPr>
        <w:rPr>
          <w:rFonts w:ascii="Arial" w:cs="Arial" w:eastAsia="Arial" w:hAnsi="Arial"/>
          <w:sz w:val="18"/>
          <w:szCs w:val="18"/>
          <w:color w:val="auto"/>
        </w:rPr>
      </w:pPr>
      <w:r>
        <w:rPr>
          <w:rFonts w:ascii="Arial" w:cs="Arial" w:eastAsia="Arial" w:hAnsi="Arial"/>
          <w:sz w:val="18"/>
          <w:szCs w:val="18"/>
          <w:color w:val="auto"/>
        </w:rPr>
        <w:t>of “Permitted Liens” to secure Indebtedness of an Unrestricted Subsidiary, the only recourse of which to the Company and its Restricted Subsidiaries is to the Equity Interests subject to the Liens;</w:t>
      </w:r>
    </w:p>
    <w:p>
      <w:pPr>
        <w:spacing w:after="0" w:line="77" w:lineRule="exact"/>
        <w:rPr>
          <w:rFonts w:ascii="Arial" w:cs="Arial" w:eastAsia="Arial" w:hAnsi="Arial"/>
          <w:sz w:val="18"/>
          <w:szCs w:val="18"/>
          <w:color w:val="auto"/>
        </w:rPr>
      </w:pPr>
    </w:p>
    <w:p>
      <w:pPr>
        <w:ind w:left="-7" w:right="80" w:firstLine="408"/>
        <w:spacing w:after="0" w:line="311" w:lineRule="auto"/>
        <w:tabs>
          <w:tab w:leader="none" w:pos="873" w:val="left"/>
        </w:tabs>
        <w:numPr>
          <w:ilvl w:val="1"/>
          <w:numId w:val="469"/>
        </w:numPr>
        <w:rPr>
          <w:rFonts w:ascii="Arial" w:cs="Arial" w:eastAsia="Arial" w:hAnsi="Arial"/>
          <w:sz w:val="16"/>
          <w:szCs w:val="16"/>
          <w:color w:val="auto"/>
        </w:rPr>
      </w:pPr>
      <w:r>
        <w:rPr>
          <w:rFonts w:ascii="Arial" w:cs="Arial" w:eastAsia="Arial" w:hAnsi="Arial"/>
          <w:sz w:val="16"/>
          <w:szCs w:val="16"/>
          <w:color w:val="auto"/>
        </w:rPr>
        <w:t>the Incurrence by the Company or the Subsidiary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(16), not to exceed US$50.0 million; and</w:t>
      </w:r>
    </w:p>
    <w:p>
      <w:pPr>
        <w:spacing w:after="0" w:line="81"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9953"/>
          </w:cols>
          <w:pgMar w:left="1427" w:top="274" w:right="519" w:bottom="1440" w:gutter="0" w:footer="0" w:header="0"/>
        </w:sectPr>
      </w:pPr>
    </w:p>
    <w:bookmarkStart w:id="400" w:name="page401"/>
    <w:bookmarkEnd w:id="400"/>
    <w:p>
      <w:pPr>
        <w:ind w:left="980" w:firstLine="408"/>
        <w:spacing w:after="0" w:line="296" w:lineRule="auto"/>
        <w:tabs>
          <w:tab w:leader="none" w:pos="1860" w:val="left"/>
        </w:tabs>
        <w:numPr>
          <w:ilvl w:val="0"/>
          <w:numId w:val="4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Incurrence by the Company or the Subsidiary Guarantors of additional Indebtedness in respect of the Phase II Project in an aggregate principal amount (or accreted value, as applicable) at any time outstanding, including all Permitted Refinancing Indebtedness Incurred to renew, refund, refinance, replace, defease or discharge any Indebtedness Incurred pursuant to this clause (17), not to exceed the greater of (x) 75% of the EBITDA of the Company for the most recently ended four full fiscal quarters for which internal financial statements are available (which figure shall be based on audited financial information, if for an annual period) and (y) US$350.0 million.</w:t>
      </w:r>
    </w:p>
    <w:p>
      <w:pPr>
        <w:spacing w:after="0" w:line="161"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The Company will not Incur, and will not permit any Subsidiary Guarantor to Incur, any Indebtedness (including Permitted Debt) that is contractually subordinated in right of payment to any other Indebtedness of the Company or such Subsidiary Guarantor unless such Indebtedness is also contractually subordinated in right of payment to the Notes and the applicable Note Guarantee on substantially identical terms;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Indebtedness will be deemed to be contractually subordinated in right of payment to any other Indebtedness of the Company or any Subsidiary Guarantor solely by virtue of being unsecured or by virtue of being secured on a first or junior Lien basis.</w:t>
      </w:r>
    </w:p>
    <w:p>
      <w:pPr>
        <w:spacing w:after="0" w:line="176"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For purposes of determining compliance with this Section 4.09, in the event that an item of proposed Indebtedness meets the criteria of more than one of the categories of Permitted Debt described in clauses (1) through (17) above, or is entitled to be Incurred pursuant to the first paragraph of this covenant, the Company will be permitted to classify such item of Indebtedness on the date of its Incurrence, or later reclassify all or a portion of such item of Indebtedness, in any manner that complies with this Section 4.09. Indebtedness incurred under the Senior Secured Credit Facilities will be deemed to have been incurred in reliance on the exception provided by clause (1)(x) of the definition of Permitted Debt and may not be reclassified and Indebtedness incurred under the Existing Studio City Company Notes will be deemed to have been incurred in reliance on the exception provided by clause (3)(a) of the definition of Permitted Debt and may not be reclassified.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4.09; provided, in each such case, that the amount of any such accrual, accretion or payment is included in Fixed Charges of the Company as accrued. Notwithstanding any other provision of this Section 4.09, the maximum amount of Indebtedness that the Company or any Restricted Subsidiary of the Company may Incur pursuant to this Section 4.09 shall not be deemed to be exceeded solely as a result of fluctuations in exchange rates or currency values.</w:t>
      </w:r>
    </w:p>
    <w:p>
      <w:pPr>
        <w:spacing w:after="0" w:line="184" w:lineRule="exact"/>
        <w:rPr>
          <w:sz w:val="20"/>
          <w:szCs w:val="20"/>
          <w:color w:val="auto"/>
        </w:rPr>
      </w:pPr>
    </w:p>
    <w:p>
      <w:pPr>
        <w:ind w:right="340" w:firstLine="991"/>
        <w:spacing w:after="0" w:line="259" w:lineRule="auto"/>
        <w:rPr>
          <w:sz w:val="20"/>
          <w:szCs w:val="20"/>
          <w:color w:val="auto"/>
        </w:rPr>
      </w:pPr>
      <w:r>
        <w:rPr>
          <w:rFonts w:ascii="Arial" w:cs="Arial" w:eastAsia="Arial" w:hAnsi="Arial"/>
          <w:sz w:val="18"/>
          <w:szCs w:val="18"/>
          <w:color w:val="auto"/>
        </w:rPr>
        <w:t>Further, for purposes of determining compliance with this covenant, to the extent the Company or any of its Restricted Subsidiaries guarantees Indebtedness of a direct or indirect parent entity to the extent otherwise permitted by this covenant, the on-loan by such direct or indirect parent entity to the Company or any of its Restricted Subsidiaries of all or a portion of the principal amount of such Indebtedness will not be double counted.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780" w:hanging="392"/>
        <w:spacing w:after="0"/>
        <w:tabs>
          <w:tab w:leader="none" w:pos="17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401" w:name="page402"/>
    <w:bookmarkEnd w:id="401"/>
    <w:p>
      <w:pPr>
        <w:ind w:left="1780" w:hanging="392"/>
        <w:spacing w:after="0"/>
        <w:tabs>
          <w:tab w:leader="none" w:pos="1780" w:val="left"/>
        </w:tabs>
        <w:numPr>
          <w:ilvl w:val="0"/>
          <w:numId w:val="4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respect of Indebtedness of another Person secured by a Lien on the assets of the specified Person, the lesser of:</w:t>
      </w:r>
    </w:p>
    <w:p>
      <w:pPr>
        <w:spacing w:after="0" w:line="128" w:lineRule="exact"/>
        <w:rPr>
          <w:rFonts w:ascii="Arial" w:cs="Arial" w:eastAsia="Arial" w:hAnsi="Arial"/>
          <w:sz w:val="17"/>
          <w:szCs w:val="17"/>
          <w:color w:val="auto"/>
        </w:rPr>
      </w:pPr>
    </w:p>
    <w:p>
      <w:pPr>
        <w:ind w:left="2240" w:hanging="429"/>
        <w:spacing w:after="0"/>
        <w:tabs>
          <w:tab w:leader="none" w:pos="224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 face amount of the Indebtedness of the other Person.</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5"/>
          <w:szCs w:val="15"/>
          <w:i w:val="1"/>
          <w:iCs w:val="1"/>
          <w:color w:val="auto"/>
        </w:rPr>
        <w:t>Asset Sales.</w:t>
      </w:r>
    </w:p>
    <w:p>
      <w:pPr>
        <w:spacing w:after="0" w:line="117"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Company will not, and will not permit any of its Restricted Subsidiaries to, consummate an Asset Sale (other than an Event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unless:</w:t>
      </w:r>
    </w:p>
    <w:p>
      <w:pPr>
        <w:spacing w:after="0" w:line="103" w:lineRule="exact"/>
        <w:rPr>
          <w:sz w:val="20"/>
          <w:szCs w:val="20"/>
          <w:color w:val="auto"/>
        </w:rPr>
      </w:pPr>
    </w:p>
    <w:p>
      <w:pPr>
        <w:ind w:left="980" w:right="340" w:firstLine="408"/>
        <w:spacing w:after="0" w:line="308" w:lineRule="auto"/>
        <w:tabs>
          <w:tab w:leader="none" w:pos="1771" w:val="left"/>
        </w:tabs>
        <w:numPr>
          <w:ilvl w:val="1"/>
          <w:numId w:val="473"/>
        </w:numPr>
        <w:rPr>
          <w:rFonts w:ascii="Arial" w:cs="Arial" w:eastAsia="Arial" w:hAnsi="Arial"/>
          <w:sz w:val="17"/>
          <w:szCs w:val="17"/>
          <w:color w:val="auto"/>
        </w:rPr>
      </w:pPr>
      <w:r>
        <w:rPr>
          <w:rFonts w:ascii="Arial" w:cs="Arial" w:eastAsia="Arial" w:hAnsi="Arial"/>
          <w:sz w:val="17"/>
          <w:szCs w:val="17"/>
          <w:color w:val="auto"/>
        </w:rPr>
        <w:t>the Company or the Restricted Subsidiary, as the case may be, receives consideration at the time of such Asset Sale at least equal to the Fair Market Value of the assets or Equity Interests issued or sold or otherwise disposed of; and</w:t>
      </w:r>
    </w:p>
    <w:p>
      <w:pPr>
        <w:spacing w:after="0" w:line="38" w:lineRule="exact"/>
        <w:rPr>
          <w:rFonts w:ascii="Arial" w:cs="Arial" w:eastAsia="Arial" w:hAnsi="Arial"/>
          <w:sz w:val="17"/>
          <w:szCs w:val="17"/>
          <w:color w:val="auto"/>
        </w:rPr>
      </w:pPr>
    </w:p>
    <w:p>
      <w:pPr>
        <w:ind w:left="980" w:right="320" w:firstLine="408"/>
        <w:spacing w:after="0" w:line="277" w:lineRule="auto"/>
        <w:tabs>
          <w:tab w:leader="none" w:pos="1771"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is in the form of cash. For purposes of this provision, each of the following will be deemed to be cash:</w:t>
      </w:r>
    </w:p>
    <w:p>
      <w:pPr>
        <w:spacing w:after="0" w:line="62" w:lineRule="exact"/>
        <w:rPr>
          <w:rFonts w:ascii="Arial" w:cs="Arial" w:eastAsia="Arial" w:hAnsi="Arial"/>
          <w:sz w:val="18"/>
          <w:szCs w:val="18"/>
          <w:color w:val="auto"/>
        </w:rPr>
      </w:pPr>
    </w:p>
    <w:p>
      <w:pPr>
        <w:ind w:left="1420" w:firstLine="391"/>
        <w:spacing w:after="0" w:line="259" w:lineRule="auto"/>
        <w:tabs>
          <w:tab w:leader="none" w:pos="2233" w:val="left"/>
        </w:tabs>
        <w:numPr>
          <w:ilvl w:val="2"/>
          <w:numId w:val="473"/>
        </w:numPr>
        <w:rPr>
          <w:rFonts w:ascii="Arial" w:cs="Arial" w:eastAsia="Arial" w:hAnsi="Arial"/>
          <w:sz w:val="18"/>
          <w:szCs w:val="18"/>
          <w:color w:val="auto"/>
        </w:rPr>
      </w:pPr>
      <w:r>
        <w:rPr>
          <w:rFonts w:ascii="Arial" w:cs="Arial" w:eastAsia="Arial" w:hAnsi="Arial"/>
          <w:sz w:val="18"/>
          <w:szCs w:val="18"/>
          <w:color w:val="auto"/>
        </w:rPr>
        <w:t>any liabilities, as shown on the Company’s most recent consolidated balance sheet, of the Company or any Restricted Subsidiary (other than contingent liabilities and liabilities that are by their terms subordinated to the Notes or any Note Guarantee) that are assumed by the transferee of any such assets pursuant to a customary novation agreement that releases the Company or such Restricted Subsidiary from further liability;</w:t>
      </w:r>
    </w:p>
    <w:p>
      <w:pPr>
        <w:spacing w:after="0" w:line="78" w:lineRule="exact"/>
        <w:rPr>
          <w:rFonts w:ascii="Arial" w:cs="Arial" w:eastAsia="Arial" w:hAnsi="Arial"/>
          <w:sz w:val="18"/>
          <w:szCs w:val="18"/>
          <w:color w:val="auto"/>
        </w:rPr>
      </w:pPr>
    </w:p>
    <w:p>
      <w:pPr>
        <w:ind w:left="1420" w:right="160" w:firstLine="391"/>
        <w:spacing w:after="0" w:line="263" w:lineRule="auto"/>
        <w:tabs>
          <w:tab w:leader="none" w:pos="2223" w:val="left"/>
        </w:tabs>
        <w:numPr>
          <w:ilvl w:val="2"/>
          <w:numId w:val="473"/>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are, within 30 days of the receipt thereof, converted by the Company or such Restricted Subsidiary into cash, to the extent of the cash received in that conversion; and</w:t>
      </w:r>
    </w:p>
    <w:p>
      <w:pPr>
        <w:spacing w:after="0" w:line="75" w:lineRule="exact"/>
        <w:rPr>
          <w:rFonts w:ascii="Arial" w:cs="Arial" w:eastAsia="Arial" w:hAnsi="Arial"/>
          <w:sz w:val="18"/>
          <w:szCs w:val="18"/>
          <w:color w:val="auto"/>
        </w:rPr>
      </w:pPr>
    </w:p>
    <w:p>
      <w:pPr>
        <w:ind w:left="2240" w:hanging="429"/>
        <w:spacing w:after="0"/>
        <w:tabs>
          <w:tab w:leader="none" w:pos="2240" w:val="left"/>
        </w:tabs>
        <w:numPr>
          <w:ilvl w:val="2"/>
          <w:numId w:val="473"/>
        </w:numPr>
        <w:rPr>
          <w:rFonts w:ascii="Arial" w:cs="Arial" w:eastAsia="Arial" w:hAnsi="Arial"/>
          <w:sz w:val="18"/>
          <w:szCs w:val="18"/>
          <w:color w:val="auto"/>
        </w:rPr>
      </w:pPr>
      <w:r>
        <w:rPr>
          <w:rFonts w:ascii="Arial" w:cs="Arial" w:eastAsia="Arial" w:hAnsi="Arial"/>
          <w:sz w:val="18"/>
          <w:szCs w:val="18"/>
          <w:color w:val="auto"/>
        </w:rPr>
        <w:t>any stock or assets of the kind referred to in Section 4.10(b)(2) or Section 4.10(b)(4).</w:t>
      </w:r>
    </w:p>
    <w:p>
      <w:pPr>
        <w:spacing w:after="0" w:line="225" w:lineRule="exact"/>
        <w:rPr>
          <w:rFonts w:ascii="Arial" w:cs="Arial" w:eastAsia="Arial" w:hAnsi="Arial"/>
          <w:sz w:val="18"/>
          <w:szCs w:val="18"/>
          <w:color w:val="auto"/>
        </w:rPr>
      </w:pPr>
    </w:p>
    <w:p>
      <w:pPr>
        <w:ind w:right="700" w:firstLine="987"/>
        <w:spacing w:after="0" w:line="277" w:lineRule="auto"/>
        <w:tabs>
          <w:tab w:leader="none" w:pos="1378"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Within 360 days after the receipt of any Net Proceeds from an Asset Sale (including an Event of Loss), the Company or the applicable Restricted Subsidiary, as the case may be may apply such Net Proceeds:</w:t>
      </w:r>
    </w:p>
    <w:p>
      <w:pPr>
        <w:spacing w:after="0" w:line="62" w:lineRule="exact"/>
        <w:rPr>
          <w:rFonts w:ascii="Arial" w:cs="Arial" w:eastAsia="Arial" w:hAnsi="Arial"/>
          <w:sz w:val="18"/>
          <w:szCs w:val="18"/>
          <w:color w:val="auto"/>
        </w:rPr>
      </w:pPr>
    </w:p>
    <w:p>
      <w:pPr>
        <w:jc w:val="both"/>
        <w:ind w:left="980" w:right="40" w:firstLine="408"/>
        <w:spacing w:after="0" w:line="301" w:lineRule="auto"/>
        <w:tabs>
          <w:tab w:leader="none" w:pos="1771" w:val="left"/>
        </w:tabs>
        <w:numPr>
          <w:ilvl w:val="1"/>
          <w:numId w:val="474"/>
        </w:numPr>
        <w:rPr>
          <w:rFonts w:ascii="Arial" w:cs="Arial" w:eastAsia="Arial" w:hAnsi="Arial"/>
          <w:sz w:val="16"/>
          <w:szCs w:val="16"/>
          <w:color w:val="auto"/>
        </w:rPr>
      </w:pPr>
      <w:r>
        <w:rPr>
          <w:rFonts w:ascii="Arial" w:cs="Arial" w:eastAsia="Arial" w:hAnsi="Arial"/>
          <w:sz w:val="16"/>
          <w:szCs w:val="16"/>
          <w:color w:val="auto"/>
        </w:rPr>
        <w:t>to repay (a) Indebtedness Incurred under Section 4.09(b)(1) and Section 4.09(b)(17), (b) other Indebtedness of the Company or a Subsidiary Guarantor secured by property and assets that are the subject of such Asset Sale, and, in each case, if the Indebtedness repaid is revolving credit Indebtedness, to correspondingly reduce commitments with respect thereto, (c) Indebtedness of a Restricted Subsidiary that is not a Subsidiary Guarantor or (d) the Notes pursuant to the redemption provisions of this Indenture;</w:t>
      </w:r>
    </w:p>
    <w:p>
      <w:pPr>
        <w:spacing w:after="0" w:line="49" w:lineRule="exact"/>
        <w:rPr>
          <w:rFonts w:ascii="Arial" w:cs="Arial" w:eastAsia="Arial" w:hAnsi="Arial"/>
          <w:sz w:val="16"/>
          <w:szCs w:val="16"/>
          <w:color w:val="auto"/>
        </w:rPr>
      </w:pPr>
    </w:p>
    <w:p>
      <w:pPr>
        <w:ind w:left="980" w:firstLine="408"/>
        <w:spacing w:after="0" w:line="254" w:lineRule="auto"/>
        <w:tabs>
          <w:tab w:leader="none" w:pos="1771"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another Permitted Business, or any Capital Stock of, a Person undertaking another Permitted Business, if, after giving effect to any such acquisition of Capital Stock, the Permitted Business is or becomes a Restricted Subsidiary of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such acquisition funded with any proceeds from an Event of Loss occurs within the date that is 545 days after receipt of the Net Proceeds from the relevant Event of Loss to the extent that a binding agreement to acquire such assets or Capital Stock is entered into on or prior to the date that is 360 days after receipt of the Net Proceeds from the relevant Event of Loss, and (b) if such acquisition is not consummated within the period set forth in clause (a), the Net Proceeds not so applied will be deemed to be Excess Proceeds);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440" w:top="274" w:right="499" w:bottom="1440" w:gutter="0" w:footer="0" w:header="0"/>
        </w:sectPr>
      </w:pPr>
    </w:p>
    <w:bookmarkStart w:id="402" w:name="page403"/>
    <w:bookmarkEnd w:id="402"/>
    <w:p>
      <w:pPr>
        <w:ind w:left="980" w:right="260" w:firstLine="408"/>
        <w:spacing w:after="0" w:line="259" w:lineRule="auto"/>
        <w:tabs>
          <w:tab w:leader="none" w:pos="1771" w:val="left"/>
        </w:tabs>
        <w:numPr>
          <w:ilvl w:val="1"/>
          <w:numId w:val="4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make a capital expenditure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capital expenditure funded with any proceeds from an Event of Loss occurs within the date that is 545 days after receipt of the Net Proceeds from the relevant Event of Loss to the extent that a binding agreement to make such capital expenditure is entered into on or prior to the date that is 360 days after receipt of the Net Proceeds from the relevant Event of Loss); or</w:t>
      </w:r>
    </w:p>
    <w:p>
      <w:pPr>
        <w:spacing w:after="0" w:line="78" w:lineRule="exact"/>
        <w:rPr>
          <w:rFonts w:ascii="Arial" w:cs="Arial" w:eastAsia="Arial" w:hAnsi="Arial"/>
          <w:sz w:val="18"/>
          <w:szCs w:val="18"/>
          <w:color w:val="auto"/>
        </w:rPr>
      </w:pPr>
    </w:p>
    <w:p>
      <w:pPr>
        <w:ind w:left="980" w:right="20" w:firstLine="408"/>
        <w:spacing w:after="0" w:line="296" w:lineRule="auto"/>
        <w:tabs>
          <w:tab w:leader="none" w:pos="1771" w:val="left"/>
        </w:tabs>
        <w:numPr>
          <w:ilvl w:val="1"/>
          <w:numId w:val="475"/>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U.S. GAAP and that are used or useful in a Permitted Business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 such acquisition funded from an Event of Loss occurs within the date that is 545 days after receipt of the Net Proceeds from the relevant Event of Loss to the extent that a binding agreement to acquire such assets is entered into on or prior to the date that is 360 days after receipt of the Net Proceeds from the relevant Event of Loss, and (b) if such acquisition is not consummated within the period set forth in clause (a), the Net Proceeds not so applied will be deemed to be Excess Proceeds); or</w:t>
      </w:r>
    </w:p>
    <w:p>
      <w:pPr>
        <w:spacing w:after="0" w:line="53" w:lineRule="exact"/>
        <w:rPr>
          <w:rFonts w:ascii="Arial" w:cs="Arial" w:eastAsia="Arial" w:hAnsi="Arial"/>
          <w:sz w:val="16"/>
          <w:szCs w:val="16"/>
          <w:color w:val="auto"/>
        </w:rPr>
      </w:pPr>
    </w:p>
    <w:p>
      <w:pPr>
        <w:ind w:left="980" w:right="180" w:firstLine="408"/>
        <w:spacing w:after="0" w:line="285" w:lineRule="auto"/>
        <w:tabs>
          <w:tab w:leader="none" w:pos="1771" w:val="left"/>
        </w:tabs>
        <w:numPr>
          <w:ilvl w:val="1"/>
          <w:numId w:val="475"/>
        </w:numPr>
        <w:rPr>
          <w:rFonts w:ascii="Arial" w:cs="Arial" w:eastAsia="Arial" w:hAnsi="Arial"/>
          <w:sz w:val="16"/>
          <w:szCs w:val="16"/>
          <w:color w:val="auto"/>
        </w:rPr>
      </w:pPr>
      <w:r>
        <w:rPr>
          <w:rFonts w:ascii="Arial" w:cs="Arial" w:eastAsia="Arial" w:hAnsi="Arial"/>
          <w:sz w:val="16"/>
          <w:szCs w:val="16"/>
          <w:color w:val="auto"/>
        </w:rPr>
        <w:t xml:space="preserve">enter into a binding commitment regarding clauses (2), (3) or (4) above (in addition to the binding commitments expressly referenced in those clauses);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binding commitment shall be treated as a permitted application of Net Proceeds from the date of such commitment until the earlier of (x) the date on which such acquisition or expenditure is consummated and (y) the 180th day following the expiration of the aforementioned 360-day period. To the extent such acquisition or expenditure is not consummated on or before such 180th day and the Company or such Restricted Subsidiary shall not have applied such Net Proceeds pursuant to clauses (2),</w:t>
      </w:r>
    </w:p>
    <w:p>
      <w:pPr>
        <w:spacing w:after="0" w:line="1" w:lineRule="exact"/>
        <w:rPr>
          <w:rFonts w:ascii="Arial" w:cs="Arial" w:eastAsia="Arial" w:hAnsi="Arial"/>
          <w:sz w:val="16"/>
          <w:szCs w:val="16"/>
          <w:color w:val="auto"/>
        </w:rPr>
      </w:pPr>
    </w:p>
    <w:p>
      <w:pPr>
        <w:ind w:left="980" w:right="100" w:firstLine="7"/>
        <w:spacing w:after="0" w:line="260" w:lineRule="auto"/>
        <w:tabs>
          <w:tab w:leader="none" w:pos="1235" w:val="left"/>
        </w:tabs>
        <w:numPr>
          <w:ilvl w:val="0"/>
          <w:numId w:val="476"/>
        </w:numPr>
        <w:rPr>
          <w:rFonts w:ascii="Arial" w:cs="Arial" w:eastAsia="Arial" w:hAnsi="Arial"/>
          <w:sz w:val="18"/>
          <w:szCs w:val="18"/>
          <w:color w:val="auto"/>
        </w:rPr>
      </w:pPr>
      <w:r>
        <w:rPr>
          <w:rFonts w:ascii="Arial" w:cs="Arial" w:eastAsia="Arial" w:hAnsi="Arial"/>
          <w:sz w:val="18"/>
          <w:szCs w:val="18"/>
          <w:color w:val="auto"/>
        </w:rPr>
        <w:t>or (4) above on or before such 180th day, such commitment shall be deemed not to have been a permitted application of Net Proceeds, and such Net Proceeds will constitute Excess Proceeds.</w:t>
      </w:r>
    </w:p>
    <w:p>
      <w:pPr>
        <w:spacing w:after="0" w:line="185" w:lineRule="exact"/>
        <w:rPr>
          <w:sz w:val="20"/>
          <w:szCs w:val="20"/>
          <w:color w:val="auto"/>
        </w:rPr>
      </w:pPr>
    </w:p>
    <w:p>
      <w:pPr>
        <w:ind w:right="260" w:firstLine="987"/>
        <w:spacing w:after="0" w:line="277" w:lineRule="auto"/>
        <w:tabs>
          <w:tab w:leader="none" w:pos="1371" w:val="left"/>
        </w:tabs>
        <w:numPr>
          <w:ilvl w:val="0"/>
          <w:numId w:val="477"/>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Indenture.</w:t>
      </w:r>
    </w:p>
    <w:p>
      <w:pPr>
        <w:spacing w:after="0" w:line="170" w:lineRule="exact"/>
        <w:rPr>
          <w:rFonts w:ascii="Arial" w:cs="Arial" w:eastAsia="Arial" w:hAnsi="Arial"/>
          <w:sz w:val="18"/>
          <w:szCs w:val="18"/>
          <w:color w:val="auto"/>
        </w:rPr>
      </w:pPr>
    </w:p>
    <w:p>
      <w:pPr>
        <w:ind w:right="80" w:firstLine="987"/>
        <w:spacing w:after="0" w:line="271" w:lineRule="auto"/>
        <w:tabs>
          <w:tab w:leader="none" w:pos="1371" w:val="left"/>
        </w:tabs>
        <w:numPr>
          <w:ilvl w:val="0"/>
          <w:numId w:val="477"/>
        </w:numPr>
        <w:rPr>
          <w:rFonts w:ascii="Arial" w:cs="Arial" w:eastAsia="Arial" w:hAnsi="Arial"/>
          <w:sz w:val="17"/>
          <w:szCs w:val="17"/>
          <w:color w:val="auto"/>
        </w:rPr>
      </w:pPr>
      <w:r>
        <w:rPr>
          <w:rFonts w:ascii="Arial" w:cs="Arial" w:eastAsia="Arial" w:hAnsi="Arial"/>
          <w:sz w:val="17"/>
          <w:szCs w:val="17"/>
          <w:color w:val="auto"/>
        </w:rPr>
        <w:t xml:space="preserve">Any Net Proceeds from Asset Sales that are not applied or invested as provided in the second paragraph of this Section 4.10 will constitute “Excess Proceeds.” When the aggregate amount of Excess Proceeds exceeds US$5.0 million, within ten (10) days thereof, the Company shall make an Asset Sale Offer to all Holders with respect to offers to purchase or redeem with the proceeds of sales of assets to purchase the maximum principal amount of Notes. The offer price in any Asset Sale Offer will be equal to 100% of the principal amount plus accrued and unpaid interest, if any, to the date of purchase, and will be payable in cash. If any Excess Proceeds remain after consummation of an Asset Sale Offer, the Company may use those Excess Proceeds for any purpose not otherwise prohibited by this Indenture. If the aggregate principal amount of Notes tendered into such Asset Sale Offer exceeds the amount of Excess Proceeds, the Company will purchase all tendered Notes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Upon completion of each Asset Sale Offer, the amount of Excess Proceeds will be reset at zero.</w:t>
      </w:r>
    </w:p>
    <w:p>
      <w:pPr>
        <w:spacing w:after="0" w:line="178" w:lineRule="exact"/>
        <w:rPr>
          <w:rFonts w:ascii="Arial" w:cs="Arial" w:eastAsia="Arial" w:hAnsi="Arial"/>
          <w:sz w:val="17"/>
          <w:szCs w:val="17"/>
          <w:color w:val="auto"/>
        </w:rPr>
      </w:pPr>
    </w:p>
    <w:p>
      <w:pPr>
        <w:ind w:firstLine="987"/>
        <w:spacing w:after="0" w:line="257" w:lineRule="auto"/>
        <w:tabs>
          <w:tab w:leader="none" w:pos="1368"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to the extent such laws or regulations are applicable in connection with the repurchase of the Notes pursuant to an Asset Sale Offer. To the extent that the provisions of any securities laws or regulations conflict with the provisions of Section 3.09 hereof or this Section 4.10, the Company will comply with the applicable securities laws and regulations and shall not be deemed to have breached its obligations under Section 3.09 hereof or this Section 4.10 by virtue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403" w:name="page404"/>
    <w:bookmarkEnd w:id="403"/>
    <w:p>
      <w:pPr>
        <w:ind w:left="440"/>
        <w:spacing w:after="0"/>
        <w:tabs>
          <w:tab w:leader="none" w:pos="1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4.11</w:t>
      </w:r>
      <w:r>
        <w:rPr>
          <w:sz w:val="20"/>
          <w:szCs w:val="20"/>
          <w:color w:val="auto"/>
        </w:rPr>
        <w:tab/>
      </w:r>
      <w:r>
        <w:rPr>
          <w:rFonts w:ascii="Arial" w:cs="Arial" w:eastAsia="Arial" w:hAnsi="Arial"/>
          <w:sz w:val="16"/>
          <w:szCs w:val="16"/>
          <w:i w:val="1"/>
          <w:iCs w:val="1"/>
          <w:color w:val="auto"/>
        </w:rPr>
        <w:t>Transactions with Affiliates.</w:t>
      </w:r>
    </w:p>
    <w:p>
      <w:pPr>
        <w:spacing w:after="0" w:line="117" w:lineRule="exact"/>
        <w:rPr>
          <w:sz w:val="20"/>
          <w:szCs w:val="20"/>
          <w:color w:val="auto"/>
        </w:rPr>
      </w:pPr>
    </w:p>
    <w:p>
      <w:pPr>
        <w:ind w:right="80" w:firstLine="987"/>
        <w:spacing w:after="0" w:line="259" w:lineRule="auto"/>
        <w:tabs>
          <w:tab w:leader="none" w:pos="136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w:t>
      </w:r>
      <w:r>
        <w:rPr>
          <w:rFonts w:ascii="Arial" w:cs="Arial" w:eastAsia="Arial" w:hAnsi="Arial"/>
          <w:sz w:val="18"/>
          <w:szCs w:val="18"/>
          <w:color w:val="auto"/>
        </w:rPr>
        <w:t>”), unless:</w:t>
      </w:r>
    </w:p>
    <w:p>
      <w:pPr>
        <w:spacing w:after="0" w:line="78" w:lineRule="exact"/>
        <w:rPr>
          <w:rFonts w:ascii="Arial" w:cs="Arial" w:eastAsia="Arial" w:hAnsi="Arial"/>
          <w:sz w:val="18"/>
          <w:szCs w:val="18"/>
          <w:color w:val="auto"/>
        </w:rPr>
      </w:pPr>
    </w:p>
    <w:p>
      <w:pPr>
        <w:ind w:left="980" w:right="100" w:firstLine="408"/>
        <w:spacing w:after="0" w:line="263" w:lineRule="auto"/>
        <w:tabs>
          <w:tab w:leader="none" w:pos="1771"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Company or the relevant Restricted Subsidiary than those that would have been obtained in a comparable transaction by the Company or such Restricted Subsidiary with a Person that is not an Affiliate of the Company; and</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117" w:lineRule="exact"/>
        <w:rPr>
          <w:rFonts w:ascii="Arial" w:cs="Arial" w:eastAsia="Arial" w:hAnsi="Arial"/>
          <w:sz w:val="18"/>
          <w:szCs w:val="18"/>
          <w:color w:val="auto"/>
        </w:rPr>
      </w:pPr>
    </w:p>
    <w:p>
      <w:pPr>
        <w:ind w:left="1420" w:right="40" w:firstLine="391"/>
        <w:spacing w:after="0" w:line="255" w:lineRule="auto"/>
        <w:tabs>
          <w:tab w:leader="none" w:pos="2233" w:val="left"/>
        </w:tabs>
        <w:numPr>
          <w:ilvl w:val="2"/>
          <w:numId w:val="478"/>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US$45.0 million, a resolution of the Board of Directors of the Company set forth in an Officer’s Certificate certifying that such Affiliate Transaction complies with this Section 4.11(a) and that such Affiliate Transaction has been approved by a majority of the disinterested members of the Board of Directors of the Company or, if the Board of Directors of the Company has no disinterested directors, approved in good faith by a majority of the members (or in the case of a single member, the sole member) of the Board of Directors of the Company; and</w:t>
      </w:r>
    </w:p>
    <w:p>
      <w:pPr>
        <w:spacing w:after="0" w:line="84" w:lineRule="exact"/>
        <w:rPr>
          <w:rFonts w:ascii="Arial" w:cs="Arial" w:eastAsia="Arial" w:hAnsi="Arial"/>
          <w:sz w:val="18"/>
          <w:szCs w:val="18"/>
          <w:color w:val="auto"/>
        </w:rPr>
      </w:pPr>
    </w:p>
    <w:p>
      <w:pPr>
        <w:ind w:left="1420" w:right="20" w:firstLine="391"/>
        <w:spacing w:after="0" w:line="257" w:lineRule="auto"/>
        <w:tabs>
          <w:tab w:leader="none" w:pos="2223" w:val="left"/>
        </w:tabs>
        <w:numPr>
          <w:ilvl w:val="2"/>
          <w:numId w:val="478"/>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US$60.0 million, an opinion as to the fairness to the Company or such Restricted Subsidiary of such Affiliate Transaction from a financial point of view issued by an accounting, appraisal or investment banking firm of international standing, or other recognized independent expert of national standing with experience appraising the terms and conditions of the type of transaction or series of related transactions.</w:t>
      </w:r>
    </w:p>
    <w:p>
      <w:pPr>
        <w:spacing w:after="0" w:line="187" w:lineRule="exact"/>
        <w:rPr>
          <w:rFonts w:ascii="Arial" w:cs="Arial" w:eastAsia="Arial" w:hAnsi="Arial"/>
          <w:sz w:val="18"/>
          <w:szCs w:val="18"/>
          <w:color w:val="auto"/>
        </w:rPr>
      </w:pPr>
    </w:p>
    <w:p>
      <w:pPr>
        <w:ind w:left="1380" w:hanging="393"/>
        <w:spacing w:after="0"/>
        <w:tabs>
          <w:tab w:leader="none" w:pos="13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following items will not be deemed to be Affiliate Transactions and, therefore, will not be subject to the provisions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4.11(a) hereof:</w:t>
      </w:r>
    </w:p>
    <w:p>
      <w:pPr>
        <w:spacing w:after="0" w:line="103" w:lineRule="exact"/>
        <w:rPr>
          <w:sz w:val="20"/>
          <w:szCs w:val="20"/>
          <w:color w:val="auto"/>
        </w:rPr>
      </w:pPr>
    </w:p>
    <w:p>
      <w:pPr>
        <w:ind w:left="980" w:right="20" w:firstLine="408"/>
        <w:spacing w:after="0" w:line="259" w:lineRule="auto"/>
        <w:tabs>
          <w:tab w:leader="none" w:pos="1771"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any employment agreement, employee benefit plan (including compensation, retirement, disability, severance and other similar plan), officer or director indemnification, stock option or incentive plan or agreement, employee equity subscription agreement or any similar arrangement entered into by the Company or any of its Restricted Subsidiaries in the ordinary course of business and payments pursuant thereto;</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w:t>
      </w:r>
    </w:p>
    <w:p>
      <w:pPr>
        <w:spacing w:after="0" w:line="117" w:lineRule="exact"/>
        <w:rPr>
          <w:rFonts w:ascii="Arial" w:cs="Arial" w:eastAsia="Arial" w:hAnsi="Arial"/>
          <w:sz w:val="18"/>
          <w:szCs w:val="18"/>
          <w:color w:val="auto"/>
        </w:rPr>
      </w:pPr>
    </w:p>
    <w:p>
      <w:pPr>
        <w:ind w:left="980" w:right="540" w:firstLine="408"/>
        <w:spacing w:after="0" w:line="308" w:lineRule="auto"/>
        <w:tabs>
          <w:tab w:leader="none" w:pos="1771" w:val="left"/>
        </w:tabs>
        <w:numPr>
          <w:ilvl w:val="0"/>
          <w:numId w:val="479"/>
        </w:numPr>
        <w:rPr>
          <w:rFonts w:ascii="Arial" w:cs="Arial" w:eastAsia="Arial" w:hAnsi="Arial"/>
          <w:sz w:val="17"/>
          <w:szCs w:val="17"/>
          <w:color w:val="auto"/>
        </w:rPr>
      </w:pPr>
      <w:r>
        <w:rPr>
          <w:rFonts w:ascii="Arial" w:cs="Arial" w:eastAsia="Arial" w:hAnsi="Arial"/>
          <w:sz w:val="17"/>
          <w:szCs w:val="17"/>
          <w:color w:val="auto"/>
        </w:rPr>
        <w:t>transactions with a Person (other than an Unrestricted Subsidiary) that is an Affiliate of the Company solely because the Company owns directly or through a Restricted Subsidiary, an Equity Interest in, or controls, such Person;</w:t>
      </w:r>
    </w:p>
    <w:p>
      <w:pPr>
        <w:spacing w:after="0" w:line="38" w:lineRule="exact"/>
        <w:rPr>
          <w:rFonts w:ascii="Arial" w:cs="Arial" w:eastAsia="Arial" w:hAnsi="Arial"/>
          <w:sz w:val="17"/>
          <w:szCs w:val="17"/>
          <w:color w:val="auto"/>
        </w:rPr>
      </w:pPr>
    </w:p>
    <w:p>
      <w:pPr>
        <w:ind w:left="980" w:right="280" w:firstLine="408"/>
        <w:spacing w:after="0" w:line="277" w:lineRule="auto"/>
        <w:tabs>
          <w:tab w:leader="none" w:pos="1771" w:val="left"/>
        </w:tabs>
        <w:numPr>
          <w:ilvl w:val="0"/>
          <w:numId w:val="479"/>
        </w:numPr>
        <w:rPr>
          <w:rFonts w:ascii="Arial" w:cs="Arial" w:eastAsia="Arial" w:hAnsi="Arial"/>
          <w:sz w:val="18"/>
          <w:szCs w:val="18"/>
          <w:color w:val="auto"/>
        </w:rPr>
      </w:pPr>
      <w:r>
        <w:rPr>
          <w:rFonts w:ascii="Arial" w:cs="Arial" w:eastAsia="Arial" w:hAnsi="Arial"/>
          <w:sz w:val="18"/>
          <w:szCs w:val="18"/>
          <w:color w:val="auto"/>
        </w:rPr>
        <w:t>payment of reasonable officers’ and directors’ fees and reimbursement of expenses (including the provision of indemnity to officers and directors) to Persons who are not otherwise Affiliates of the Company;</w:t>
      </w:r>
    </w:p>
    <w:p>
      <w:pPr>
        <w:spacing w:after="0" w:line="62" w:lineRule="exact"/>
        <w:rPr>
          <w:rFonts w:ascii="Arial" w:cs="Arial" w:eastAsia="Arial" w:hAnsi="Arial"/>
          <w:sz w:val="18"/>
          <w:szCs w:val="18"/>
          <w:color w:val="auto"/>
        </w:rPr>
      </w:pPr>
    </w:p>
    <w:p>
      <w:pPr>
        <w:ind w:left="980" w:firstLine="408"/>
        <w:spacing w:after="0" w:line="277" w:lineRule="auto"/>
        <w:tabs>
          <w:tab w:leader="none" w:pos="1771"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Company to Affiliates of the Company or contribution to the common equity capital of the Company;</w:t>
      </w:r>
    </w:p>
    <w:p>
      <w:pPr>
        <w:spacing w:after="0" w:line="62" w:lineRule="exact"/>
        <w:rPr>
          <w:rFonts w:ascii="Arial" w:cs="Arial" w:eastAsia="Arial" w:hAnsi="Arial"/>
          <w:sz w:val="18"/>
          <w:szCs w:val="18"/>
          <w:color w:val="auto"/>
        </w:rPr>
      </w:pPr>
    </w:p>
    <w:p>
      <w:pPr>
        <w:ind w:left="980" w:right="340" w:firstLine="408"/>
        <w:spacing w:after="0" w:line="277" w:lineRule="auto"/>
        <w:tabs>
          <w:tab w:leader="none" w:pos="1771" w:val="left"/>
        </w:tabs>
        <w:numPr>
          <w:ilvl w:val="0"/>
          <w:numId w:val="479"/>
        </w:numPr>
        <w:rPr>
          <w:rFonts w:ascii="Arial" w:cs="Arial" w:eastAsia="Arial" w:hAnsi="Arial"/>
          <w:sz w:val="18"/>
          <w:szCs w:val="18"/>
          <w:color w:val="auto"/>
        </w:rPr>
      </w:pPr>
      <w:r>
        <w:rPr>
          <w:rFonts w:ascii="Arial" w:cs="Arial" w:eastAsia="Arial" w:hAnsi="Arial"/>
          <w:sz w:val="18"/>
          <w:szCs w:val="18"/>
          <w:color w:val="auto"/>
        </w:rPr>
        <w:t>Restricted Payments (including any payments made under, pursuant to or in connection with the Services and Right to Use Agreement, the Reinvestment Agreement or the MSA) that do not violate Section 4.07 hereof;</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40" w:top="274" w:right="499" w:bottom="1440" w:gutter="0" w:footer="0" w:header="0"/>
        </w:sectPr>
      </w:pPr>
    </w:p>
    <w:bookmarkStart w:id="404" w:name="page405"/>
    <w:bookmarkEnd w:id="404"/>
    <w:p>
      <w:pPr>
        <w:ind w:left="-7" w:firstLine="408"/>
        <w:spacing w:after="0" w:line="254" w:lineRule="auto"/>
        <w:tabs>
          <w:tab w:leader="none" w:pos="783" w:val="left"/>
        </w:tabs>
        <w:numPr>
          <w:ilvl w:val="1"/>
          <w:numId w:val="4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agreement or arrangement existing on the Issue Date, including any amendments, modifications, supplements, extensions, replacements, terminations or renewals (so long as any such agreement or arrangement together with all such amendments, modifications, supplements, extensions, replacements, terminations and renewals, taken as a whole, is not materially more disadvantageous to the Company and its Restricted Subsidiaries, taken as a whole, than the original agreement or arrangement as in effect on the Issue Date, unless any such amendments, modifications, supplements, extensions, replacements, terminations or renewals are imposed by any Gaming Authority or any other public authority, in each case having jurisdiction over the Studio City Casino, Melco Resorts Macau (or any other operator of the Studio City Casino), the Company or any of its Restricted Subsidiaries, including, but not limited to, the government of the Macau SAR);</w:t>
      </w:r>
    </w:p>
    <w:p>
      <w:pPr>
        <w:spacing w:after="0" w:line="83" w:lineRule="exact"/>
        <w:rPr>
          <w:rFonts w:ascii="Arial" w:cs="Arial" w:eastAsia="Arial" w:hAnsi="Arial"/>
          <w:sz w:val="18"/>
          <w:szCs w:val="18"/>
          <w:color w:val="auto"/>
        </w:rPr>
      </w:pPr>
    </w:p>
    <w:p>
      <w:pPr>
        <w:ind w:left="-7" w:right="20" w:firstLine="408"/>
        <w:spacing w:after="0" w:line="342" w:lineRule="auto"/>
        <w:tabs>
          <w:tab w:leader="none" w:pos="783" w:val="left"/>
        </w:tabs>
        <w:numPr>
          <w:ilvl w:val="1"/>
          <w:numId w:val="480"/>
        </w:numPr>
        <w:rPr>
          <w:rFonts w:ascii="Arial" w:cs="Arial" w:eastAsia="Arial" w:hAnsi="Arial"/>
          <w:sz w:val="16"/>
          <w:szCs w:val="16"/>
          <w:color w:val="auto"/>
        </w:rPr>
      </w:pPr>
      <w:r>
        <w:rPr>
          <w:rFonts w:ascii="Arial" w:cs="Arial" w:eastAsia="Arial" w:hAnsi="Arial"/>
          <w:sz w:val="16"/>
          <w:szCs w:val="16"/>
          <w:color w:val="auto"/>
        </w:rPr>
        <w:t>loans or advances to employees (including personnel who provide services to the Company or any of its Restricted Subsidiaries pursuant to the MSA) in the ordinary course of business not to exceed US$2.0 million in the aggregate at any one time outstanding;</w:t>
      </w:r>
    </w:p>
    <w:p>
      <w:pPr>
        <w:spacing w:after="0" w:line="123" w:lineRule="exact"/>
        <w:rPr>
          <w:rFonts w:ascii="Arial" w:cs="Arial" w:eastAsia="Arial" w:hAnsi="Arial"/>
          <w:sz w:val="16"/>
          <w:szCs w:val="16"/>
          <w:color w:val="auto"/>
        </w:rPr>
      </w:pPr>
    </w:p>
    <w:p>
      <w:pPr>
        <w:ind w:left="793" w:hanging="392"/>
        <w:spacing w:after="0"/>
        <w:tabs>
          <w:tab w:leader="none" w:pos="793" w:val="left"/>
        </w:tabs>
        <w:numPr>
          <w:ilvl w:val="1"/>
          <w:numId w:val="4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7" w:firstLine="408"/>
        <w:spacing w:after="0" w:line="284" w:lineRule="auto"/>
        <w:tabs>
          <w:tab w:leader="none" w:pos="873" w:val="left"/>
        </w:tabs>
        <w:numPr>
          <w:ilvl w:val="1"/>
          <w:numId w:val="480"/>
        </w:numPr>
        <w:rPr>
          <w:rFonts w:ascii="Arial" w:cs="Arial" w:eastAsia="Arial" w:hAnsi="Arial"/>
          <w:sz w:val="16"/>
          <w:szCs w:val="16"/>
          <w:color w:val="auto"/>
        </w:rPr>
      </w:pPr>
      <w:r>
        <w:rPr>
          <w:rFonts w:ascii="Arial" w:cs="Arial" w:eastAsia="Arial" w:hAnsi="Arial"/>
          <w:sz w:val="16"/>
          <w:szCs w:val="16"/>
          <w:color w:val="auto"/>
        </w:rPr>
        <w:t>(a) transactions or arrangements under, pursuant to or in connection with the Services and Right to Use Agreement, the Reinvestment Agreement or the MSA, including any amendments, modifications, supplements, extensions, replacements, terminations or renewals thereof (so long as the Services and Right to Use Agreement and the Reinvestment Agreement, taken as a whole, or the MSA, respectively, together with all such amendments, modifications, supplements, extensions, replacements, terminations and renewals, taken as a whole, is not materially more disadvantageous to the Company and its Restricted Subsidiaries, taken as a whole, than the Services and Right to Use Agreement and the Reinvestment Agreement, taken as a whole, or the MSA, respectively, as in effect on the Issue Date or, as determined in good faith by the Board of Directors of the Company, would not materially and adversely affect the Company’s ability to make payments of principal of and interest on the Notes) and (b) other than with respect to transactions or arrangements subject to clause</w:t>
      </w:r>
    </w:p>
    <w:p>
      <w:pPr>
        <w:ind w:left="-7" w:right="20" w:firstLine="7"/>
        <w:spacing w:after="0" w:line="252" w:lineRule="auto"/>
        <w:tabs>
          <w:tab w:leader="none" w:pos="237"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above, transactions or arrangements with customers, clients, suppliers or sellers of goods or services in the ordinary course of business, on terms that are fair to the Company or any of its Restricted Subsidiaries, as applicable, or are no less favorable than those that might reasonably have been obtained in a comparable transaction at such time on an arms-length basis from a Person that is not an Affiliate of the Company, in the case of each of (a) and (b), unless any such amendments, modifications, supplements, extensions, replacements, terminations or renewals are imposed by any Gaming Authority or any other public authority having jurisdiction over Melco Resorts Macau (or any other operator of the Studio City Casino), the Company or any of its Restricted Subsidiaries, including, but not limited to, the government of the Macau SAR;</w:t>
      </w:r>
    </w:p>
    <w:p>
      <w:pPr>
        <w:spacing w:after="0" w:line="84" w:lineRule="exact"/>
        <w:rPr>
          <w:rFonts w:ascii="Arial" w:cs="Arial" w:eastAsia="Arial" w:hAnsi="Arial"/>
          <w:sz w:val="18"/>
          <w:szCs w:val="18"/>
          <w:color w:val="auto"/>
        </w:rPr>
      </w:pPr>
    </w:p>
    <w:p>
      <w:pPr>
        <w:ind w:left="-7" w:right="520" w:firstLine="408"/>
        <w:spacing w:after="0" w:line="277" w:lineRule="auto"/>
        <w:tabs>
          <w:tab w:leader="none" w:pos="866" w:val="left"/>
        </w:tabs>
        <w:numPr>
          <w:ilvl w:val="1"/>
          <w:numId w:val="481"/>
        </w:numPr>
        <w:rPr>
          <w:rFonts w:ascii="Arial" w:cs="Arial" w:eastAsia="Arial" w:hAnsi="Arial"/>
          <w:sz w:val="18"/>
          <w:szCs w:val="18"/>
          <w:color w:val="auto"/>
        </w:rPr>
      </w:pPr>
      <w:r>
        <w:rPr>
          <w:rFonts w:ascii="Arial" w:cs="Arial" w:eastAsia="Arial" w:hAnsi="Arial"/>
          <w:sz w:val="18"/>
          <w:szCs w:val="18"/>
          <w:color w:val="auto"/>
        </w:rPr>
        <w:t>the execution of the Transactions, and the payment of all fees and expenses relating to the Transactions described in the Offering Memorandum;</w:t>
      </w:r>
    </w:p>
    <w:p>
      <w:pPr>
        <w:spacing w:after="0" w:line="62" w:lineRule="exact"/>
        <w:rPr>
          <w:rFonts w:ascii="Arial" w:cs="Arial" w:eastAsia="Arial" w:hAnsi="Arial"/>
          <w:sz w:val="18"/>
          <w:szCs w:val="18"/>
          <w:color w:val="auto"/>
        </w:rPr>
      </w:pPr>
    </w:p>
    <w:p>
      <w:pPr>
        <w:ind w:left="-7" w:right="140" w:firstLine="408"/>
        <w:spacing w:after="0" w:line="259" w:lineRule="auto"/>
        <w:tabs>
          <w:tab w:leader="none" w:pos="873" w:val="left"/>
        </w:tabs>
        <w:numPr>
          <w:ilvl w:val="1"/>
          <w:numId w:val="481"/>
        </w:numPr>
        <w:rPr>
          <w:rFonts w:ascii="Arial" w:cs="Arial" w:eastAsia="Arial" w:hAnsi="Arial"/>
          <w:sz w:val="18"/>
          <w:szCs w:val="18"/>
          <w:color w:val="auto"/>
        </w:rPr>
      </w:pPr>
      <w:r>
        <w:rPr>
          <w:rFonts w:ascii="Arial" w:cs="Arial" w:eastAsia="Arial" w:hAnsi="Arial"/>
          <w:sz w:val="18"/>
          <w:szCs w:val="18"/>
          <w:color w:val="auto"/>
        </w:rPr>
        <w:t xml:space="preserve">transactions or arrangements to be entered into in connection with the Property in the ordinary course of business (including, for the avoidance of doubt, transactions or arrangements necessary to conduct a Permitted Business) including any amendments, modifications, supplements, extensions, replacements, terminations or renewals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transactions or arrangements must comply with clauses 4.11(a)(1) and (a)(2)(A) hereof;</w:t>
      </w:r>
    </w:p>
    <w:p>
      <w:pPr>
        <w:spacing w:after="0" w:line="78" w:lineRule="exact"/>
        <w:rPr>
          <w:rFonts w:ascii="Arial" w:cs="Arial" w:eastAsia="Arial" w:hAnsi="Arial"/>
          <w:sz w:val="18"/>
          <w:szCs w:val="18"/>
          <w:color w:val="auto"/>
        </w:rPr>
      </w:pPr>
    </w:p>
    <w:p>
      <w:pPr>
        <w:ind w:left="-7" w:right="180" w:firstLine="408"/>
        <w:spacing w:after="0" w:line="257" w:lineRule="auto"/>
        <w:tabs>
          <w:tab w:leader="none" w:pos="873" w:val="left"/>
        </w:tabs>
        <w:numPr>
          <w:ilvl w:val="1"/>
          <w:numId w:val="481"/>
        </w:numPr>
        <w:rPr>
          <w:rFonts w:ascii="Arial" w:cs="Arial" w:eastAsia="Arial" w:hAnsi="Arial"/>
          <w:sz w:val="18"/>
          <w:szCs w:val="18"/>
          <w:color w:val="auto"/>
        </w:rPr>
      </w:pPr>
      <w:r>
        <w:rPr>
          <w:rFonts w:ascii="Arial" w:cs="Arial" w:eastAsia="Arial" w:hAnsi="Arial"/>
          <w:sz w:val="18"/>
          <w:szCs w:val="18"/>
          <w:color w:val="auto"/>
        </w:rPr>
        <w:t>transactions or arrangements duly approved by the Audit and Risk Committee of Studio City International so long as Studio City International is listed on the New York Stock Exchange or another internationally recognized stock exchange and the Company delivers to the Trustee a copy of the resolution of the Audit and Risk Committee of Studio City International annexed to an Officer’s Certificate certifying that such Affiliate Transaction complies with this clause (13) and that such Affiliate Transaction has been duly approved by the Audit and Risk Committee of Studio City International;</w:t>
      </w:r>
    </w:p>
    <w:p>
      <w:pPr>
        <w:spacing w:after="0" w:line="120"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9993"/>
          </w:cols>
          <w:pgMar w:left="1427" w:top="274" w:right="479" w:bottom="1440" w:gutter="0" w:footer="0" w:header="0"/>
        </w:sectPr>
      </w:pPr>
    </w:p>
    <w:bookmarkStart w:id="405" w:name="page406"/>
    <w:bookmarkEnd w:id="405"/>
    <w:p>
      <w:pPr>
        <w:ind w:left="980" w:right="420" w:firstLine="408"/>
        <w:spacing w:after="0" w:line="277" w:lineRule="auto"/>
        <w:tabs>
          <w:tab w:leader="none" w:pos="18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delivery and performance of any tax sharing agreement or the formation and maintenance of any consolidated group for tax, accounting or cash pooling or management purposes; and</w:t>
      </w:r>
    </w:p>
    <w:p>
      <w:pPr>
        <w:spacing w:after="0" w:line="62" w:lineRule="exact"/>
        <w:rPr>
          <w:rFonts w:ascii="Arial" w:cs="Arial" w:eastAsia="Arial" w:hAnsi="Arial"/>
          <w:sz w:val="18"/>
          <w:szCs w:val="18"/>
          <w:color w:val="auto"/>
        </w:rPr>
      </w:pPr>
    </w:p>
    <w:p>
      <w:pPr>
        <w:ind w:left="980" w:right="400" w:firstLine="408"/>
        <w:spacing w:after="0" w:line="277" w:lineRule="auto"/>
        <w:tabs>
          <w:tab w:leader="none" w:pos="18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provision by, between, among, to or from Persons who may be deemed Affiliates of group administrative, treasury, legal, accounting and similar services.</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i w:val="1"/>
          <w:iCs w:val="1"/>
          <w:color w:val="auto"/>
        </w:rPr>
        <w:t>Liens.</w:t>
      </w:r>
    </w:p>
    <w:p>
      <w:pPr>
        <w:spacing w:after="0" w:line="117"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The Company will not, and will not permit any of its Restricted Subsidiaries to, directly or indirectly, create, incur, assume or otherwise cause or suffer to exist or become effective any Lien of any kind securing Indebtedness on any asset now owned or hereafter acquired or any proceeds, income or profits therefrom or assign or convey any right to receive income therefrom, except Permitted Liens, or, if such Lien is not a Permitted Lien, unless the Notes and the Note Guarantees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so secured until such time as such obligations are no longer secured by a Lien.</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i w:val="1"/>
          <w:iCs w:val="1"/>
          <w:color w:val="auto"/>
        </w:rPr>
        <w:t>Business Activities.</w:t>
      </w:r>
    </w:p>
    <w:p>
      <w:pPr>
        <w:spacing w:after="0" w:line="117" w:lineRule="exact"/>
        <w:rPr>
          <w:sz w:val="20"/>
          <w:szCs w:val="20"/>
          <w:color w:val="auto"/>
        </w:rPr>
      </w:pPr>
    </w:p>
    <w:p>
      <w:pPr>
        <w:ind w:right="320" w:firstLine="991"/>
        <w:spacing w:after="0" w:line="308" w:lineRule="auto"/>
        <w:rPr>
          <w:sz w:val="20"/>
          <w:szCs w:val="20"/>
          <w:color w:val="auto"/>
        </w:rPr>
      </w:pPr>
      <w:r>
        <w:rPr>
          <w:rFonts w:ascii="Arial" w:cs="Arial" w:eastAsia="Arial" w:hAnsi="Arial"/>
          <w:sz w:val="17"/>
          <w:szCs w:val="17"/>
          <w:color w:val="auto"/>
        </w:rPr>
        <w:t>The Company will not, and will not permit any of its Restricted Subsidiaries to, engage in any business other than Permitted Business, except to such extent as would not be material to the Company and its Restricted Subsidiaries (taken as a whole).</w:t>
      </w:r>
    </w:p>
    <w:p>
      <w:pPr>
        <w:spacing w:after="0" w:line="25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i w:val="1"/>
          <w:iCs w:val="1"/>
          <w:color w:val="auto"/>
        </w:rPr>
        <w:t>Corporate Existence.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Subject to Article 5 hereof, the Company shall do or cause to be done all things necessary to preserve and keep in full force and effect:</w:t>
      </w:r>
    </w:p>
    <w:p>
      <w:pPr>
        <w:spacing w:after="0" w:line="140" w:lineRule="exact"/>
        <w:rPr>
          <w:sz w:val="20"/>
          <w:szCs w:val="20"/>
          <w:color w:val="auto"/>
        </w:rPr>
      </w:pPr>
    </w:p>
    <w:p>
      <w:pPr>
        <w:ind w:left="980" w:right="420" w:firstLine="408"/>
        <w:spacing w:after="0" w:line="342" w:lineRule="auto"/>
        <w:tabs>
          <w:tab w:leader="none" w:pos="1771"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15" w:lineRule="exact"/>
        <w:rPr>
          <w:rFonts w:ascii="Arial" w:cs="Arial" w:eastAsia="Arial" w:hAnsi="Arial"/>
          <w:sz w:val="16"/>
          <w:szCs w:val="16"/>
          <w:color w:val="auto"/>
        </w:rPr>
      </w:pPr>
    </w:p>
    <w:p>
      <w:pPr>
        <w:ind w:left="980" w:right="20" w:firstLine="408"/>
        <w:spacing w:after="0" w:line="301" w:lineRule="auto"/>
        <w:tabs>
          <w:tab w:leader="none" w:pos="1771" w:val="left"/>
        </w:tabs>
        <w:numPr>
          <w:ilvl w:val="0"/>
          <w:numId w:val="483"/>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and its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26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i w:val="1"/>
          <w:iCs w:val="1"/>
          <w:color w:val="auto"/>
        </w:rPr>
        <w:t>Offer to Repurchase upon Change of Control.</w:t>
      </w:r>
    </w:p>
    <w:p>
      <w:pPr>
        <w:spacing w:after="0" w:line="117" w:lineRule="exact"/>
        <w:rPr>
          <w:sz w:val="20"/>
          <w:szCs w:val="20"/>
          <w:color w:val="auto"/>
        </w:rPr>
      </w:pPr>
    </w:p>
    <w:p>
      <w:pPr>
        <w:ind w:firstLine="987"/>
        <w:spacing w:after="0" w:line="254" w:lineRule="auto"/>
        <w:tabs>
          <w:tab w:leader="none" w:pos="1371" w:val="left"/>
        </w:tabs>
        <w:numPr>
          <w:ilvl w:val="0"/>
          <w:numId w:val="484"/>
        </w:numPr>
        <w:rPr>
          <w:rFonts w:ascii="Arial" w:cs="Arial" w:eastAsia="Arial" w:hAnsi="Arial"/>
          <w:sz w:val="18"/>
          <w:szCs w:val="18"/>
          <w:color w:val="auto"/>
        </w:rPr>
      </w:pPr>
      <w:r>
        <w:rPr>
          <w:rFonts w:ascii="Arial" w:cs="Arial" w:eastAsia="Arial" w:hAnsi="Arial"/>
          <w:sz w:val="18"/>
          <w:szCs w:val="18"/>
          <w:color w:val="auto"/>
        </w:rPr>
        <w:t>Upon the occurrence of a Change of Control, each Holder will have the right to require the Company to repurchase all or any part of such Holder’s Notes at a purchase price in cash equal to 101% of the principal amount thereof, plus accrued and unpaid interest and Additional Amounts, if any, to the date of repurchase (subject to the right of holders of record on the relevant record date to receive interest due on the relevant interest payment date), except to the extent the Company has previously or concurrently elected to redeem the Notes in full pursuant to Section 3.07 hereof. Within ten (10) days following any Change of Control, except to the extent that the Company has exercised its right to redeem the Notes by delivery of a notice of redemption pursuant to Section 3.03 hereof, the Company shall mail a notice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with a copy to the Trustee stating:</w:t>
      </w:r>
    </w:p>
    <w:p>
      <w:pPr>
        <w:spacing w:after="0" w:line="86" w:lineRule="exact"/>
        <w:rPr>
          <w:rFonts w:ascii="Arial" w:cs="Arial" w:eastAsia="Arial" w:hAnsi="Arial"/>
          <w:sz w:val="18"/>
          <w:szCs w:val="18"/>
          <w:color w:val="auto"/>
        </w:rPr>
      </w:pPr>
    </w:p>
    <w:p>
      <w:pPr>
        <w:ind w:left="980" w:right="60" w:firstLine="408"/>
        <w:spacing w:after="0" w:line="259" w:lineRule="auto"/>
        <w:tabs>
          <w:tab w:leader="none" w:pos="1771"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that a Change of Control has occurred and that such Holder has the right to require the Company to repurchase such Holder’s Notes at a repurchase price in cash equal to 101% of the principal amount thereof, plus accrued and unpaid interest to the date of repurchase (subject to the right of holders of record on a record date to receive interest on the relevant interest payment date (the “</w:t>
      </w:r>
      <w:r>
        <w:rPr>
          <w:rFonts w:ascii="Arial" w:cs="Arial" w:eastAsia="Arial" w:hAnsi="Arial"/>
          <w:sz w:val="18"/>
          <w:szCs w:val="18"/>
          <w:i w:val="1"/>
          <w:iCs w:val="1"/>
          <w:color w:val="auto"/>
        </w:rPr>
        <w:t>Change</w:t>
      </w:r>
      <w:r>
        <w:rPr>
          <w:rFonts w:ascii="Arial" w:cs="Arial" w:eastAsia="Arial" w:hAnsi="Arial"/>
          <w:sz w:val="18"/>
          <w:szCs w:val="18"/>
          <w:color w:val="auto"/>
        </w:rPr>
        <w:t xml:space="preserve"> </w:t>
      </w:r>
      <w:r>
        <w:rPr>
          <w:rFonts w:ascii="Arial" w:cs="Arial" w:eastAsia="Arial" w:hAnsi="Arial"/>
          <w:sz w:val="18"/>
          <w:szCs w:val="18"/>
          <w:i w:val="1"/>
          <w:iCs w:val="1"/>
          <w:color w:val="auto"/>
        </w:rPr>
        <w:t>of Control Payment</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40" w:top="274" w:right="479" w:bottom="1440" w:gutter="0" w:footer="0" w:header="0"/>
        </w:sectPr>
      </w:pPr>
    </w:p>
    <w:bookmarkStart w:id="406" w:name="page407"/>
    <w:bookmarkEnd w:id="406"/>
    <w:p>
      <w:pPr>
        <w:ind w:left="1784" w:hanging="392"/>
        <w:spacing w:after="0"/>
        <w:tabs>
          <w:tab w:leader="none" w:pos="1784" w:val="left"/>
        </w:tabs>
        <w:numPr>
          <w:ilvl w:val="1"/>
          <w:numId w:val="4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circumstances and relevant facts and financial information regarding such Change of Control;</w:t>
      </w:r>
    </w:p>
    <w:p>
      <w:pPr>
        <w:spacing w:after="0" w:line="117" w:lineRule="exact"/>
        <w:rPr>
          <w:rFonts w:ascii="Arial" w:cs="Arial" w:eastAsia="Arial" w:hAnsi="Arial"/>
          <w:sz w:val="18"/>
          <w:szCs w:val="18"/>
          <w:color w:val="auto"/>
        </w:rPr>
      </w:pPr>
    </w:p>
    <w:p>
      <w:pPr>
        <w:ind w:left="984" w:right="460" w:firstLine="408"/>
        <w:spacing w:after="0" w:line="277" w:lineRule="auto"/>
        <w:tabs>
          <w:tab w:leader="none" w:pos="1775"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repurchase date (which shall be no earlier than 30 days nor later than 60 days from the date such notice is mailed)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784" w:hanging="392"/>
        <w:spacing w:after="0"/>
        <w:tabs>
          <w:tab w:leader="none" w:pos="1784"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117" w:lineRule="exact"/>
        <w:rPr>
          <w:rFonts w:ascii="Arial" w:cs="Arial" w:eastAsia="Arial" w:hAnsi="Arial"/>
          <w:sz w:val="18"/>
          <w:szCs w:val="18"/>
          <w:color w:val="auto"/>
        </w:rPr>
      </w:pPr>
    </w:p>
    <w:p>
      <w:pPr>
        <w:ind w:left="984" w:right="160" w:firstLine="408"/>
        <w:spacing w:after="0" w:line="277" w:lineRule="auto"/>
        <w:tabs>
          <w:tab w:leader="none" w:pos="1775"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62" w:lineRule="exact"/>
        <w:rPr>
          <w:rFonts w:ascii="Arial" w:cs="Arial" w:eastAsia="Arial" w:hAnsi="Arial"/>
          <w:sz w:val="18"/>
          <w:szCs w:val="18"/>
          <w:color w:val="auto"/>
        </w:rPr>
      </w:pPr>
    </w:p>
    <w:p>
      <w:pPr>
        <w:ind w:left="984" w:firstLine="408"/>
        <w:spacing w:after="0" w:line="259" w:lineRule="auto"/>
        <w:tabs>
          <w:tab w:leader="none" w:pos="1775"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78" w:lineRule="exact"/>
        <w:rPr>
          <w:rFonts w:ascii="Arial" w:cs="Arial" w:eastAsia="Arial" w:hAnsi="Arial"/>
          <w:sz w:val="18"/>
          <w:szCs w:val="18"/>
          <w:color w:val="auto"/>
        </w:rPr>
      </w:pPr>
    </w:p>
    <w:p>
      <w:pPr>
        <w:jc w:val="both"/>
        <w:ind w:left="984" w:right="40" w:firstLine="408"/>
        <w:spacing w:after="0" w:line="259" w:lineRule="auto"/>
        <w:tabs>
          <w:tab w:leader="none" w:pos="1775"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Holders will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the Notes delivered for purchase, and a statement that such Holder is withdrawing his election to have the Notes purchased, and</w:t>
      </w:r>
    </w:p>
    <w:p>
      <w:pPr>
        <w:spacing w:after="0" w:line="78" w:lineRule="exact"/>
        <w:rPr>
          <w:rFonts w:ascii="Arial" w:cs="Arial" w:eastAsia="Arial" w:hAnsi="Arial"/>
          <w:sz w:val="18"/>
          <w:szCs w:val="18"/>
          <w:color w:val="auto"/>
        </w:rPr>
      </w:pPr>
    </w:p>
    <w:p>
      <w:pPr>
        <w:ind w:left="984" w:right="520" w:firstLine="408"/>
        <w:spacing w:after="0" w:line="342" w:lineRule="auto"/>
        <w:tabs>
          <w:tab w:leader="none" w:pos="1775" w:val="left"/>
        </w:tabs>
        <w:numPr>
          <w:ilvl w:val="1"/>
          <w:numId w:val="485"/>
        </w:numPr>
        <w:rPr>
          <w:rFonts w:ascii="Arial" w:cs="Arial" w:eastAsia="Arial" w:hAnsi="Arial"/>
          <w:sz w:val="16"/>
          <w:szCs w:val="16"/>
          <w:color w:val="auto"/>
        </w:rPr>
      </w:pPr>
      <w:r>
        <w:rPr>
          <w:rFonts w:ascii="Arial" w:cs="Arial" w:eastAsia="Arial" w:hAnsi="Arial"/>
          <w:sz w:val="16"/>
          <w:szCs w:val="16"/>
          <w:color w:val="auto"/>
        </w:rPr>
        <w:t xml:space="preserve">that Holders whose Notes are being purchased only in part will be issued new Notes equal in principal amount to the unpurchased portion of the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unpurchased portion has a minimum denomination of US$200,000.</w:t>
      </w:r>
    </w:p>
    <w:p>
      <w:pPr>
        <w:spacing w:after="0" w:line="123" w:lineRule="exact"/>
        <w:rPr>
          <w:rFonts w:ascii="Arial" w:cs="Arial" w:eastAsia="Arial" w:hAnsi="Arial"/>
          <w:sz w:val="16"/>
          <w:szCs w:val="16"/>
          <w:color w:val="auto"/>
        </w:rPr>
      </w:pPr>
    </w:p>
    <w:p>
      <w:pPr>
        <w:ind w:left="1384" w:hanging="393"/>
        <w:spacing w:after="0"/>
        <w:tabs>
          <w:tab w:leader="none" w:pos="138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117" w:lineRule="exact"/>
        <w:rPr>
          <w:rFonts w:ascii="Arial" w:cs="Arial" w:eastAsia="Arial" w:hAnsi="Arial"/>
          <w:sz w:val="18"/>
          <w:szCs w:val="18"/>
          <w:color w:val="auto"/>
        </w:rPr>
      </w:pPr>
    </w:p>
    <w:p>
      <w:pPr>
        <w:ind w:left="1784" w:hanging="392"/>
        <w:spacing w:after="0"/>
        <w:tabs>
          <w:tab w:leader="none" w:pos="1784"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984" w:right="180" w:firstLine="408"/>
        <w:spacing w:after="0" w:line="277" w:lineRule="auto"/>
        <w:tabs>
          <w:tab w:leader="none" w:pos="1775" w:val="left"/>
        </w:tabs>
        <w:numPr>
          <w:ilvl w:val="1"/>
          <w:numId w:val="48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984" w:right="200" w:firstLine="408"/>
        <w:spacing w:after="0" w:line="308" w:lineRule="auto"/>
        <w:tabs>
          <w:tab w:leader="none" w:pos="1775" w:val="left"/>
        </w:tabs>
        <w:numPr>
          <w:ilvl w:val="1"/>
          <w:numId w:val="486"/>
        </w:numPr>
        <w:rPr>
          <w:rFonts w:ascii="Arial" w:cs="Arial" w:eastAsia="Arial" w:hAnsi="Arial"/>
          <w:sz w:val="17"/>
          <w:szCs w:val="17"/>
          <w:color w:val="auto"/>
        </w:rPr>
      </w:pPr>
      <w:r>
        <w:rPr>
          <w:rFonts w:ascii="Arial" w:cs="Arial" w:eastAsia="Arial" w:hAnsi="Arial"/>
          <w:sz w:val="17"/>
          <w:szCs w:val="17"/>
          <w:color w:val="auto"/>
        </w:rPr>
        <w:t>deliver or cause to be delivered to the Paying Agent the Notes properly accepted together with an Officer’s Certificate stating the aggregate principal amount of Notes or portions of Notes properly tendered and being purchased by the Company.</w:t>
      </w:r>
    </w:p>
    <w:p>
      <w:pPr>
        <w:spacing w:after="0" w:line="146"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 xml:space="preserve">The Paying Agent will promptly mail (but in any case not later than five (5) days after the Change of Control Payment Date) to each Holder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has a minimum denomination of US$200,000. The Company will publicly announce the results of the Change of Control Offer on or as soon as practicable after the Change of Control Payment Date.</w:t>
      </w:r>
    </w:p>
    <w:p>
      <w:pPr>
        <w:spacing w:after="0" w:line="188" w:lineRule="exact"/>
        <w:rPr>
          <w:sz w:val="20"/>
          <w:szCs w:val="20"/>
          <w:color w:val="auto"/>
        </w:rPr>
      </w:pPr>
    </w:p>
    <w:p>
      <w:pPr>
        <w:ind w:left="4" w:right="160" w:firstLine="987"/>
        <w:spacing w:after="0" w:line="287" w:lineRule="auto"/>
        <w:tabs>
          <w:tab w:leader="none" w:pos="1375" w:val="left"/>
        </w:tabs>
        <w:numPr>
          <w:ilvl w:val="1"/>
          <w:numId w:val="48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4.15, the Company will not be required to make a Change of Control Offer upon a Change of Control if (1) a third party makes the Change of Control Offer in the manner, at the times and otherwise in compliance with the requirements set forth in this Section 4.15 hereof and purchases all Notes properly tendered and not withdrawn under the Change of Control Offer, or</w:t>
      </w:r>
    </w:p>
    <w:p>
      <w:pPr>
        <w:spacing w:after="0" w:line="2" w:lineRule="exact"/>
        <w:rPr>
          <w:rFonts w:ascii="Arial" w:cs="Arial" w:eastAsia="Arial" w:hAnsi="Arial"/>
          <w:sz w:val="16"/>
          <w:szCs w:val="16"/>
          <w:color w:val="auto"/>
        </w:rPr>
      </w:pPr>
    </w:p>
    <w:p>
      <w:pPr>
        <w:ind w:left="4" w:right="420" w:hanging="4"/>
        <w:spacing w:after="0" w:line="260" w:lineRule="auto"/>
        <w:tabs>
          <w:tab w:leader="none" w:pos="259" w:val="left"/>
        </w:tabs>
        <w:numPr>
          <w:ilvl w:val="0"/>
          <w:numId w:val="488"/>
        </w:numPr>
        <w:rPr>
          <w:rFonts w:ascii="Arial" w:cs="Arial" w:eastAsia="Arial" w:hAnsi="Arial"/>
          <w:sz w:val="18"/>
          <w:szCs w:val="18"/>
          <w:color w:val="auto"/>
        </w:rPr>
      </w:pPr>
      <w:r>
        <w:rPr>
          <w:rFonts w:ascii="Arial" w:cs="Arial" w:eastAsia="Arial" w:hAnsi="Arial"/>
          <w:sz w:val="18"/>
          <w:szCs w:val="18"/>
          <w:color w:val="auto"/>
        </w:rPr>
        <w:t>notice of redemption has been given pursuant to Section 3.03 hereof, unless and until there is a default in payment of the applicable redemption price.</w:t>
      </w:r>
    </w:p>
    <w:p>
      <w:pPr>
        <w:spacing w:after="0" w:line="185" w:lineRule="exact"/>
        <w:rPr>
          <w:rFonts w:ascii="Arial" w:cs="Arial" w:eastAsia="Arial" w:hAnsi="Arial"/>
          <w:sz w:val="18"/>
          <w:szCs w:val="18"/>
          <w:color w:val="auto"/>
        </w:rPr>
      </w:pPr>
    </w:p>
    <w:p>
      <w:pPr>
        <w:ind w:left="4" w:right="420" w:firstLine="987"/>
        <w:spacing w:after="0" w:line="277" w:lineRule="auto"/>
        <w:tabs>
          <w:tab w:leader="none" w:pos="1375"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 Change of Control Offer may be made in advance of a Change of Control, and conditioned upon such Change of Control, if a definitive agreement is in place for the Change of Control at the time of making of the Change of Control Offer.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407" w:name="page408"/>
    <w:bookmarkEnd w:id="407"/>
    <w:p>
      <w:pPr>
        <w:ind w:right="20" w:firstLine="987"/>
        <w:spacing w:after="0" w:line="277" w:lineRule="auto"/>
        <w:tabs>
          <w:tab w:leader="none" w:pos="1371" w:val="left"/>
        </w:tabs>
        <w:numPr>
          <w:ilvl w:val="0"/>
          <w:numId w:val="4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repurchased by the Company pursuant to a Change of Control Offer will be retired and cancelled at the option of the Company. Notes purchased by a third party pursuant to the preceding paragraph will have the status of Notes issued and outstanding.</w:t>
      </w:r>
    </w:p>
    <w:p>
      <w:pPr>
        <w:spacing w:after="0" w:line="170" w:lineRule="exact"/>
        <w:rPr>
          <w:rFonts w:ascii="Arial" w:cs="Arial" w:eastAsia="Arial" w:hAnsi="Arial"/>
          <w:sz w:val="18"/>
          <w:szCs w:val="18"/>
          <w:color w:val="auto"/>
        </w:rPr>
      </w:pPr>
    </w:p>
    <w:p>
      <w:pPr>
        <w:jc w:val="both"/>
        <w:ind w:right="540" w:firstLine="987"/>
        <w:spacing w:after="0" w:line="301" w:lineRule="auto"/>
        <w:tabs>
          <w:tab w:leader="none" w:pos="1348" w:val="left"/>
        </w:tabs>
        <w:numPr>
          <w:ilvl w:val="0"/>
          <w:numId w:val="489"/>
        </w:numPr>
        <w:rPr>
          <w:rFonts w:ascii="Arial" w:cs="Arial" w:eastAsia="Arial" w:hAnsi="Arial"/>
          <w:sz w:val="16"/>
          <w:szCs w:val="16"/>
          <w:color w:val="auto"/>
        </w:rPr>
      </w:pPr>
      <w:r>
        <w:rPr>
          <w:rFonts w:ascii="Arial" w:cs="Arial" w:eastAsia="Arial" w:hAnsi="Arial"/>
          <w:sz w:val="16"/>
          <w:szCs w:val="16"/>
          <w:color w:val="auto"/>
        </w:rPr>
        <w:t>The Company will comply, to the extent applicable, with the requirements of Section 14(e) of the Exchange Act and any other securities laws or regulations in connection with the repurchase of the Notes pursuant to this Section 4.15. To the extent that the provisions of any securities laws or regulations conflict with the provisions of this Section 4.15, the Company will comply with the applicable securities laws and regulations and will not be deemed to have breached its obligations under this Section 4.15 by virtue of such compliance.</w:t>
      </w:r>
    </w:p>
    <w:p>
      <w:pPr>
        <w:spacing w:after="0" w:line="26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5"/>
          <w:szCs w:val="15"/>
          <w:i w:val="1"/>
          <w:iCs w:val="1"/>
          <w:color w:val="auto"/>
        </w:rPr>
        <w:t>Payments for Consents.</w:t>
      </w:r>
    </w:p>
    <w:p>
      <w:pPr>
        <w:spacing w:after="0" w:line="117"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The Company will not, and will not permit any of its Restricted Subsidiaries to, directly or indirectly, pay or cause to be paid any consideration to or for the benefit of any Holder for or as an inducement to any consent, waiver or amendment of any of the terms or provisions of this Indenture, the Notes or the Note Guarantees unless such consideration is (1) offered to be paid; and (2) is paid to all Holders that consent, waive or agree to amend within the time frame and on the terms set forth in the solicitation documents relating to such consent, waiver or agreement.</w:t>
      </w:r>
    </w:p>
    <w:p>
      <w:pPr>
        <w:spacing w:after="0" w:line="15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Notwithstanding the foregoing, in any offer or payment of consideration for, or as an inducement to, any consent, waiver or amendment of any of the terms or provisions of this Indenture or the Notes in connection with an exchange offer, the Company and any of the Restricted Subsidiaries may exclude (a) in connection with an exchange offer, holders or beneficial owners of the Notes that are not “qualified institutional buyers” as defined in Rule 144A under the Securities Act, and (b) in connection with any consent, waiver or amendment, holders or beneficial owners of the Notes in any jurisdiction where the inclusion of such holders or beneficial owners would require the Company or any of its Restricted Subsidiaries to (i) file a registration statement, prospectus or similar document or subject the Company or any of its Restricted Subsidiaries to ongoing periodic reporting or similar requirements under any securities laws (including but not limited to, the United States federal securities laws and the laws of the European Union or its member states), (ii) qualify as a foreign corporation or other entity as a dealer in securities in such jurisdiction if it is not otherwise required to so qualify, (iii) generally consent to service of process in any such jurisdiction or (iv) subject the Company or any of its Restricted Subsidiaries to taxation in any such jurisdiction if it is not otherwise so subject, or the solicitation of such consent, waiver or amendment from, or the granting of such consent or waiver, or the approval of such amendment by, holders or beneficial owners in such jurisdiction would be unlawful, in each case as determined by the Company in its sole discretion.</w:t>
      </w:r>
    </w:p>
    <w:p>
      <w:pPr>
        <w:spacing w:after="0" w:line="28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i w:val="1"/>
          <w:iCs w:val="1"/>
          <w:color w:val="auto"/>
        </w:rPr>
        <w:t>Future Subsidiary Guarantors.</w:t>
      </w:r>
    </w:p>
    <w:p>
      <w:pPr>
        <w:spacing w:after="0" w:line="117" w:lineRule="exact"/>
        <w:rPr>
          <w:sz w:val="20"/>
          <w:szCs w:val="20"/>
          <w:color w:val="auto"/>
        </w:rPr>
      </w:pPr>
    </w:p>
    <w:p>
      <w:pPr>
        <w:ind w:right="20" w:firstLine="987"/>
        <w:spacing w:after="0" w:line="259" w:lineRule="auto"/>
        <w:tabs>
          <w:tab w:leader="none" w:pos="1371"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If the Company or any of its Restricted Subsidiaries acquires or creates another Subsidiary after the Issue Date, then the Company shall cause such newly acquired or created Subsidiary to become a Subsidiary Guarantor (in the event that such Subsidiary provides a guarantee of any other Indebtedness of the Company or a Subsidiary Guarantor of the type specified under clauses (1) or (2) of the definition of “Indebtedness”), at which time such Subsidiary shall:</w:t>
      </w:r>
    </w:p>
    <w:p>
      <w:pPr>
        <w:spacing w:after="0" w:line="78" w:lineRule="exact"/>
        <w:rPr>
          <w:rFonts w:ascii="Arial" w:cs="Arial" w:eastAsia="Arial" w:hAnsi="Arial"/>
          <w:sz w:val="18"/>
          <w:szCs w:val="18"/>
          <w:color w:val="auto"/>
        </w:rPr>
      </w:pPr>
    </w:p>
    <w:p>
      <w:pPr>
        <w:ind w:left="980" w:right="100" w:firstLine="408"/>
        <w:spacing w:after="0" w:line="263" w:lineRule="auto"/>
        <w:tabs>
          <w:tab w:leader="none" w:pos="1771" w:val="left"/>
        </w:tabs>
        <w:numPr>
          <w:ilvl w:val="1"/>
          <w:numId w:val="490"/>
        </w:numPr>
        <w:rPr>
          <w:rFonts w:ascii="Arial" w:cs="Arial" w:eastAsia="Arial" w:hAnsi="Arial"/>
          <w:sz w:val="18"/>
          <w:szCs w:val="18"/>
          <w:color w:val="auto"/>
        </w:rPr>
      </w:pPr>
      <w:r>
        <w:rPr>
          <w:rFonts w:ascii="Arial" w:cs="Arial" w:eastAsia="Arial" w:hAnsi="Arial"/>
          <w:sz w:val="18"/>
          <w:szCs w:val="18"/>
          <w:color w:val="auto"/>
        </w:rPr>
        <w:t>execute a supplemental indenture in the form attached as Exhibit D hereto pursuant to which such Subsidiary shall unconditionally guarantee, on a senior basis, all of the Company’s Obligations under this Indenture and the Notes on the terms set forth in this Indenture;</w:t>
      </w:r>
    </w:p>
    <w:p>
      <w:pPr>
        <w:spacing w:after="0" w:line="75" w:lineRule="exact"/>
        <w:rPr>
          <w:rFonts w:ascii="Arial" w:cs="Arial" w:eastAsia="Arial" w:hAnsi="Arial"/>
          <w:sz w:val="18"/>
          <w:szCs w:val="18"/>
          <w:color w:val="auto"/>
        </w:rPr>
      </w:pPr>
    </w:p>
    <w:p>
      <w:pPr>
        <w:ind w:left="980" w:right="60" w:firstLine="408"/>
        <w:spacing w:after="0" w:line="277" w:lineRule="auto"/>
        <w:tabs>
          <w:tab w:leader="none" w:pos="1771" w:val="left"/>
        </w:tabs>
        <w:numPr>
          <w:ilvl w:val="1"/>
          <w:numId w:val="490"/>
        </w:numPr>
        <w:rPr>
          <w:rFonts w:ascii="Arial" w:cs="Arial" w:eastAsia="Arial" w:hAnsi="Arial"/>
          <w:sz w:val="18"/>
          <w:szCs w:val="18"/>
          <w:color w:val="auto"/>
        </w:rPr>
      </w:pPr>
      <w:r>
        <w:rPr>
          <w:rFonts w:ascii="Arial" w:cs="Arial" w:eastAsia="Arial" w:hAnsi="Arial"/>
          <w:sz w:val="18"/>
          <w:szCs w:val="18"/>
          <w:color w:val="auto"/>
        </w:rPr>
        <w:t>take such further action and execute and deliver such other documents as otherwise may be reasonably requested by the Trustee to give effect to the foregoing; and</w:t>
      </w:r>
    </w:p>
    <w:p>
      <w:pPr>
        <w:spacing w:after="0" w:line="62" w:lineRule="exact"/>
        <w:rPr>
          <w:rFonts w:ascii="Arial" w:cs="Arial" w:eastAsia="Arial" w:hAnsi="Arial"/>
          <w:sz w:val="18"/>
          <w:szCs w:val="18"/>
          <w:color w:val="auto"/>
        </w:rPr>
      </w:pPr>
    </w:p>
    <w:p>
      <w:pPr>
        <w:jc w:val="both"/>
        <w:ind w:left="980" w:right="500" w:firstLine="408"/>
        <w:spacing w:after="0" w:line="263" w:lineRule="auto"/>
        <w:tabs>
          <w:tab w:leader="none" w:pos="1771" w:val="left"/>
        </w:tabs>
        <w:numPr>
          <w:ilvl w:val="1"/>
          <w:numId w:val="490"/>
        </w:numPr>
        <w:rPr>
          <w:rFonts w:ascii="Arial" w:cs="Arial" w:eastAsia="Arial" w:hAnsi="Arial"/>
          <w:sz w:val="18"/>
          <w:szCs w:val="18"/>
          <w:color w:val="auto"/>
        </w:rPr>
      </w:pPr>
      <w:r>
        <w:rPr>
          <w:rFonts w:ascii="Arial" w:cs="Arial" w:eastAsia="Arial" w:hAnsi="Arial"/>
          <w:sz w:val="18"/>
          <w:szCs w:val="18"/>
          <w:color w:val="auto"/>
        </w:rPr>
        <w:t>deliver to the Trustee an Opinion of Counsel that (i) such supplemental indenture and any other documents required to be delivered have been duly authorized, executed and delivered by such Subsidiary and constitute legal, valid, binding and enforceable Obligations of such Subsidiary.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408" w:name="page409"/>
    <w:bookmarkEnd w:id="408"/>
    <w:p>
      <w:pPr>
        <w:ind w:right="100" w:firstLine="987"/>
        <w:spacing w:after="0" w:line="277" w:lineRule="auto"/>
        <w:tabs>
          <w:tab w:leader="none" w:pos="1381" w:val="left"/>
        </w:tabs>
        <w:numPr>
          <w:ilvl w:val="0"/>
          <w:numId w:val="4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any Guarantee of the Notes created pursuant to the provisions described in paragraph (a) above may provide by its terms that it will be automatically and unconditionally released and discharged upon:</w:t>
      </w:r>
    </w:p>
    <w:p>
      <w:pPr>
        <w:spacing w:after="0" w:line="62" w:lineRule="exact"/>
        <w:rPr>
          <w:rFonts w:ascii="Arial" w:cs="Arial" w:eastAsia="Arial" w:hAnsi="Arial"/>
          <w:sz w:val="18"/>
          <w:szCs w:val="18"/>
          <w:color w:val="auto"/>
        </w:rPr>
      </w:pPr>
    </w:p>
    <w:p>
      <w:pPr>
        <w:ind w:left="980" w:right="20" w:firstLine="408"/>
        <w:spacing w:after="0" w:line="259" w:lineRule="auto"/>
        <w:tabs>
          <w:tab w:leader="none" w:pos="1771" w:val="left"/>
        </w:tabs>
        <w:numPr>
          <w:ilvl w:val="1"/>
          <w:numId w:val="491"/>
        </w:numPr>
        <w:rPr>
          <w:rFonts w:ascii="Arial" w:cs="Arial" w:eastAsia="Arial" w:hAnsi="Arial"/>
          <w:sz w:val="18"/>
          <w:szCs w:val="18"/>
          <w:color w:val="auto"/>
        </w:rPr>
      </w:pPr>
      <w:r>
        <w:rPr>
          <w:rFonts w:ascii="Arial" w:cs="Arial" w:eastAsia="Arial" w:hAnsi="Arial"/>
          <w:sz w:val="18"/>
          <w:szCs w:val="18"/>
          <w:color w:val="auto"/>
        </w:rPr>
        <w:t>(with respect to any Guarantee created after the date of this Indenture) the release by the holders of the Company’s or the Subsidiary Guarantor’s Indebtedness described in paragraph (a) above, of their guarantee by such Restricted Subsidiary (including any deemed release upon payment in full of all obligations under such Indebtedness other than as a result of payment under such guarantee), at a time when:</w:t>
      </w:r>
    </w:p>
    <w:p>
      <w:pPr>
        <w:spacing w:after="0" w:line="78" w:lineRule="exact"/>
        <w:rPr>
          <w:rFonts w:ascii="Arial" w:cs="Arial" w:eastAsia="Arial" w:hAnsi="Arial"/>
          <w:sz w:val="18"/>
          <w:szCs w:val="18"/>
          <w:color w:val="auto"/>
        </w:rPr>
      </w:pPr>
    </w:p>
    <w:p>
      <w:pPr>
        <w:ind w:left="1420" w:right="540" w:firstLine="391"/>
        <w:spacing w:after="0" w:line="277" w:lineRule="auto"/>
        <w:tabs>
          <w:tab w:leader="none" w:pos="2233" w:val="left"/>
        </w:tabs>
        <w:numPr>
          <w:ilvl w:val="2"/>
          <w:numId w:val="491"/>
        </w:numPr>
        <w:rPr>
          <w:rFonts w:ascii="Arial" w:cs="Arial" w:eastAsia="Arial" w:hAnsi="Arial"/>
          <w:sz w:val="18"/>
          <w:szCs w:val="18"/>
          <w:color w:val="auto"/>
        </w:rPr>
      </w:pPr>
      <w:r>
        <w:rPr>
          <w:rFonts w:ascii="Arial" w:cs="Arial" w:eastAsia="Arial" w:hAnsi="Arial"/>
          <w:sz w:val="18"/>
          <w:szCs w:val="18"/>
          <w:color w:val="auto"/>
        </w:rPr>
        <w:t>no other Indebtedness of either the Company or any Subsidiary Guarantor has been guaranteed by such Restricted Subsidiary; or</w:t>
      </w:r>
    </w:p>
    <w:p>
      <w:pPr>
        <w:spacing w:after="0" w:line="62" w:lineRule="exact"/>
        <w:rPr>
          <w:rFonts w:ascii="Arial" w:cs="Arial" w:eastAsia="Arial" w:hAnsi="Arial"/>
          <w:sz w:val="18"/>
          <w:szCs w:val="18"/>
          <w:color w:val="auto"/>
        </w:rPr>
      </w:pPr>
    </w:p>
    <w:p>
      <w:pPr>
        <w:jc w:val="both"/>
        <w:ind w:left="1420" w:firstLine="391"/>
        <w:spacing w:after="0" w:line="263" w:lineRule="auto"/>
        <w:tabs>
          <w:tab w:leader="none" w:pos="2223" w:val="left"/>
        </w:tabs>
        <w:numPr>
          <w:ilvl w:val="2"/>
          <w:numId w:val="491"/>
        </w:numPr>
        <w:rPr>
          <w:rFonts w:ascii="Arial" w:cs="Arial" w:eastAsia="Arial" w:hAnsi="Arial"/>
          <w:sz w:val="18"/>
          <w:szCs w:val="18"/>
          <w:color w:val="auto"/>
        </w:rPr>
      </w:pPr>
      <w:r>
        <w:rPr>
          <w:rFonts w:ascii="Arial" w:cs="Arial" w:eastAsia="Arial" w:hAnsi="Arial"/>
          <w:sz w:val="18"/>
          <w:szCs w:val="18"/>
          <w:color w:val="auto"/>
        </w:rPr>
        <w:t>the holders of all such other Indebtedness that is guaranteed by such Restricted Subsidiary also release their guarantee by such Restricted Subsidiary (including any deemed release upon payment in full of all obligations under such Indebtedness other than as a result of payment under such guarantee); or</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491"/>
        </w:numPr>
        <w:rPr>
          <w:rFonts w:ascii="Arial" w:cs="Arial" w:eastAsia="Arial" w:hAnsi="Arial"/>
          <w:sz w:val="16"/>
          <w:szCs w:val="16"/>
          <w:color w:val="auto"/>
        </w:rPr>
      </w:pPr>
      <w:r>
        <w:rPr>
          <w:rFonts w:ascii="Arial" w:cs="Arial" w:eastAsia="Arial" w:hAnsi="Arial"/>
          <w:sz w:val="16"/>
          <w:szCs w:val="16"/>
          <w:color w:val="auto"/>
        </w:rPr>
        <w:t>the release of the Note Guarantees on the terms and conditions and in the circumstances described in Section 11.08 hereof.</w:t>
      </w:r>
    </w:p>
    <w:p>
      <w:pPr>
        <w:spacing w:after="0" w:line="248" w:lineRule="exact"/>
        <w:rPr>
          <w:rFonts w:ascii="Arial" w:cs="Arial" w:eastAsia="Arial" w:hAnsi="Arial"/>
          <w:sz w:val="16"/>
          <w:szCs w:val="16"/>
          <w:color w:val="auto"/>
        </w:rPr>
      </w:pPr>
    </w:p>
    <w:p>
      <w:pPr>
        <w:ind w:right="40" w:firstLine="987"/>
        <w:spacing w:after="0" w:line="291" w:lineRule="auto"/>
        <w:tabs>
          <w:tab w:leader="none" w:pos="1371" w:val="left"/>
        </w:tabs>
        <w:numPr>
          <w:ilvl w:val="0"/>
          <w:numId w:val="491"/>
        </w:numPr>
        <w:rPr>
          <w:rFonts w:ascii="Arial" w:cs="Arial" w:eastAsia="Arial" w:hAnsi="Arial"/>
          <w:sz w:val="16"/>
          <w:szCs w:val="16"/>
          <w:color w:val="auto"/>
        </w:rPr>
      </w:pPr>
      <w:r>
        <w:rPr>
          <w:rFonts w:ascii="Arial" w:cs="Arial" w:eastAsia="Arial" w:hAnsi="Arial"/>
          <w:sz w:val="16"/>
          <w:szCs w:val="16"/>
          <w:color w:val="auto"/>
        </w:rPr>
        <w:t>Each additional Note Guarantee will be limited as necessary to recognize certain defences generally available to guarantors (including those that relate to fraudulent conveyance or transfer, voidable preference, financial assistance, corporate purpose, capital maintenance or similar laws, regulations or defences affecting the rights of creditors generally) or other considerations under applicable law. Notwithstanding Section 4.17(a) hereof, the Company shall not be obligated to cause such Restricted Subsidiary to Guarantee the Notes to the extent that such Guarantee by such Restricted Subsidiary would reasonably be expected to give rise to or result in (i) any liability for the officers, directors or shareholders of such Restricted Subsidiary or (ii) any significant cost, expense, liability or obligation (including with respect of any Taxes, but excluding any reasonable guarantee or similar fee payable to the Company or a Restricted Subsidiary of the Company) other than reasonable out of pocket expenses.</w:t>
      </w:r>
    </w:p>
    <w:p>
      <w:pPr>
        <w:spacing w:after="0" w:line="27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4.18</w:t>
      </w:r>
      <w:r>
        <w:rPr>
          <w:sz w:val="20"/>
          <w:szCs w:val="20"/>
          <w:color w:val="auto"/>
        </w:rPr>
        <w:tab/>
      </w:r>
      <w:r>
        <w:rPr>
          <w:rFonts w:ascii="Arial" w:cs="Arial" w:eastAsia="Arial" w:hAnsi="Arial"/>
          <w:sz w:val="16"/>
          <w:szCs w:val="16"/>
          <w:i w:val="1"/>
          <w:iCs w:val="1"/>
          <w:color w:val="auto"/>
        </w:rPr>
        <w:t>Designation of Restricted and Unrestricted Subsidiaries.</w:t>
      </w:r>
    </w:p>
    <w:p>
      <w:pPr>
        <w:spacing w:after="0" w:line="117" w:lineRule="exact"/>
        <w:rPr>
          <w:sz w:val="20"/>
          <w:szCs w:val="20"/>
          <w:color w:val="auto"/>
        </w:rPr>
      </w:pPr>
    </w:p>
    <w:p>
      <w:pPr>
        <w:ind w:right="180" w:firstLine="991"/>
        <w:spacing w:after="0" w:line="289" w:lineRule="auto"/>
        <w:rPr>
          <w:sz w:val="20"/>
          <w:szCs w:val="20"/>
          <w:color w:val="auto"/>
        </w:rPr>
      </w:pPr>
      <w:r>
        <w:rPr>
          <w:rFonts w:ascii="Arial" w:cs="Arial" w:eastAsia="Arial" w:hAnsi="Arial"/>
          <w:sz w:val="16"/>
          <w:szCs w:val="16"/>
          <w:color w:val="auto"/>
        </w:rPr>
        <w:t xml:space="preserve">The Board of Directors of the Company may designate any Restricted Subsidiary to be an Unrestricted Subsidiary if that designation would not cause a Default;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 no event will the business currently operated by the Company, Studio City Developments Limited, Studio City Entertainment Limited or Studio City Hotels Limited be transferred to or held by an Unrestricted Subsidiary.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Section 4.07 hereof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Board of Directors of the Company may re-designate any Unrestricted Subsidiary to be a Restricted Subsidiary if that re-designation would not cause a Default.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274" w:right="479" w:bottom="1440" w:gutter="0" w:footer="0" w:header="0"/>
        </w:sectPr>
      </w:pPr>
    </w:p>
    <w:bookmarkStart w:id="409" w:name="page410"/>
    <w:bookmarkEnd w:id="409"/>
    <w:p>
      <w:pPr>
        <w:ind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designation of a Subsidiary of the Company as an Unrestricted Subsidiary will be evidenced to the Trustee by filing with the Trustee a certified copy of a resolution of the Board of Directors of the Company giving effect to such designation and an Officer’s Certificate of the Company certifying that such designation complied with the preceding conditions and was permitted by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Section 4.09 hereof, the Company will be in Default of such covenant. The Board of Directors of the Company may at any time designate any Unrestricted Subsidiary to be a Restricted Subsidiary of the Company;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such designation will be deemed to be an Incurrence of Indebtedness by a Restricted Subsidiary of the Company of any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Indebtedness of such Unrestricted Subsidiary, and such designation will only be permitted if (1) such Indebtedness is permitted under Section 4.09 hereof,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designation had occurred at the beginning of the reference period; and (2) no Default or Event of Default would be in existence following such designation. On such designation, the Company shall deliver an Officer’s Certificate of the Company to the Trustee regarding such designation and certifying that such designation complies with the preceding conditions and the relevant covenants under this Indenture.</w:t>
      </w:r>
    </w:p>
    <w:p>
      <w:pPr>
        <w:spacing w:after="0" w:line="29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4.19</w:t>
      </w:r>
      <w:r>
        <w:rPr>
          <w:sz w:val="20"/>
          <w:szCs w:val="20"/>
          <w:color w:val="auto"/>
        </w:rPr>
        <w:tab/>
      </w:r>
      <w:r>
        <w:rPr>
          <w:rFonts w:ascii="Arial" w:cs="Arial" w:eastAsia="Arial" w:hAnsi="Arial"/>
          <w:sz w:val="17"/>
          <w:szCs w:val="17"/>
          <w:i w:val="1"/>
          <w:iCs w:val="1"/>
          <w:color w:val="auto"/>
        </w:rPr>
        <w:t>Listing.</w:t>
      </w:r>
    </w:p>
    <w:p>
      <w:pPr>
        <w:spacing w:after="0" w:line="11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Company will use its commercially reasonable efforts to list and maintain the listing and quotation of the Notes on the Official List of the Singapore Exchange Securities Trading Limited or another comparable exchange.</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6"/>
          <w:szCs w:val="16"/>
          <w:i w:val="1"/>
          <w:iCs w:val="1"/>
          <w:color w:val="auto"/>
        </w:rPr>
        <w:t>Limitations on Use of Proceeds</w:t>
      </w:r>
    </w:p>
    <w:p>
      <w:pPr>
        <w:spacing w:after="0" w:line="11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Company will not, and will not cause or permit any of its Restricted Subsidiaries to, use the net proceeds from the sale of the Notes, in any amount, for any purpose other than as set forth under the caption “Use of Proceeds” in the Offering Memorandum.</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4.21</w:t>
      </w:r>
      <w:r>
        <w:rPr>
          <w:sz w:val="20"/>
          <w:szCs w:val="20"/>
          <w:color w:val="auto"/>
        </w:rPr>
        <w:tab/>
      </w:r>
      <w:r>
        <w:rPr>
          <w:rFonts w:ascii="Arial" w:cs="Arial" w:eastAsia="Arial" w:hAnsi="Arial"/>
          <w:sz w:val="16"/>
          <w:szCs w:val="16"/>
          <w:i w:val="1"/>
          <w:iCs w:val="1"/>
          <w:color w:val="auto"/>
        </w:rPr>
        <w:t>Special Put Option.</w:t>
      </w:r>
    </w:p>
    <w:p>
      <w:pPr>
        <w:spacing w:after="0" w:line="117" w:lineRule="exact"/>
        <w:rPr>
          <w:sz w:val="20"/>
          <w:szCs w:val="20"/>
          <w:color w:val="auto"/>
        </w:rPr>
      </w:pPr>
    </w:p>
    <w:p>
      <w:pPr>
        <w:ind w:firstLine="987"/>
        <w:spacing w:after="0" w:line="255" w:lineRule="auto"/>
        <w:tabs>
          <w:tab w:leader="none" w:pos="1371" w:val="left"/>
        </w:tabs>
        <w:numPr>
          <w:ilvl w:val="0"/>
          <w:numId w:val="492"/>
        </w:numPr>
        <w:rPr>
          <w:rFonts w:ascii="Arial" w:cs="Arial" w:eastAsia="Arial" w:hAnsi="Arial"/>
          <w:sz w:val="18"/>
          <w:szCs w:val="18"/>
          <w:color w:val="auto"/>
        </w:rPr>
      </w:pPr>
      <w:r>
        <w:rPr>
          <w:rFonts w:ascii="Arial" w:cs="Arial" w:eastAsia="Arial" w:hAnsi="Arial"/>
          <w:sz w:val="18"/>
          <w:szCs w:val="18"/>
          <w:color w:val="auto"/>
        </w:rPr>
        <w:t>Upon a Special Put Option Triggering Event, each Holder will have the right to require the Company to repurchase all or any part of such Holder’s Notes pursuant to a Special Put Option Offer (as defined below) on the terms set forth in this Section 4.21. In the Special Put Option Offer, the Company will offer to purchase the Notes at a purchase price in cash equal to 100% of the principal amount thereof, plus accrued and unpaid interest, if any, and Additional Amounts, if any, to but excluding the date of repurchase (subject to the right of Holders of record on the relevant record date to receive interest due on the relevant interest payment date), except to the extent the Company has previously or concurrently elected to redeem the Notes in full as described under Section 3.07 hereof.</w:t>
      </w:r>
    </w:p>
    <w:p>
      <w:pPr>
        <w:spacing w:after="0" w:line="192" w:lineRule="exact"/>
        <w:rPr>
          <w:rFonts w:ascii="Arial" w:cs="Arial" w:eastAsia="Arial" w:hAnsi="Arial"/>
          <w:sz w:val="18"/>
          <w:szCs w:val="18"/>
          <w:color w:val="auto"/>
        </w:rPr>
      </w:pPr>
    </w:p>
    <w:p>
      <w:pPr>
        <w:ind w:right="320" w:firstLine="987"/>
        <w:spacing w:after="0" w:line="286" w:lineRule="auto"/>
        <w:tabs>
          <w:tab w:leader="none" w:pos="1378" w:val="left"/>
        </w:tabs>
        <w:numPr>
          <w:ilvl w:val="0"/>
          <w:numId w:val="492"/>
        </w:numPr>
        <w:rPr>
          <w:rFonts w:ascii="Arial" w:cs="Arial" w:eastAsia="Arial" w:hAnsi="Arial"/>
          <w:sz w:val="17"/>
          <w:szCs w:val="17"/>
          <w:color w:val="auto"/>
        </w:rPr>
      </w:pPr>
      <w:r>
        <w:rPr>
          <w:rFonts w:ascii="Arial" w:cs="Arial" w:eastAsia="Arial" w:hAnsi="Arial"/>
          <w:sz w:val="17"/>
          <w:szCs w:val="17"/>
          <w:color w:val="auto"/>
        </w:rPr>
        <w:t>Within ten days following the occurrence of a Special Put Option Triggering Event, except to the extent that the Company has exercised its right to redeem the Notes in full by delivery of a notice of redemption as described under Section 3.07 hereof the Company shall mail a notice (a “</w:t>
      </w:r>
      <w:r>
        <w:rPr>
          <w:rFonts w:ascii="Arial" w:cs="Arial" w:eastAsia="Arial" w:hAnsi="Arial"/>
          <w:sz w:val="17"/>
          <w:szCs w:val="17"/>
          <w:i w:val="1"/>
          <w:iCs w:val="1"/>
          <w:color w:val="auto"/>
        </w:rPr>
        <w:t>Special Put Option Offer</w:t>
      </w:r>
      <w:r>
        <w:rPr>
          <w:rFonts w:ascii="Arial" w:cs="Arial" w:eastAsia="Arial" w:hAnsi="Arial"/>
          <w:sz w:val="17"/>
          <w:szCs w:val="17"/>
          <w:color w:val="auto"/>
        </w:rPr>
        <w:t>”) to each Holder with a copy to the Trustee and the Paying Agent stating:</w:t>
      </w:r>
    </w:p>
    <w:p>
      <w:pPr>
        <w:spacing w:after="0" w:line="57" w:lineRule="exact"/>
        <w:rPr>
          <w:rFonts w:ascii="Arial" w:cs="Arial" w:eastAsia="Arial" w:hAnsi="Arial"/>
          <w:sz w:val="17"/>
          <w:szCs w:val="17"/>
          <w:color w:val="auto"/>
        </w:rPr>
      </w:pPr>
    </w:p>
    <w:p>
      <w:pPr>
        <w:ind w:left="980" w:firstLine="408"/>
        <w:spacing w:after="0" w:line="259" w:lineRule="auto"/>
        <w:tabs>
          <w:tab w:leader="none" w:pos="1771" w:val="left"/>
        </w:tabs>
        <w:numPr>
          <w:ilvl w:val="1"/>
          <w:numId w:val="492"/>
        </w:numPr>
        <w:rPr>
          <w:rFonts w:ascii="Arial" w:cs="Arial" w:eastAsia="Arial" w:hAnsi="Arial"/>
          <w:sz w:val="18"/>
          <w:szCs w:val="18"/>
          <w:color w:val="auto"/>
        </w:rPr>
      </w:pPr>
      <w:r>
        <w:rPr>
          <w:rFonts w:ascii="Arial" w:cs="Arial" w:eastAsia="Arial" w:hAnsi="Arial"/>
          <w:sz w:val="18"/>
          <w:szCs w:val="18"/>
          <w:color w:val="auto"/>
        </w:rPr>
        <w:t>that a Special Put Option Triggering Event has occurred and that such holder has the right to require the Company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492"/>
        </w:numPr>
        <w:rPr>
          <w:rFonts w:ascii="Arial" w:cs="Arial" w:eastAsia="Arial" w:hAnsi="Arial"/>
          <w:sz w:val="16"/>
          <w:szCs w:val="16"/>
          <w:color w:val="auto"/>
        </w:rPr>
      </w:pPr>
      <w:r>
        <w:rPr>
          <w:rFonts w:ascii="Arial" w:cs="Arial" w:eastAsia="Arial" w:hAnsi="Arial"/>
          <w:sz w:val="16"/>
          <w:szCs w:val="16"/>
          <w:color w:val="auto"/>
        </w:rPr>
        <w:t>the repurchase date (which shall be no earlier than 30 days nor later than 60 days from the date such notice is mailed); and</w:t>
      </w:r>
    </w:p>
    <w:p>
      <w:pPr>
        <w:spacing w:after="0" w:line="140" w:lineRule="exact"/>
        <w:rPr>
          <w:rFonts w:ascii="Arial" w:cs="Arial" w:eastAsia="Arial" w:hAnsi="Arial"/>
          <w:sz w:val="16"/>
          <w:szCs w:val="16"/>
          <w:color w:val="auto"/>
        </w:rPr>
      </w:pPr>
    </w:p>
    <w:p>
      <w:pPr>
        <w:ind w:left="980" w:right="280" w:firstLine="408"/>
        <w:spacing w:after="0" w:line="277" w:lineRule="auto"/>
        <w:tabs>
          <w:tab w:leader="none" w:pos="1771" w:val="left"/>
        </w:tabs>
        <w:numPr>
          <w:ilvl w:val="1"/>
          <w:numId w:val="492"/>
        </w:numPr>
        <w:rPr>
          <w:rFonts w:ascii="Arial" w:cs="Arial" w:eastAsia="Arial" w:hAnsi="Arial"/>
          <w:sz w:val="18"/>
          <w:szCs w:val="18"/>
          <w:color w:val="auto"/>
        </w:rPr>
      </w:pPr>
      <w:r>
        <w:rPr>
          <w:rFonts w:ascii="Arial" w:cs="Arial" w:eastAsia="Arial" w:hAnsi="Arial"/>
          <w:sz w:val="18"/>
          <w:szCs w:val="18"/>
          <w:color w:val="auto"/>
        </w:rPr>
        <w:t>the instructions determined by the Company, consistent with this Section 4.21, that a Holder must follow in order to have its Notes repurchased.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410" w:name="page411"/>
    <w:bookmarkEnd w:id="410"/>
    <w:p>
      <w:pPr>
        <w:ind w:left="1320" w:hanging="373"/>
        <w:spacing w:after="0"/>
        <w:tabs>
          <w:tab w:leader="none" w:pos="13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date of repurchase pursuant to a Special Put Option Offer, the Company will, to the extent lawful:</w:t>
      </w:r>
    </w:p>
    <w:p>
      <w:pPr>
        <w:spacing w:after="0" w:line="117" w:lineRule="exact"/>
        <w:rPr>
          <w:rFonts w:ascii="Arial" w:cs="Arial" w:eastAsia="Arial" w:hAnsi="Arial"/>
          <w:sz w:val="18"/>
          <w:szCs w:val="18"/>
          <w:color w:val="auto"/>
        </w:rPr>
      </w:pPr>
    </w:p>
    <w:p>
      <w:pPr>
        <w:ind w:left="1740" w:hanging="392"/>
        <w:spacing w:after="0"/>
        <w:tabs>
          <w:tab w:leader="none" w:pos="174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Special Put Option Offer;</w:t>
      </w:r>
    </w:p>
    <w:p>
      <w:pPr>
        <w:spacing w:after="0" w:line="117" w:lineRule="exact"/>
        <w:rPr>
          <w:rFonts w:ascii="Arial" w:cs="Arial" w:eastAsia="Arial" w:hAnsi="Arial"/>
          <w:sz w:val="18"/>
          <w:szCs w:val="18"/>
          <w:color w:val="auto"/>
        </w:rPr>
      </w:pPr>
    </w:p>
    <w:p>
      <w:pPr>
        <w:ind w:left="940" w:right="20" w:firstLine="408"/>
        <w:spacing w:after="0" w:line="263" w:lineRule="auto"/>
        <w:tabs>
          <w:tab w:leader="none" w:pos="1731" w:val="left"/>
        </w:tabs>
        <w:numPr>
          <w:ilvl w:val="1"/>
          <w:numId w:val="49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repurchase price, plus accrued and unpaid interest, if any, and Additional Amounts, if any, to but excluding the date of repurchase (the “</w:t>
      </w:r>
      <w:r>
        <w:rPr>
          <w:rFonts w:ascii="Arial" w:cs="Arial" w:eastAsia="Arial" w:hAnsi="Arial"/>
          <w:sz w:val="18"/>
          <w:szCs w:val="18"/>
          <w:i w:val="1"/>
          <w:iCs w:val="1"/>
          <w:color w:val="auto"/>
        </w:rPr>
        <w:t>Special Put Option Payment</w:t>
      </w:r>
      <w:r>
        <w:rPr>
          <w:rFonts w:ascii="Arial" w:cs="Arial" w:eastAsia="Arial" w:hAnsi="Arial"/>
          <w:sz w:val="18"/>
          <w:szCs w:val="18"/>
          <w:color w:val="auto"/>
        </w:rPr>
        <w:t>”), in respect of all Notes or portions of Notes properly tendered; and</w:t>
      </w:r>
    </w:p>
    <w:p>
      <w:pPr>
        <w:spacing w:after="0" w:line="75" w:lineRule="exact"/>
        <w:rPr>
          <w:rFonts w:ascii="Arial" w:cs="Arial" w:eastAsia="Arial" w:hAnsi="Arial"/>
          <w:sz w:val="18"/>
          <w:szCs w:val="18"/>
          <w:color w:val="auto"/>
        </w:rPr>
      </w:pPr>
    </w:p>
    <w:p>
      <w:pPr>
        <w:ind w:left="940" w:right="300" w:firstLine="408"/>
        <w:spacing w:after="0" w:line="308" w:lineRule="auto"/>
        <w:tabs>
          <w:tab w:leader="none" w:pos="1731" w:val="left"/>
        </w:tabs>
        <w:numPr>
          <w:ilvl w:val="1"/>
          <w:numId w:val="493"/>
        </w:numPr>
        <w:rPr>
          <w:rFonts w:ascii="Arial" w:cs="Arial" w:eastAsia="Arial" w:hAnsi="Arial"/>
          <w:sz w:val="17"/>
          <w:szCs w:val="17"/>
          <w:color w:val="auto"/>
        </w:rPr>
      </w:pPr>
      <w:r>
        <w:rPr>
          <w:rFonts w:ascii="Arial" w:cs="Arial" w:eastAsia="Arial" w:hAnsi="Arial"/>
          <w:sz w:val="17"/>
          <w:szCs w:val="17"/>
          <w:color w:val="auto"/>
        </w:rPr>
        <w:t>deliver or cause to be delivered to the Trustee, the Notes properly accepted together with an Officers’ Certificate stating the aggregate principal amount of Notes or portions of Notes properly tendered and being purchased by the Company.</w:t>
      </w:r>
    </w:p>
    <w:p>
      <w:pPr>
        <w:spacing w:after="0" w:line="146" w:lineRule="exact"/>
        <w:rPr>
          <w:rFonts w:ascii="Arial" w:cs="Arial" w:eastAsia="Arial" w:hAnsi="Arial"/>
          <w:sz w:val="17"/>
          <w:szCs w:val="17"/>
          <w:color w:val="auto"/>
        </w:rPr>
      </w:pPr>
    </w:p>
    <w:p>
      <w:pPr>
        <w:ind w:left="-40" w:right="200" w:firstLine="987"/>
        <w:spacing w:after="0" w:line="263" w:lineRule="auto"/>
        <w:tabs>
          <w:tab w:leader="none" w:pos="1338"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Paying Agent will promptly mail to each Holder properly tendered the Special Put Option Payment for such Notes, and the Trustee, or its authenticating agent, will promptly authenticate and mail (or cause to be transferred by book entry) to each Holder a new Note equal in principal amount to any unpurchased portion of the Notes surrendered, if any.</w:t>
      </w:r>
    </w:p>
    <w:p>
      <w:pPr>
        <w:spacing w:after="0" w:line="183" w:lineRule="exact"/>
        <w:rPr>
          <w:rFonts w:ascii="Arial" w:cs="Arial" w:eastAsia="Arial" w:hAnsi="Arial"/>
          <w:sz w:val="18"/>
          <w:szCs w:val="18"/>
          <w:color w:val="auto"/>
        </w:rPr>
      </w:pPr>
    </w:p>
    <w:p>
      <w:pPr>
        <w:ind w:left="-40" w:right="160" w:firstLine="987"/>
        <w:spacing w:after="0" w:line="279" w:lineRule="auto"/>
        <w:tabs>
          <w:tab w:leader="none" w:pos="1328" w:val="left"/>
        </w:tabs>
        <w:numPr>
          <w:ilvl w:val="0"/>
          <w:numId w:val="493"/>
        </w:numPr>
        <w:rPr>
          <w:rFonts w:ascii="Arial" w:cs="Arial" w:eastAsia="Arial" w:hAnsi="Arial"/>
          <w:sz w:val="17"/>
          <w:szCs w:val="17"/>
          <w:color w:val="auto"/>
        </w:rPr>
      </w:pPr>
      <w:r>
        <w:rPr>
          <w:rFonts w:ascii="Arial" w:cs="Arial" w:eastAsia="Arial" w:hAnsi="Arial"/>
          <w:sz w:val="17"/>
          <w:szCs w:val="17"/>
          <w:color w:val="auto"/>
        </w:rPr>
        <w:t>The provisions described in this Section 4.21 that require the Company to make a Special Put Option Offer following a Special Put Option Triggering Event will be applicable whether or not any other provisions of the Indenture are applicable. Except as described this Section 4.21 with respect to a Special Put Option Triggering Event, this Indenture does not contain provisions that permit the Holders to require that the Company repurchase or redeem the Notes in the event of a termination, rescission or expiration of any Gaming License.</w:t>
      </w:r>
    </w:p>
    <w:p>
      <w:pPr>
        <w:spacing w:after="0" w:line="171" w:lineRule="exact"/>
        <w:rPr>
          <w:rFonts w:ascii="Arial" w:cs="Arial" w:eastAsia="Arial" w:hAnsi="Arial"/>
          <w:sz w:val="17"/>
          <w:szCs w:val="17"/>
          <w:color w:val="auto"/>
        </w:rPr>
      </w:pPr>
    </w:p>
    <w:p>
      <w:pPr>
        <w:ind w:left="-40" w:right="20" w:firstLine="987"/>
        <w:spacing w:after="0" w:line="275" w:lineRule="auto"/>
        <w:tabs>
          <w:tab w:leader="none" w:pos="1308" w:val="left"/>
        </w:tabs>
        <w:numPr>
          <w:ilvl w:val="0"/>
          <w:numId w:val="493"/>
        </w:numPr>
        <w:rPr>
          <w:rFonts w:ascii="Arial" w:cs="Arial" w:eastAsia="Arial" w:hAnsi="Arial"/>
          <w:sz w:val="17"/>
          <w:szCs w:val="17"/>
          <w:color w:val="auto"/>
        </w:rPr>
      </w:pPr>
      <w:r>
        <w:rPr>
          <w:rFonts w:ascii="Arial" w:cs="Arial" w:eastAsia="Arial" w:hAnsi="Arial"/>
          <w:sz w:val="17"/>
          <w:szCs w:val="17"/>
          <w:color w:val="auto"/>
        </w:rPr>
        <w:t>The Company will not be required to make a Special Put Option Offer upon a Special Put Option Triggering Event if (1) a third party makes the Special Put Option Offer in the manner, at the times and otherwise in compliance with the requirements set forth in the Indenture applicable to a Special Put Option Offer made by the Company and purchases all Notes properly tendered and not withdrawn under the Special Put Option Offer, or (2) notice of redemption has been given in accordance with Section 3.07 and Section 3.10 hereof pursuant to which the Company has exercised its right to redeem the Notes in full, unless and until there is a default in payment of the applicable redemption price.</w:t>
      </w:r>
    </w:p>
    <w:p>
      <w:pPr>
        <w:spacing w:after="0" w:line="176" w:lineRule="exact"/>
        <w:rPr>
          <w:rFonts w:ascii="Arial" w:cs="Arial" w:eastAsia="Arial" w:hAnsi="Arial"/>
          <w:sz w:val="17"/>
          <w:szCs w:val="17"/>
          <w:color w:val="auto"/>
        </w:rPr>
      </w:pPr>
    </w:p>
    <w:p>
      <w:pPr>
        <w:ind w:left="-40" w:firstLine="987"/>
        <w:spacing w:after="0" w:line="263" w:lineRule="auto"/>
        <w:tabs>
          <w:tab w:leader="none" w:pos="1341" w:val="left"/>
        </w:tabs>
        <w:numPr>
          <w:ilvl w:val="0"/>
          <w:numId w:val="493"/>
        </w:numPr>
        <w:rPr>
          <w:rFonts w:ascii="Arial" w:cs="Arial" w:eastAsia="Arial" w:hAnsi="Arial"/>
          <w:sz w:val="18"/>
          <w:szCs w:val="18"/>
          <w:color w:val="auto"/>
        </w:rPr>
      </w:pPr>
      <w:r>
        <w:rPr>
          <w:rFonts w:ascii="Arial" w:cs="Arial" w:eastAsia="Arial" w:hAnsi="Arial"/>
          <w:sz w:val="18"/>
          <w:szCs w:val="18"/>
          <w:color w:val="auto"/>
        </w:rPr>
        <w:t>Notes repurchased by the Company pursuant to a Special Put Option Offer will have the status of Notes issued but not outstanding or will be retired and cancelled at the option of the Company. Notes purchased by a third party pursuant to sub-clause (b)(3) of this Section 4.21 will have the status of Notes issued and outstanding.</w:t>
      </w:r>
    </w:p>
    <w:p>
      <w:pPr>
        <w:spacing w:after="0" w:line="183" w:lineRule="exact"/>
        <w:rPr>
          <w:rFonts w:ascii="Arial" w:cs="Arial" w:eastAsia="Arial" w:hAnsi="Arial"/>
          <w:sz w:val="18"/>
          <w:szCs w:val="18"/>
          <w:color w:val="auto"/>
        </w:rPr>
      </w:pPr>
    </w:p>
    <w:p>
      <w:pPr>
        <w:ind w:left="-40" w:right="80" w:firstLine="987"/>
        <w:spacing w:after="0" w:line="259" w:lineRule="auto"/>
        <w:tabs>
          <w:tab w:leader="none" w:pos="1338"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Company will comply, to the extent applicable, with the requirements of Section 14(e) of the Exchange Act and any other securities laws or regulations in connection with the repurchase of Notes pursuant to this provision. To the extent that the provisions of any securities laws or regulations conflict with provisions of this provision, the Company will comply with the applicable securities laws and regulations and will not be deemed to have breached its obligations under this covenant by virtue thereof.</w:t>
      </w:r>
    </w:p>
    <w:p>
      <w:pPr>
        <w:spacing w:after="0" w:line="295" w:lineRule="exact"/>
        <w:rPr>
          <w:sz w:val="20"/>
          <w:szCs w:val="20"/>
          <w:color w:val="auto"/>
        </w:rPr>
      </w:pPr>
    </w:p>
    <w:p>
      <w:pPr>
        <w:ind w:left="400"/>
        <w:spacing w:after="0"/>
        <w:tabs>
          <w:tab w:leader="none" w:pos="1460" w:val="left"/>
        </w:tabs>
        <w:rPr>
          <w:sz w:val="20"/>
          <w:szCs w:val="20"/>
          <w:color w:val="auto"/>
        </w:rPr>
      </w:pPr>
      <w:r>
        <w:rPr>
          <w:rFonts w:ascii="Arial" w:cs="Arial" w:eastAsia="Arial" w:hAnsi="Arial"/>
          <w:sz w:val="18"/>
          <w:szCs w:val="18"/>
          <w:color w:val="auto"/>
        </w:rPr>
        <w:t>Section 4.22</w:t>
      </w:r>
      <w:r>
        <w:rPr>
          <w:sz w:val="20"/>
          <w:szCs w:val="20"/>
          <w:color w:val="auto"/>
        </w:rPr>
        <w:tab/>
      </w:r>
      <w:r>
        <w:rPr>
          <w:rFonts w:ascii="Arial" w:cs="Arial" w:eastAsia="Arial" w:hAnsi="Arial"/>
          <w:sz w:val="16"/>
          <w:szCs w:val="16"/>
          <w:i w:val="1"/>
          <w:iCs w:val="1"/>
          <w:color w:val="auto"/>
        </w:rPr>
        <w:t>Intercompany Note Proceeds Loans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Company shall, and shall cause its Restricted Subsidiaries to, ensure that:</w:t>
      </w:r>
    </w:p>
    <w:p>
      <w:pPr>
        <w:spacing w:after="0" w:line="117" w:lineRule="exact"/>
        <w:rPr>
          <w:sz w:val="20"/>
          <w:szCs w:val="20"/>
          <w:color w:val="auto"/>
        </w:rPr>
      </w:pPr>
    </w:p>
    <w:p>
      <w:pPr>
        <w:ind w:left="940" w:right="340" w:firstLine="408"/>
        <w:spacing w:after="0" w:line="277" w:lineRule="auto"/>
        <w:tabs>
          <w:tab w:leader="none" w:pos="1731"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Intercompany Note Proceeds Loans are subordinated in right of payment to the Guarantees provided by the Company’s Restricted Subsidiaries party thereto;</w:t>
      </w:r>
    </w:p>
    <w:p>
      <w:pPr>
        <w:spacing w:after="0" w:line="62" w:lineRule="exact"/>
        <w:rPr>
          <w:rFonts w:ascii="Arial" w:cs="Arial" w:eastAsia="Arial" w:hAnsi="Arial"/>
          <w:sz w:val="18"/>
          <w:szCs w:val="18"/>
          <w:color w:val="auto"/>
        </w:rPr>
      </w:pPr>
    </w:p>
    <w:p>
      <w:pPr>
        <w:ind w:left="940" w:right="500" w:firstLine="408"/>
        <w:spacing w:after="0" w:line="277" w:lineRule="auto"/>
        <w:tabs>
          <w:tab w:leader="none" w:pos="1731"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Company will receive interest payments under such Intercompany Note Proceeds Loans in amounts sufficient for the Company to make interest payments under the Notes as they become due; and</w:t>
      </w:r>
    </w:p>
    <w:p>
      <w:pPr>
        <w:spacing w:after="0" w:line="62" w:lineRule="exact"/>
        <w:rPr>
          <w:rFonts w:ascii="Arial" w:cs="Arial" w:eastAsia="Arial" w:hAnsi="Arial"/>
          <w:sz w:val="18"/>
          <w:szCs w:val="18"/>
          <w:color w:val="auto"/>
        </w:rPr>
      </w:pPr>
    </w:p>
    <w:p>
      <w:pPr>
        <w:ind w:left="1740" w:hanging="392"/>
        <w:spacing w:after="0"/>
        <w:tabs>
          <w:tab w:leader="none" w:pos="17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maturity date of such Intercompany Note Proceeds Loans will be same as the maturity date of the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20"/>
          </w:cols>
          <w:pgMar w:left="480" w:top="274" w:right="499" w:bottom="1440" w:gutter="0" w:footer="0" w:header="0"/>
        </w:sectPr>
      </w:pPr>
    </w:p>
    <w:bookmarkStart w:id="411" w:name="page412"/>
    <w:bookmarkEnd w:id="411"/>
    <w:p>
      <w:pPr>
        <w:ind w:left="444"/>
        <w:spacing w:after="0"/>
        <w:tabs>
          <w:tab w:leader="none" w:pos="1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4.23</w:t>
      </w:r>
      <w:r>
        <w:rPr>
          <w:sz w:val="20"/>
          <w:szCs w:val="20"/>
          <w:color w:val="auto"/>
        </w:rPr>
        <w:tab/>
      </w:r>
      <w:r>
        <w:rPr>
          <w:rFonts w:ascii="Arial" w:cs="Arial" w:eastAsia="Arial" w:hAnsi="Arial"/>
          <w:sz w:val="15"/>
          <w:szCs w:val="15"/>
          <w:i w:val="1"/>
          <w:iCs w:val="1"/>
          <w:color w:val="auto"/>
        </w:rPr>
        <w:t>Suspension of Covenants</w:t>
      </w:r>
    </w:p>
    <w:p>
      <w:pPr>
        <w:spacing w:after="0" w:line="117" w:lineRule="exact"/>
        <w:rPr>
          <w:sz w:val="20"/>
          <w:szCs w:val="20"/>
          <w:color w:val="auto"/>
        </w:rPr>
      </w:pPr>
    </w:p>
    <w:p>
      <w:pPr>
        <w:ind w:left="4" w:right="140" w:firstLine="987"/>
        <w:spacing w:after="0" w:line="311" w:lineRule="auto"/>
        <w:tabs>
          <w:tab w:leader="none" w:pos="1372" w:val="left"/>
        </w:tabs>
        <w:numPr>
          <w:ilvl w:val="1"/>
          <w:numId w:val="495"/>
        </w:numPr>
        <w:rPr>
          <w:rFonts w:ascii="Arial" w:cs="Arial" w:eastAsia="Arial" w:hAnsi="Arial"/>
          <w:sz w:val="16"/>
          <w:szCs w:val="16"/>
          <w:color w:val="auto"/>
        </w:rPr>
      </w:pPr>
      <w:r>
        <w:rPr>
          <w:rFonts w:ascii="Arial" w:cs="Arial" w:eastAsia="Arial" w:hAnsi="Arial"/>
          <w:sz w:val="16"/>
          <w:szCs w:val="16"/>
          <w:color w:val="auto"/>
        </w:rPr>
        <w:t>The following covenants (the “</w:t>
      </w:r>
      <w:r>
        <w:rPr>
          <w:rFonts w:ascii="Arial" w:cs="Arial" w:eastAsia="Arial" w:hAnsi="Arial"/>
          <w:sz w:val="16"/>
          <w:szCs w:val="16"/>
          <w:i w:val="1"/>
          <w:iCs w:val="1"/>
          <w:color w:val="auto"/>
        </w:rPr>
        <w:t>Suspended Covenants</w:t>
      </w:r>
      <w:r>
        <w:rPr>
          <w:rFonts w:ascii="Arial" w:cs="Arial" w:eastAsia="Arial" w:hAnsi="Arial"/>
          <w:sz w:val="16"/>
          <w:szCs w:val="16"/>
          <w:color w:val="auto"/>
        </w:rPr>
        <w:t>”) will not apply during any period during which the Notes have an Investment Grade Status (a “</w:t>
      </w:r>
      <w:r>
        <w:rPr>
          <w:rFonts w:ascii="Arial" w:cs="Arial" w:eastAsia="Arial" w:hAnsi="Arial"/>
          <w:sz w:val="16"/>
          <w:szCs w:val="16"/>
          <w:i w:val="1"/>
          <w:iCs w:val="1"/>
          <w:color w:val="auto"/>
        </w:rPr>
        <w:t>Suspension Period</w:t>
      </w:r>
      <w:r>
        <w:rPr>
          <w:rFonts w:ascii="Arial" w:cs="Arial" w:eastAsia="Arial" w:hAnsi="Arial"/>
          <w:sz w:val="16"/>
          <w:szCs w:val="16"/>
          <w:color w:val="auto"/>
        </w:rPr>
        <w:t>”): Section 4.07, Section 4.08, Section 4.09, Section 4.10, Section 4.11, Section 5.01(a)(3) and Section 4.17. Additionally, during any Suspension Period, the Company will not be permitted to designate any Restricted Subsidiary as an Unrestricted Subsidiary.</w:t>
      </w:r>
    </w:p>
    <w:p>
      <w:pPr>
        <w:spacing w:after="0" w:line="148" w:lineRule="exact"/>
        <w:rPr>
          <w:rFonts w:ascii="Arial" w:cs="Arial" w:eastAsia="Arial" w:hAnsi="Arial"/>
          <w:sz w:val="16"/>
          <w:szCs w:val="16"/>
          <w:color w:val="auto"/>
        </w:rPr>
      </w:pPr>
    </w:p>
    <w:p>
      <w:pPr>
        <w:ind w:left="4" w:right="20" w:firstLine="987"/>
        <w:spacing w:after="0" w:line="269" w:lineRule="auto"/>
        <w:tabs>
          <w:tab w:leader="none" w:pos="1385" w:val="left"/>
        </w:tabs>
        <w:numPr>
          <w:ilvl w:val="1"/>
          <w:numId w:val="495"/>
        </w:numPr>
        <w:rPr>
          <w:rFonts w:ascii="Arial" w:cs="Arial" w:eastAsia="Arial" w:hAnsi="Arial"/>
          <w:sz w:val="17"/>
          <w:szCs w:val="17"/>
          <w:color w:val="auto"/>
        </w:rPr>
      </w:pPr>
      <w:r>
        <w:rPr>
          <w:rFonts w:ascii="Arial" w:cs="Arial" w:eastAsia="Arial" w:hAnsi="Arial"/>
          <w:sz w:val="17"/>
          <w:szCs w:val="17"/>
          <w:color w:val="auto"/>
        </w:rPr>
        <w:t>In the event that the Company and its Restricted Subsidiaries are not subject to the Suspended Covenants for any period of time as a result of the foregoing, and on any subsequent date (the “</w:t>
      </w:r>
      <w:r>
        <w:rPr>
          <w:rFonts w:ascii="Arial" w:cs="Arial" w:eastAsia="Arial" w:hAnsi="Arial"/>
          <w:sz w:val="17"/>
          <w:szCs w:val="17"/>
          <w:i w:val="1"/>
          <w:iCs w:val="1"/>
          <w:color w:val="auto"/>
        </w:rPr>
        <w:t>Reversion Date</w:t>
      </w:r>
      <w:r>
        <w:rPr>
          <w:rFonts w:ascii="Arial" w:cs="Arial" w:eastAsia="Arial" w:hAnsi="Arial"/>
          <w:sz w:val="17"/>
          <w:szCs w:val="17"/>
          <w:color w:val="auto"/>
        </w:rPr>
        <w:t xml:space="preserve">”) the Notes cease to have Investment Grade Status, then the Suspended Covenants will apply with respect to events occurring following the Reversion Date (unless and until the Notes subsequently attain an Investment Grade Status, in which case the Suspended Covenants will again be suspended for such time that the Notes maintain an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Default or Event of Default will be deemed to exist under the Indenture with respect to the Suspended Covenants, and none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or any of its Subsidiaries will bear any liability for any actions taken or events occurring during a Suspension Period and before any related Reversion Date, or any actions taken at any time pursuant to any contractual obligation or binding commitment arising prior to such Reversion Date, regardless of whether those actions or events would have been permitted if the applicable Suspended Covenant had remained in effect during such period. The Company shall notify the Trustee should the Notes achieve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notification shall not be a condition for the suspension of the covenants set forth above to be effective. The Trustee shall be under no obligation to notify the holders of the Notes that the Notes have achieved Investment Grade Status.</w:t>
      </w:r>
    </w:p>
    <w:p>
      <w:pPr>
        <w:spacing w:after="0" w:line="181" w:lineRule="exact"/>
        <w:rPr>
          <w:rFonts w:ascii="Arial" w:cs="Arial" w:eastAsia="Arial" w:hAnsi="Arial"/>
          <w:sz w:val="17"/>
          <w:szCs w:val="17"/>
          <w:color w:val="auto"/>
        </w:rPr>
      </w:pPr>
    </w:p>
    <w:p>
      <w:pPr>
        <w:jc w:val="both"/>
        <w:ind w:left="4" w:right="160" w:firstLine="987"/>
        <w:spacing w:after="0" w:line="291" w:lineRule="auto"/>
        <w:tabs>
          <w:tab w:leader="none" w:pos="1375" w:val="left"/>
        </w:tabs>
        <w:numPr>
          <w:ilvl w:val="1"/>
          <w:numId w:val="495"/>
        </w:numPr>
        <w:rPr>
          <w:rFonts w:ascii="Arial" w:cs="Arial" w:eastAsia="Arial" w:hAnsi="Arial"/>
          <w:sz w:val="16"/>
          <w:szCs w:val="16"/>
          <w:color w:val="auto"/>
        </w:rPr>
      </w:pPr>
      <w:r>
        <w:rPr>
          <w:rFonts w:ascii="Arial" w:cs="Arial" w:eastAsia="Arial" w:hAnsi="Arial"/>
          <w:sz w:val="16"/>
          <w:szCs w:val="16"/>
          <w:color w:val="auto"/>
        </w:rPr>
        <w:t>On each Reversion Date, all Indebtedness Incurred during the Suspension Period prior to such Reversion Date will be deemed to be Indebtedness existing on the Issue Date. For purposes of calculating the amount available to be made as Restricted Payments under Section 4.07(a)(4)</w:t>
      </w:r>
    </w:p>
    <w:p>
      <w:pPr>
        <w:ind w:left="4" w:hanging="4"/>
        <w:spacing w:after="0" w:line="269" w:lineRule="auto"/>
        <w:tabs>
          <w:tab w:leader="none" w:pos="289" w:val="left"/>
        </w:tabs>
        <w:numPr>
          <w:ilvl w:val="0"/>
          <w:numId w:val="496"/>
        </w:numPr>
        <w:rPr>
          <w:rFonts w:ascii="Arial" w:cs="Arial" w:eastAsia="Arial" w:hAnsi="Arial"/>
          <w:sz w:val="17"/>
          <w:szCs w:val="17"/>
          <w:color w:val="auto"/>
        </w:rPr>
      </w:pPr>
      <w:r>
        <w:rPr>
          <w:rFonts w:ascii="Arial" w:cs="Arial" w:eastAsia="Arial" w:hAnsi="Arial"/>
          <w:sz w:val="17"/>
          <w:szCs w:val="17"/>
          <w:color w:val="auto"/>
        </w:rPr>
        <w:t>hereof on or after the Reversion Date, calculations under such covenant shall be made as though such covenant had been in effect during the entire period of time after the Issue Date (including the Suspension Period). Restricted Payments made during the Suspension Period not otherwise permitted pursuant to any of clauses (2) through (6) or (18) under Section 4.07(b) hereof will reduce the amount available to be made as Restricted Payments under Section 4.07(a)(4)(C) hereof; provided, that the amount available to be made as Restricted Payments on the Reversion Date shall not be reduced to below zero solely as a result of such Restricted Payments. In addition, for purposes of the other Suspended Covenants, all agreements entered into and all actions taken during the Suspension Period, including, without limitation, the Incurrence of Indebtedness shall be deemed to have been taken or to have existed prior to the Issue Date.</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117" w:lineRule="exact"/>
        <w:rPr>
          <w:sz w:val="20"/>
          <w:szCs w:val="20"/>
          <w:color w:val="auto"/>
        </w:rPr>
      </w:pPr>
    </w:p>
    <w:p>
      <w:pPr>
        <w:jc w:val="both"/>
        <w:ind w:left="4" w:right="60" w:firstLine="987"/>
        <w:spacing w:after="0" w:line="286" w:lineRule="auto"/>
        <w:tabs>
          <w:tab w:leader="none" w:pos="1375" w:val="left"/>
        </w:tabs>
        <w:numPr>
          <w:ilvl w:val="0"/>
          <w:numId w:val="497"/>
        </w:numPr>
        <w:rPr>
          <w:rFonts w:ascii="Arial" w:cs="Arial" w:eastAsia="Arial" w:hAnsi="Arial"/>
          <w:sz w:val="17"/>
          <w:szCs w:val="17"/>
          <w:color w:val="auto"/>
        </w:rPr>
      </w:pPr>
      <w:r>
        <w:rPr>
          <w:rFonts w:ascii="Arial" w:cs="Arial" w:eastAsia="Arial" w:hAnsi="Arial"/>
          <w:sz w:val="17"/>
          <w:szCs w:val="17"/>
          <w:i w:val="1"/>
          <w:iCs w:val="1"/>
          <w:color w:val="auto"/>
        </w:rPr>
        <w:t>The Company</w:t>
      </w:r>
      <w:r>
        <w:rPr>
          <w:rFonts w:ascii="Arial" w:cs="Arial" w:eastAsia="Arial" w:hAnsi="Arial"/>
          <w:sz w:val="17"/>
          <w:szCs w:val="17"/>
          <w:color w:val="auto"/>
        </w:rPr>
        <w:t>. The Company will not, directly or indirectly: (1) consolidate or merge with or into another Person (whether or not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survives); or (2) sell, assign, transfer, convey or otherwise dispose of all or substantially all of the properties or assets of the Company and its Restricted Subsidiaries taken as a whole, in one or more related transactions, to another Person unless:</w:t>
      </w:r>
    </w:p>
    <w:p>
      <w:pPr>
        <w:spacing w:after="0" w:line="57" w:lineRule="exact"/>
        <w:rPr>
          <w:rFonts w:ascii="Arial" w:cs="Arial" w:eastAsia="Arial" w:hAnsi="Arial"/>
          <w:sz w:val="17"/>
          <w:szCs w:val="17"/>
          <w:color w:val="auto"/>
        </w:rPr>
      </w:pPr>
    </w:p>
    <w:p>
      <w:pPr>
        <w:ind w:left="1784" w:hanging="392"/>
        <w:spacing w:after="0"/>
        <w:tabs>
          <w:tab w:leader="none" w:pos="1784" w:val="left"/>
        </w:tabs>
        <w:numPr>
          <w:ilvl w:val="1"/>
          <w:numId w:val="49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424" w:right="300" w:firstLine="391"/>
        <w:spacing w:after="0" w:line="308" w:lineRule="auto"/>
        <w:tabs>
          <w:tab w:leader="none" w:pos="2237" w:val="left"/>
        </w:tabs>
        <w:numPr>
          <w:ilvl w:val="2"/>
          <w:numId w:val="497"/>
        </w:numPr>
        <w:rPr>
          <w:rFonts w:ascii="Arial" w:cs="Arial" w:eastAsia="Arial" w:hAnsi="Arial"/>
          <w:sz w:val="17"/>
          <w:szCs w:val="17"/>
          <w:color w:val="auto"/>
        </w:rPr>
      </w:pPr>
      <w:r>
        <w:rPr>
          <w:rFonts w:ascii="Arial" w:cs="Arial" w:eastAsia="Arial" w:hAnsi="Arial"/>
          <w:sz w:val="17"/>
          <w:szCs w:val="17"/>
          <w:color w:val="auto"/>
        </w:rPr>
        <w:t>if the transaction or series of transactions is a consolidation of the Company with or a merger of the Company with or into any other Person, the Company shall be the surviving entity of such merger or consolidation; or</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4" w:right="459" w:bottom="1440" w:gutter="0" w:footer="0" w:header="0"/>
        </w:sectPr>
      </w:pPr>
    </w:p>
    <w:bookmarkStart w:id="412" w:name="page413"/>
    <w:bookmarkEnd w:id="412"/>
    <w:p>
      <w:pPr>
        <w:ind w:left="1420" w:right="80" w:firstLine="391"/>
        <w:spacing w:after="0" w:line="296" w:lineRule="auto"/>
        <w:tabs>
          <w:tab w:leader="none" w:pos="2223" w:val="left"/>
        </w:tabs>
        <w:numPr>
          <w:ilvl w:val="2"/>
          <w:numId w:val="4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 formed by or surviving any such consolidation or merger (if other than the Company)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the Company under the Notes and this Indenture, pursuant to supplemental indentures or other documents or agreements reasonably satisfactory to the Trustee;</w:t>
      </w:r>
    </w:p>
    <w:p>
      <w:pPr>
        <w:spacing w:after="0" w:line="53" w:lineRule="exact"/>
        <w:rPr>
          <w:rFonts w:ascii="Arial" w:cs="Arial" w:eastAsia="Arial" w:hAnsi="Arial"/>
          <w:sz w:val="16"/>
          <w:szCs w:val="16"/>
          <w:color w:val="auto"/>
        </w:rPr>
      </w:pPr>
    </w:p>
    <w:p>
      <w:pPr>
        <w:ind w:left="1780" w:hanging="392"/>
        <w:spacing w:after="0"/>
        <w:tabs>
          <w:tab w:leader="none" w:pos="178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117" w:lineRule="exact"/>
        <w:rPr>
          <w:rFonts w:ascii="Arial" w:cs="Arial" w:eastAsia="Arial" w:hAnsi="Arial"/>
          <w:sz w:val="18"/>
          <w:szCs w:val="18"/>
          <w:color w:val="auto"/>
        </w:rPr>
      </w:pPr>
    </w:p>
    <w:p>
      <w:pPr>
        <w:ind w:left="980" w:firstLine="408"/>
        <w:spacing w:after="0" w:line="257" w:lineRule="auto"/>
        <w:tabs>
          <w:tab w:leader="none" w:pos="1771" w:val="left"/>
        </w:tabs>
        <w:numPr>
          <w:ilvl w:val="1"/>
          <w:numId w:val="499"/>
        </w:numPr>
        <w:rPr>
          <w:rFonts w:ascii="Arial" w:cs="Arial" w:eastAsia="Arial" w:hAnsi="Arial"/>
          <w:sz w:val="18"/>
          <w:szCs w:val="18"/>
          <w:color w:val="auto"/>
        </w:rPr>
      </w:pPr>
      <w:r>
        <w:rPr>
          <w:rFonts w:ascii="Arial" w:cs="Arial" w:eastAsia="Arial" w:hAnsi="Arial"/>
          <w:sz w:val="18"/>
          <w:szCs w:val="18"/>
          <w:color w:val="auto"/>
        </w:rPr>
        <w:t>the Company, or if applicable, the Person formed by or surviving any such consolidation or merger (if other than the Company),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US$1.00 of additional Indebtedness pursuant to the Fixed Charge Coverage Ratio test set forth in Section 4.09(a) hereof.</w:t>
      </w:r>
    </w:p>
    <w:p>
      <w:pPr>
        <w:spacing w:after="0" w:line="187" w:lineRule="exact"/>
        <w:rPr>
          <w:rFonts w:ascii="Arial" w:cs="Arial" w:eastAsia="Arial" w:hAnsi="Arial"/>
          <w:sz w:val="18"/>
          <w:szCs w:val="18"/>
          <w:color w:val="auto"/>
        </w:rPr>
      </w:pPr>
    </w:p>
    <w:p>
      <w:pPr>
        <w:ind w:right="180" w:firstLine="987"/>
        <w:spacing w:after="0" w:line="259" w:lineRule="auto"/>
        <w:tabs>
          <w:tab w:leader="none" w:pos="1381" w:val="left"/>
        </w:tabs>
        <w:numPr>
          <w:ilvl w:val="0"/>
          <w:numId w:val="500"/>
        </w:numPr>
        <w:rPr>
          <w:rFonts w:ascii="Arial" w:cs="Arial" w:eastAsia="Arial" w:hAnsi="Arial"/>
          <w:sz w:val="18"/>
          <w:szCs w:val="18"/>
          <w:color w:val="auto"/>
        </w:rPr>
      </w:pPr>
      <w:r>
        <w:rPr>
          <w:rFonts w:ascii="Arial" w:cs="Arial" w:eastAsia="Arial" w:hAnsi="Arial"/>
          <w:sz w:val="18"/>
          <w:szCs w:val="18"/>
          <w:i w:val="1"/>
          <w:iCs w:val="1"/>
          <w:color w:val="auto"/>
        </w:rPr>
        <w:t>The Subsidiary Guarantors</w:t>
      </w:r>
      <w:r>
        <w:rPr>
          <w:rFonts w:ascii="Arial" w:cs="Arial" w:eastAsia="Arial" w:hAnsi="Arial"/>
          <w:sz w:val="18"/>
          <w:szCs w:val="18"/>
          <w:color w:val="auto"/>
        </w:rPr>
        <w:t>. Subject to the Section 11.08(c) hereof, no Subsidiary Guarantor will, and the Company will not permit</w:t>
      </w:r>
      <w:r>
        <w:rPr>
          <w:rFonts w:ascii="Arial" w:cs="Arial" w:eastAsia="Arial" w:hAnsi="Arial"/>
          <w:sz w:val="18"/>
          <w:szCs w:val="18"/>
          <w:i w:val="1"/>
          <w:iCs w:val="1"/>
          <w:color w:val="auto"/>
        </w:rPr>
        <w:t xml:space="preserve"> </w:t>
      </w:r>
      <w:r>
        <w:rPr>
          <w:rFonts w:ascii="Arial" w:cs="Arial" w:eastAsia="Arial" w:hAnsi="Arial"/>
          <w:sz w:val="18"/>
          <w:szCs w:val="18"/>
          <w:color w:val="auto"/>
        </w:rPr>
        <w:t>any Subsidiary Guarantor to, directly or indirectly: (1) consolidate or merge with or into another Person (whether or not such Subsidiary Guarantor survives); or (2) sell, assign, transfer, convey or otherwise dispose of all or substantially all of the properties or assets of such Subsidiary Guarantor in one or more related transactions, to another Person, unless:</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420" w:right="60" w:firstLine="391"/>
        <w:spacing w:after="0" w:line="263" w:lineRule="auto"/>
        <w:tabs>
          <w:tab w:leader="none" w:pos="2233" w:val="left"/>
        </w:tabs>
        <w:numPr>
          <w:ilvl w:val="2"/>
          <w:numId w:val="500"/>
        </w:numPr>
        <w:rPr>
          <w:rFonts w:ascii="Arial" w:cs="Arial" w:eastAsia="Arial" w:hAnsi="Arial"/>
          <w:sz w:val="18"/>
          <w:szCs w:val="18"/>
          <w:color w:val="auto"/>
        </w:rPr>
      </w:pPr>
      <w:r>
        <w:rPr>
          <w:rFonts w:ascii="Arial" w:cs="Arial" w:eastAsia="Arial" w:hAnsi="Arial"/>
          <w:sz w:val="18"/>
          <w:szCs w:val="18"/>
          <w:color w:val="auto"/>
        </w:rPr>
        <w:t>if the transaction or series of transactions is a consolidation of such Subsidiary Guarantor with or a merger of such Subsidiary Guarantor with or into any other Person, such Subsidiary Guarantor shall be the surviving entity of such consolidation or merger; or</w:t>
      </w:r>
    </w:p>
    <w:p>
      <w:pPr>
        <w:spacing w:after="0" w:line="75" w:lineRule="exact"/>
        <w:rPr>
          <w:rFonts w:ascii="Arial" w:cs="Arial" w:eastAsia="Arial" w:hAnsi="Arial"/>
          <w:sz w:val="18"/>
          <w:szCs w:val="18"/>
          <w:color w:val="auto"/>
        </w:rPr>
      </w:pPr>
    </w:p>
    <w:p>
      <w:pPr>
        <w:ind w:left="1420" w:firstLine="391"/>
        <w:spacing w:after="0" w:line="275" w:lineRule="auto"/>
        <w:tabs>
          <w:tab w:leader="none" w:pos="2223" w:val="left"/>
        </w:tabs>
        <w:numPr>
          <w:ilvl w:val="2"/>
          <w:numId w:val="500"/>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such Subsidiary Guarantor)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such Subsidiary Guarantor under its Note Guarantee and this Indenture, pursuant to a supplemental indenture; and</w:t>
      </w:r>
    </w:p>
    <w:p>
      <w:pPr>
        <w:spacing w:after="0" w:line="68" w:lineRule="exact"/>
        <w:rPr>
          <w:rFonts w:ascii="Arial" w:cs="Arial" w:eastAsia="Arial" w:hAnsi="Arial"/>
          <w:sz w:val="17"/>
          <w:szCs w:val="17"/>
          <w:color w:val="auto"/>
        </w:rPr>
      </w:pPr>
    </w:p>
    <w:p>
      <w:pPr>
        <w:ind w:left="1780" w:hanging="392"/>
        <w:spacing w:after="0"/>
        <w:tabs>
          <w:tab w:leader="none" w:pos="178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This Section 5.01 will not apply to:</w:t>
      </w:r>
    </w:p>
    <w:p>
      <w:pPr>
        <w:spacing w:after="0" w:line="117" w:lineRule="exact"/>
        <w:rPr>
          <w:rFonts w:ascii="Arial" w:cs="Arial" w:eastAsia="Arial" w:hAnsi="Arial"/>
          <w:sz w:val="18"/>
          <w:szCs w:val="18"/>
          <w:color w:val="auto"/>
        </w:rPr>
      </w:pPr>
    </w:p>
    <w:p>
      <w:pPr>
        <w:ind w:left="980" w:right="980" w:firstLine="408"/>
        <w:spacing w:after="0" w:line="308" w:lineRule="auto"/>
        <w:tabs>
          <w:tab w:leader="none" w:pos="1771" w:val="left"/>
        </w:tabs>
        <w:numPr>
          <w:ilvl w:val="1"/>
          <w:numId w:val="500"/>
        </w:numPr>
        <w:rPr>
          <w:rFonts w:ascii="Arial" w:cs="Arial" w:eastAsia="Arial" w:hAnsi="Arial"/>
          <w:sz w:val="17"/>
          <w:szCs w:val="17"/>
          <w:color w:val="auto"/>
        </w:rPr>
      </w:pPr>
      <w:r>
        <w:rPr>
          <w:rFonts w:ascii="Arial" w:cs="Arial" w:eastAsia="Arial" w:hAnsi="Arial"/>
          <w:sz w:val="17"/>
          <w:szCs w:val="17"/>
          <w:color w:val="auto"/>
        </w:rPr>
        <w:t>a merger of the Company or a Subsidiary Guarantor, as the case may be, with an Affiliate solely for the purpose of reincorporating the Company or a Subsidiary Guarantor, as the case may be, in another jurisdiction; or</w:t>
      </w:r>
    </w:p>
    <w:p>
      <w:pPr>
        <w:spacing w:after="0" w:line="38" w:lineRule="exact"/>
        <w:rPr>
          <w:rFonts w:ascii="Arial" w:cs="Arial" w:eastAsia="Arial" w:hAnsi="Arial"/>
          <w:sz w:val="17"/>
          <w:szCs w:val="17"/>
          <w:color w:val="auto"/>
        </w:rPr>
      </w:pPr>
    </w:p>
    <w:p>
      <w:pPr>
        <w:ind w:left="980" w:right="80" w:firstLine="408"/>
        <w:spacing w:after="0" w:line="277" w:lineRule="auto"/>
        <w:tabs>
          <w:tab w:leader="none" w:pos="1771" w:val="left"/>
        </w:tabs>
        <w:numPr>
          <w:ilvl w:val="1"/>
          <w:numId w:val="500"/>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or other disposition of assets between or among the Company and the Subsidiary Guarantors or between or among the Subsidiary Guarantors.</w:t>
      </w:r>
    </w:p>
    <w:p>
      <w:pPr>
        <w:spacing w:after="0" w:line="170"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 xml:space="preserve">Upon consummation of any consolidation or merger, or any sale, assignment, transfer, conveyance, or other disposition of assets by a Subsidiary Guarantor with or into the Company or another Subsidiary Guarantor in accordance with this Section 5.01 which results in a Subsidiary Guarantor distributing all of its assets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assets required by law to maintain its corporate existence) to the Company or another Subsidiary Guarantor, such transferring Subsidiary Guarantor may be wound up pursuant to a solvent liquidation or solvent reorganization, provided it shall have no third party recourse Indebtedness or be the obligor under any intercompany Indebtedness.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413" w:name="page414"/>
    <w:bookmarkEnd w:id="413"/>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5.02</w:t>
      </w:r>
      <w:r>
        <w:rPr>
          <w:sz w:val="20"/>
          <w:szCs w:val="20"/>
          <w:color w:val="auto"/>
        </w:rPr>
        <w:tab/>
      </w:r>
      <w:r>
        <w:rPr>
          <w:rFonts w:ascii="Arial" w:cs="Arial" w:eastAsia="Arial" w:hAnsi="Arial"/>
          <w:sz w:val="16"/>
          <w:szCs w:val="16"/>
          <w:i w:val="1"/>
          <w:iCs w:val="1"/>
          <w:color w:val="auto"/>
        </w:rPr>
        <w:t>Successor Corporation Substituted.</w:t>
      </w:r>
    </w:p>
    <w:p>
      <w:pPr>
        <w:spacing w:after="0" w:line="11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predecessor Company shall not be relieved from the obligation to pay the principal of and interest on the Notes except in the case of a sale of all of the Company’s assets in a transaction that is subject to, and that complies with the provisions of, Section 5.01 hereof.</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117" w:lineRule="exact"/>
        <w:rPr>
          <w:sz w:val="20"/>
          <w:szCs w:val="20"/>
          <w:color w:val="auto"/>
        </w:rPr>
      </w:pPr>
    </w:p>
    <w:p>
      <w:pPr>
        <w:ind w:left="1360" w:hanging="373"/>
        <w:spacing w:after="0"/>
        <w:tabs>
          <w:tab w:leader="none" w:pos="13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Each of the following is an event of default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or Additional Amounts, if any, with respect to the Notes;</w:t>
      </w:r>
    </w:p>
    <w:p>
      <w:pPr>
        <w:spacing w:after="0" w:line="117" w:lineRule="exact"/>
        <w:rPr>
          <w:rFonts w:ascii="Arial" w:cs="Arial" w:eastAsia="Arial" w:hAnsi="Arial"/>
          <w:sz w:val="18"/>
          <w:szCs w:val="18"/>
          <w:color w:val="auto"/>
        </w:rPr>
      </w:pPr>
    </w:p>
    <w:p>
      <w:pPr>
        <w:ind w:left="980" w:right="140" w:firstLine="408"/>
        <w:spacing w:after="0" w:line="277" w:lineRule="auto"/>
        <w:tabs>
          <w:tab w:leader="none" w:pos="1771" w:val="left"/>
        </w:tabs>
        <w:numPr>
          <w:ilvl w:val="1"/>
          <w:numId w:val="501"/>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upon required repurchase, or otherwise) of the principal of, or premium, if any, on the Notes;</w:t>
      </w:r>
    </w:p>
    <w:p>
      <w:pPr>
        <w:spacing w:after="0" w:line="62" w:lineRule="exact"/>
        <w:rPr>
          <w:rFonts w:ascii="Arial" w:cs="Arial" w:eastAsia="Arial" w:hAnsi="Arial"/>
          <w:sz w:val="18"/>
          <w:szCs w:val="18"/>
          <w:color w:val="auto"/>
        </w:rPr>
      </w:pPr>
    </w:p>
    <w:p>
      <w:pPr>
        <w:ind w:left="980" w:right="20" w:firstLine="408"/>
        <w:spacing w:after="0" w:line="277" w:lineRule="auto"/>
        <w:tabs>
          <w:tab w:leader="none" w:pos="1771" w:val="left"/>
        </w:tabs>
        <w:numPr>
          <w:ilvl w:val="1"/>
          <w:numId w:val="501"/>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comply with its obligations under the provisions of Section 3.09, 4.10, 4.15, 4.21 or 5.01 hereof;</w:t>
      </w:r>
    </w:p>
    <w:p>
      <w:pPr>
        <w:spacing w:after="0" w:line="62" w:lineRule="exact"/>
        <w:rPr>
          <w:rFonts w:ascii="Arial" w:cs="Arial" w:eastAsia="Arial" w:hAnsi="Arial"/>
          <w:sz w:val="18"/>
          <w:szCs w:val="18"/>
          <w:color w:val="auto"/>
        </w:rPr>
      </w:pPr>
    </w:p>
    <w:p>
      <w:pPr>
        <w:ind w:left="980" w:right="360" w:firstLine="408"/>
        <w:spacing w:after="0" w:line="263" w:lineRule="auto"/>
        <w:tabs>
          <w:tab w:leader="none" w:pos="1771" w:val="left"/>
        </w:tabs>
        <w:numPr>
          <w:ilvl w:val="1"/>
          <w:numId w:val="501"/>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for 60 days after notice to the Company by the Trustee or the Holders of at least 25% in aggregate principal amount of the Notes then outstanding voting as a single class to comply with any of the other agreements in this Indenture,;</w:t>
      </w:r>
    </w:p>
    <w:p>
      <w:pPr>
        <w:spacing w:after="0" w:line="75" w:lineRule="exact"/>
        <w:rPr>
          <w:rFonts w:ascii="Arial" w:cs="Arial" w:eastAsia="Arial" w:hAnsi="Arial"/>
          <w:sz w:val="18"/>
          <w:szCs w:val="18"/>
          <w:color w:val="auto"/>
        </w:rPr>
      </w:pPr>
    </w:p>
    <w:p>
      <w:pPr>
        <w:ind w:left="980" w:right="160" w:firstLine="408"/>
        <w:spacing w:after="0" w:line="259" w:lineRule="auto"/>
        <w:tabs>
          <w:tab w:leader="none" w:pos="1771" w:val="left"/>
        </w:tabs>
        <w:numPr>
          <w:ilvl w:val="1"/>
          <w:numId w:val="501"/>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this Indenture, if that default:</w:t>
      </w:r>
    </w:p>
    <w:p>
      <w:pPr>
        <w:spacing w:after="0" w:line="78" w:lineRule="exact"/>
        <w:rPr>
          <w:rFonts w:ascii="Arial" w:cs="Arial" w:eastAsia="Arial" w:hAnsi="Arial"/>
          <w:sz w:val="18"/>
          <w:szCs w:val="18"/>
          <w:color w:val="auto"/>
        </w:rPr>
      </w:pPr>
    </w:p>
    <w:p>
      <w:pPr>
        <w:ind w:left="1420" w:right="180" w:firstLine="391"/>
        <w:spacing w:after="0" w:line="277" w:lineRule="auto"/>
        <w:tabs>
          <w:tab w:leader="none" w:pos="2233" w:val="left"/>
        </w:tabs>
        <w:numPr>
          <w:ilvl w:val="2"/>
          <w:numId w:val="501"/>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2240" w:hanging="429"/>
        <w:spacing w:after="0"/>
        <w:tabs>
          <w:tab w:leader="none" w:pos="2240" w:val="left"/>
        </w:tabs>
        <w:numPr>
          <w:ilvl w:val="2"/>
          <w:numId w:val="501"/>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17" w:lineRule="exact"/>
        <w:rPr>
          <w:sz w:val="20"/>
          <w:szCs w:val="20"/>
          <w:color w:val="auto"/>
        </w:rPr>
      </w:pPr>
    </w:p>
    <w:p>
      <w:pPr>
        <w:ind w:left="1420" w:right="60"/>
        <w:spacing w:after="0" w:line="263"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US$20.0 million or more at any time outstanding;</w:t>
      </w:r>
    </w:p>
    <w:p>
      <w:pPr>
        <w:spacing w:after="0" w:line="76" w:lineRule="exact"/>
        <w:rPr>
          <w:sz w:val="20"/>
          <w:szCs w:val="20"/>
          <w:color w:val="auto"/>
        </w:rPr>
      </w:pPr>
    </w:p>
    <w:p>
      <w:pPr>
        <w:ind w:left="980" w:right="60" w:firstLine="408"/>
        <w:spacing w:after="0" w:line="286" w:lineRule="auto"/>
        <w:tabs>
          <w:tab w:leader="none" w:pos="1771" w:val="left"/>
        </w:tabs>
        <w:numPr>
          <w:ilvl w:val="0"/>
          <w:numId w:val="502"/>
        </w:numPr>
        <w:rPr>
          <w:rFonts w:ascii="Arial" w:cs="Arial" w:eastAsia="Arial" w:hAnsi="Arial"/>
          <w:sz w:val="17"/>
          <w:szCs w:val="17"/>
          <w:color w:val="auto"/>
        </w:rPr>
      </w:pPr>
      <w:r>
        <w:rPr>
          <w:rFonts w:ascii="Arial" w:cs="Arial" w:eastAsia="Arial" w:hAnsi="Arial"/>
          <w:sz w:val="17"/>
          <w:szCs w:val="17"/>
          <w:color w:val="auto"/>
        </w:rPr>
        <w:t>failure by the Company or any of its Restricted Subsidiaries to pay final judgments entered by a court or courts of competent jurisdiction (other than any judgment as to which a reputable third party insurer has accepted full responsibility and coverage) aggregating in excess of US$20.0 million, which judgments are not paid, discharged or stayed for a period of 60 days;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414" w:name="page415"/>
    <w:bookmarkEnd w:id="414"/>
    <w:p>
      <w:pPr>
        <w:ind w:left="980" w:right="100" w:firstLine="408"/>
        <w:spacing w:after="0" w:line="308" w:lineRule="auto"/>
        <w:tabs>
          <w:tab w:leader="none" w:pos="1771" w:val="left"/>
        </w:tabs>
        <w:numPr>
          <w:ilvl w:val="0"/>
          <w:numId w:val="5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or any of its Restricted Subsidiaries that is a Significant Subsidiary or any group of Restricted Subsidiaries of the Company that, taken together, would constitute a Significant Subsidiary pursuant to or within the meaning of Bankruptcy Law:</w:t>
      </w:r>
    </w:p>
    <w:p>
      <w:pPr>
        <w:spacing w:after="0" w:line="38" w:lineRule="exact"/>
        <w:rPr>
          <w:rFonts w:ascii="Arial" w:cs="Arial" w:eastAsia="Arial" w:hAnsi="Arial"/>
          <w:sz w:val="17"/>
          <w:szCs w:val="17"/>
          <w:color w:val="auto"/>
        </w:rPr>
      </w:pPr>
    </w:p>
    <w:p>
      <w:pPr>
        <w:ind w:left="2240" w:hanging="429"/>
        <w:spacing w:after="0"/>
        <w:tabs>
          <w:tab w:leader="none" w:pos="224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commences a voluntary case or is the subject of a petition by a creditor to have it declared bankrupt,</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2220" w:hanging="409"/>
        <w:spacing w:after="0"/>
        <w:tabs>
          <w:tab w:leader="none" w:pos="222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420" w:right="400" w:firstLine="391"/>
        <w:spacing w:after="0" w:line="342" w:lineRule="auto"/>
        <w:tabs>
          <w:tab w:leader="none" w:pos="2233" w:val="left"/>
        </w:tabs>
        <w:numPr>
          <w:ilvl w:val="1"/>
          <w:numId w:val="503"/>
        </w:numPr>
        <w:rPr>
          <w:rFonts w:ascii="Arial" w:cs="Arial" w:eastAsia="Arial" w:hAnsi="Arial"/>
          <w:sz w:val="16"/>
          <w:szCs w:val="16"/>
          <w:color w:val="auto"/>
        </w:rPr>
      </w:pPr>
      <w:r>
        <w:rPr>
          <w:rFonts w:ascii="Arial" w:cs="Arial" w:eastAsia="Arial" w:hAnsi="Arial"/>
          <w:sz w:val="16"/>
          <w:szCs w:val="16"/>
          <w:color w:val="auto"/>
        </w:rPr>
        <w:t>is for relief against the Company or any of its Restricted Subsidiaries that is a Significant Subsidiary or any group of Restricted Subsidiaries of the Company that, taken together, would constitute a Significant Subsidiary in an involuntary case;</w:t>
      </w:r>
    </w:p>
    <w:p>
      <w:pPr>
        <w:spacing w:after="0" w:line="15" w:lineRule="exact"/>
        <w:rPr>
          <w:rFonts w:ascii="Arial" w:cs="Arial" w:eastAsia="Arial" w:hAnsi="Arial"/>
          <w:sz w:val="16"/>
          <w:szCs w:val="16"/>
          <w:color w:val="auto"/>
        </w:rPr>
      </w:pPr>
    </w:p>
    <w:p>
      <w:pPr>
        <w:ind w:left="1420" w:firstLine="391"/>
        <w:spacing w:after="0" w:line="259" w:lineRule="auto"/>
        <w:tabs>
          <w:tab w:leader="none" w:pos="2223" w:val="left"/>
        </w:tabs>
        <w:numPr>
          <w:ilvl w:val="1"/>
          <w:numId w:val="503"/>
        </w:numPr>
        <w:rPr>
          <w:rFonts w:ascii="Arial" w:cs="Arial" w:eastAsia="Arial" w:hAnsi="Arial"/>
          <w:sz w:val="18"/>
          <w:szCs w:val="18"/>
          <w:color w:val="auto"/>
        </w:rPr>
      </w:pPr>
      <w:r>
        <w:rPr>
          <w:rFonts w:ascii="Arial" w:cs="Arial" w:eastAsia="Arial" w:hAnsi="Arial"/>
          <w:sz w:val="18"/>
          <w:szCs w:val="18"/>
          <w:color w:val="auto"/>
        </w:rPr>
        <w:t>appoints a custodian of the Company or of any of its Restricted Subsidiaries that is a Significant Subsidiary or any group of Restricted Subsidiaries of the Company that, taken together, would constitute a Significant Subsidiary or for all or substantially all of the property of the Company or any of its Restricted Subsidiaries that is a Significant Subsidiary or any group of Restricted Subsidiaries of the Company that, taken together, would constitute a Significant Subsidiary; or</w:t>
      </w:r>
    </w:p>
    <w:p>
      <w:pPr>
        <w:spacing w:after="0" w:line="78" w:lineRule="exact"/>
        <w:rPr>
          <w:rFonts w:ascii="Arial" w:cs="Arial" w:eastAsia="Arial" w:hAnsi="Arial"/>
          <w:sz w:val="18"/>
          <w:szCs w:val="18"/>
          <w:color w:val="auto"/>
        </w:rPr>
      </w:pPr>
    </w:p>
    <w:p>
      <w:pPr>
        <w:ind w:left="1420" w:right="20" w:firstLine="391"/>
        <w:spacing w:after="0" w:line="277" w:lineRule="auto"/>
        <w:tabs>
          <w:tab w:leader="none" w:pos="2223" w:val="left"/>
        </w:tabs>
        <w:numPr>
          <w:ilvl w:val="1"/>
          <w:numId w:val="503"/>
        </w:numPr>
        <w:rPr>
          <w:rFonts w:ascii="Arial" w:cs="Arial" w:eastAsia="Arial" w:hAnsi="Arial"/>
          <w:sz w:val="18"/>
          <w:szCs w:val="18"/>
          <w:color w:val="auto"/>
        </w:rPr>
      </w:pPr>
      <w:r>
        <w:rPr>
          <w:rFonts w:ascii="Arial" w:cs="Arial" w:eastAsia="Arial" w:hAnsi="Arial"/>
          <w:sz w:val="18"/>
          <w:szCs w:val="18"/>
          <w:color w:val="auto"/>
        </w:rPr>
        <w:t>orders the liquidation of the Company or of any of its Restricted Subsidiaries that is a Significant Subsidiary or any group of Restricted Subsidiaries of the Company that, taken together, would constitute a Significant Subsidiary;</w:t>
      </w:r>
    </w:p>
    <w:p>
      <w:pPr>
        <w:spacing w:after="0" w:line="62" w:lineRule="exact"/>
        <w:rPr>
          <w:rFonts w:ascii="Arial" w:cs="Arial" w:eastAsia="Arial" w:hAnsi="Arial"/>
          <w:sz w:val="18"/>
          <w:szCs w:val="18"/>
          <w:color w:val="auto"/>
        </w:rPr>
      </w:pPr>
    </w:p>
    <w:p>
      <w:pPr>
        <w:ind w:left="980" w:right="120" w:firstLine="408"/>
        <w:spacing w:after="0" w:line="263" w:lineRule="auto"/>
        <w:tabs>
          <w:tab w:leader="none" w:pos="1771" w:val="left"/>
        </w:tabs>
        <w:numPr>
          <w:ilvl w:val="0"/>
          <w:numId w:val="503"/>
        </w:numPr>
        <w:rPr>
          <w:rFonts w:ascii="Arial" w:cs="Arial" w:eastAsia="Arial" w:hAnsi="Arial"/>
          <w:sz w:val="18"/>
          <w:szCs w:val="18"/>
          <w:color w:val="auto"/>
        </w:rPr>
      </w:pPr>
      <w:r>
        <w:rPr>
          <w:rFonts w:ascii="Arial" w:cs="Arial" w:eastAsia="Arial" w:hAnsi="Arial"/>
          <w:sz w:val="18"/>
          <w:szCs w:val="18"/>
          <w:color w:val="auto"/>
        </w:rPr>
        <w:t>except as permitted by this Indenture, (a) any Note Guarantee being held in any judicial proceeding in a competent jurisdiction to be unenforceable or invalid or ceases for any reason to be in full force and effect, or (b) any Person acting on behalf of any Subsidiary Guarantor, denying or disaffirming its Obligations under its Note Guarantee; and</w:t>
      </w:r>
    </w:p>
    <w:p>
      <w:pPr>
        <w:spacing w:after="0" w:line="75" w:lineRule="exact"/>
        <w:rPr>
          <w:rFonts w:ascii="Arial" w:cs="Arial" w:eastAsia="Arial" w:hAnsi="Arial"/>
          <w:sz w:val="18"/>
          <w:szCs w:val="18"/>
          <w:color w:val="auto"/>
        </w:rPr>
      </w:pPr>
    </w:p>
    <w:p>
      <w:pPr>
        <w:ind w:left="980" w:right="160" w:firstLine="408"/>
        <w:spacing w:after="0" w:line="259" w:lineRule="auto"/>
        <w:tabs>
          <w:tab w:leader="none" w:pos="18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termination or rescission of any Gaming License or the Macau government takes any formal measure to do so (excluding any termination or rescission resulting from or in connection with any renewal, tender or other process conducted by the government of Macau in connection with the granting or renewal of any Gaming License; provided that such renewal, tender or other process results in the granting or renewal of the relevant Gaming License).</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117"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In the case of an Event of Default specified in Section 6.01(a)(7) or 6.01(a)(8) hereof, with respect to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4" w:right="439" w:bottom="1440" w:gutter="0" w:footer="0" w:header="0"/>
        </w:sectPr>
      </w:pPr>
    </w:p>
    <w:bookmarkStart w:id="415" w:name="page416"/>
    <w:bookmarkEnd w:id="415"/>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Holders of a majority in aggregate principal amount of the then outstanding Notes by written notice to the Trustee may, on behalf of all of the Holders, rescind an acceleration (including any related payment default that resulted from such acceleration) and its consequences, if the rescission would not conflict with any judgment or decree and if all existing Events of Default (except non-payment of principal of, premium, if any, or interest on the Notes).</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117" w:lineRule="exact"/>
        <w:rPr>
          <w:sz w:val="20"/>
          <w:szCs w:val="20"/>
          <w:color w:val="auto"/>
        </w:rPr>
      </w:pPr>
    </w:p>
    <w:p>
      <w:pPr>
        <w:jc w:val="both"/>
        <w:ind w:firstLine="991"/>
        <w:spacing w:after="0" w:line="308" w:lineRule="auto"/>
        <w:rPr>
          <w:sz w:val="20"/>
          <w:szCs w:val="20"/>
          <w:color w:val="auto"/>
        </w:rPr>
      </w:pPr>
      <w:r>
        <w:rPr>
          <w:rFonts w:ascii="Arial" w:cs="Arial" w:eastAsia="Arial" w:hAnsi="Arial"/>
          <w:sz w:val="17"/>
          <w:szCs w:val="17"/>
          <w:color w:val="auto"/>
        </w:rPr>
        <w:t>If an Event of Default occurs and is continuing, the Trustee may pursue any available remedy to collect the payment of principal, premium and Additional Amounts, if any, and interest on the Notes or to enforce the performance of any provision of the Notes or this Indenture.</w:t>
      </w:r>
    </w:p>
    <w:p>
      <w:pPr>
        <w:spacing w:after="0" w:line="146" w:lineRule="exact"/>
        <w:rPr>
          <w:sz w:val="20"/>
          <w:szCs w:val="20"/>
          <w:color w:val="auto"/>
        </w:rPr>
      </w:pPr>
    </w:p>
    <w:p>
      <w:pPr>
        <w:jc w:val="both"/>
        <w:ind w:right="20" w:firstLine="991"/>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27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117" w:lineRule="exact"/>
        <w:rPr>
          <w:sz w:val="20"/>
          <w:szCs w:val="20"/>
          <w:color w:val="auto"/>
        </w:rPr>
      </w:pPr>
    </w:p>
    <w:p>
      <w:pPr>
        <w:ind w:right="120" w:firstLine="991"/>
        <w:spacing w:after="0" w:line="272" w:lineRule="auto"/>
        <w:rPr>
          <w:sz w:val="20"/>
          <w:szCs w:val="20"/>
          <w:color w:val="auto"/>
        </w:rPr>
      </w:pPr>
      <w:r>
        <w:rPr>
          <w:rFonts w:ascii="Arial" w:cs="Arial" w:eastAsia="Arial" w:hAnsi="Arial"/>
          <w:sz w:val="17"/>
          <w:szCs w:val="17"/>
          <w:color w:val="auto"/>
        </w:rPr>
        <w:t xml:space="preserve">Holders of not less than a majority in aggregate principal amount of the then outstanding Notes by written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Holders of a majority in aggregate principal amount of the then outstanding Notes may rescind an acceleration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8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117"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Holders of a majority in aggregate principal amount of the then outstanding Notes may direct, in writing,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or that may involve the Trustee in personal liability.</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117" w:lineRule="exact"/>
        <w:rPr>
          <w:sz w:val="20"/>
          <w:szCs w:val="20"/>
          <w:color w:val="auto"/>
        </w:rPr>
      </w:pPr>
    </w:p>
    <w:p>
      <w:pPr>
        <w:ind w:right="40" w:firstLine="987"/>
        <w:spacing w:after="0" w:line="257" w:lineRule="auto"/>
        <w:tabs>
          <w:tab w:leader="none" w:pos="141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Subject to the provisions of this Indenture relating to the duties of the Trustee, in case an Event of Default occurs and is continuing, the Trustee will be under no obligation to exercise any of the rights or powers under this Indenture at the request or direction of any Holders unless such Holders have offered to the Trustee indemnity and/or security to its satisfaction against any loss, liability or expense. Except to enforce the right to receive payment of principal, premium, if any, or interest or Additional Amounts, if any, when due, no Holder may pursue any remedy with respect to this Indenture or the Notes unless:</w:t>
      </w:r>
    </w:p>
    <w:p>
      <w:pPr>
        <w:spacing w:after="0" w:line="79" w:lineRule="exact"/>
        <w:rPr>
          <w:rFonts w:ascii="Arial" w:cs="Arial" w:eastAsia="Arial" w:hAnsi="Arial"/>
          <w:sz w:val="18"/>
          <w:szCs w:val="18"/>
          <w:color w:val="auto"/>
        </w:rPr>
      </w:pPr>
    </w:p>
    <w:p>
      <w:pPr>
        <w:ind w:left="1780" w:hanging="392"/>
        <w:spacing w:after="0"/>
        <w:tabs>
          <w:tab w:leader="none" w:pos="178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117" w:lineRule="exact"/>
        <w:rPr>
          <w:rFonts w:ascii="Arial" w:cs="Arial" w:eastAsia="Arial" w:hAnsi="Arial"/>
          <w:sz w:val="18"/>
          <w:szCs w:val="18"/>
          <w:color w:val="auto"/>
        </w:rPr>
      </w:pPr>
    </w:p>
    <w:p>
      <w:pPr>
        <w:ind w:left="980" w:right="60" w:firstLine="408"/>
        <w:spacing w:after="0" w:line="277" w:lineRule="auto"/>
        <w:tabs>
          <w:tab w:leader="none" w:pos="1771" w:val="left"/>
        </w:tabs>
        <w:numPr>
          <w:ilvl w:val="1"/>
          <w:numId w:val="504"/>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have made a written request to the Trustee to pursue the remedy;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4" w:right="479" w:bottom="1440" w:gutter="0" w:footer="0" w:header="0"/>
        </w:sectPr>
      </w:pPr>
    </w:p>
    <w:bookmarkStart w:id="416" w:name="page417"/>
    <w:bookmarkEnd w:id="416"/>
    <w:p>
      <w:pPr>
        <w:ind w:left="1780" w:hanging="392"/>
        <w:spacing w:after="0"/>
        <w:tabs>
          <w:tab w:leader="none" w:pos="1780" w:val="left"/>
        </w:tabs>
        <w:numPr>
          <w:ilvl w:val="1"/>
          <w:numId w:val="5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Holders have offered the Trustee security and/or indemnity satisfactory to the Trustee against any loss, liability or expense;</w:t>
      </w:r>
    </w:p>
    <w:p>
      <w:pPr>
        <w:spacing w:after="0" w:line="140" w:lineRule="exact"/>
        <w:rPr>
          <w:rFonts w:ascii="Arial" w:cs="Arial" w:eastAsia="Arial" w:hAnsi="Arial"/>
          <w:sz w:val="16"/>
          <w:szCs w:val="16"/>
          <w:color w:val="auto"/>
        </w:rPr>
      </w:pPr>
    </w:p>
    <w:p>
      <w:pPr>
        <w:ind w:left="980" w:right="300" w:firstLine="408"/>
        <w:spacing w:after="0" w:line="277" w:lineRule="auto"/>
        <w:tabs>
          <w:tab w:leader="none" w:pos="1771"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request and the offer of security and/or indemnity to its satisfaction; and</w:t>
      </w:r>
    </w:p>
    <w:p>
      <w:pPr>
        <w:spacing w:after="0" w:line="62" w:lineRule="exact"/>
        <w:rPr>
          <w:rFonts w:ascii="Arial" w:cs="Arial" w:eastAsia="Arial" w:hAnsi="Arial"/>
          <w:sz w:val="18"/>
          <w:szCs w:val="18"/>
          <w:color w:val="auto"/>
        </w:rPr>
      </w:pPr>
    </w:p>
    <w:p>
      <w:pPr>
        <w:ind w:left="980" w:right="240" w:firstLine="408"/>
        <w:spacing w:after="0" w:line="277" w:lineRule="auto"/>
        <w:tabs>
          <w:tab w:leader="none" w:pos="1771" w:val="left"/>
        </w:tabs>
        <w:numPr>
          <w:ilvl w:val="1"/>
          <w:numId w:val="505"/>
        </w:numPr>
        <w:rPr>
          <w:rFonts w:ascii="Arial" w:cs="Arial" w:eastAsia="Arial" w:hAnsi="Arial"/>
          <w:sz w:val="18"/>
          <w:szCs w:val="18"/>
          <w:color w:val="auto"/>
        </w:rPr>
      </w:pPr>
      <w:r>
        <w:rPr>
          <w:rFonts w:ascii="Arial" w:cs="Arial" w:eastAsia="Arial" w:hAnsi="Arial"/>
          <w:sz w:val="18"/>
          <w:szCs w:val="18"/>
          <w:color w:val="auto"/>
        </w:rPr>
        <w:t>during such 60-day period, Holders of a majority in aggregate principal amount of the then outstanding Notes have not given the Trustee a written direction inconsistent with such request.</w:t>
      </w:r>
    </w:p>
    <w:p>
      <w:pPr>
        <w:spacing w:after="0" w:line="170" w:lineRule="exact"/>
        <w:rPr>
          <w:rFonts w:ascii="Arial" w:cs="Arial" w:eastAsia="Arial" w:hAnsi="Arial"/>
          <w:sz w:val="18"/>
          <w:szCs w:val="18"/>
          <w:color w:val="auto"/>
        </w:rPr>
      </w:pPr>
    </w:p>
    <w:p>
      <w:pPr>
        <w:ind w:left="1420" w:hanging="433"/>
        <w:spacing w:after="0"/>
        <w:tabs>
          <w:tab w:leader="none" w:pos="142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A Holder may not use this Indenture to prejudice the rights of another Holder or to obtain a preference or priority over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31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to Receive Payment.</w:t>
      </w:r>
    </w:p>
    <w:p>
      <w:pPr>
        <w:spacing w:after="0" w:line="117"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Notwithstanding any other provision of this Indenture, the right of any Holder to receive payment of principal, premium, Additional Amounts, if any, and interest on the Notes, on or after the respective due dates expressed in the Note (including in connection with an offer to purchase), or to bring suit for the enforcement of any such payment on or after such respective dates, shall not be impaired or affected without the consent of such Holder;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11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If an Event of Default specified in Section 6.01(a)(1) or (a)(2) hereof occurs and is continuing, the Trustee is authorized to recover judgment in its own name and as trustee of an express trust against the Company for the whole amount of principal of, premium, Additional Amounts, if any, and interest remaining unpaid on, the Notes and interest on overdue principal and premium, if any and, to the extent lawful, interest and such further amount as shall be sufficient to cover the costs and expenses of collection, including the reasonable compensation, expenses, disbursements and advances of the Trustee, its agents and counsel.</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117"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7.08 hereof. To the extent that the payment of any such compensation, expenses, disbursements and advances of the Trustee, its agents and counsel, and any other amounts due the Trustee under Section 7.08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4" w:right="439" w:bottom="1440" w:gutter="0" w:footer="0" w:header="0"/>
        </w:sectPr>
      </w:pPr>
    </w:p>
    <w:bookmarkStart w:id="417" w:name="page418"/>
    <w:bookmarkEnd w:id="417"/>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6.10</w:t>
      </w:r>
      <w:r>
        <w:rPr>
          <w:sz w:val="20"/>
          <w:szCs w:val="20"/>
          <w:color w:val="auto"/>
        </w:rPr>
        <w:tab/>
      </w:r>
      <w:r>
        <w:rPr>
          <w:rFonts w:ascii="Arial" w:cs="Arial" w:eastAsia="Arial" w:hAnsi="Arial"/>
          <w:sz w:val="17"/>
          <w:szCs w:val="17"/>
          <w:i w:val="1"/>
          <w:iCs w:val="1"/>
          <w:color w:val="auto"/>
        </w:rPr>
        <w:t>Priorities.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117" w:lineRule="exact"/>
        <w:rPr>
          <w:sz w:val="20"/>
          <w:szCs w:val="20"/>
          <w:color w:val="auto"/>
        </w:rPr>
      </w:pPr>
    </w:p>
    <w:p>
      <w:pPr>
        <w:jc w:val="both"/>
        <w:ind w:left="980" w:right="400" w:firstLine="401"/>
        <w:spacing w:after="0" w:line="26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the Agents, and their respective agents and attorneys for amounts due under Section 7.08 hereof,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all compensation, expenses and liabilities incurred, and all advances made, by the Trustee or any Agent, and the costs and expenses of collection;</w:t>
      </w:r>
    </w:p>
    <w:p>
      <w:pPr>
        <w:spacing w:after="0" w:line="76" w:lineRule="exact"/>
        <w:rPr>
          <w:sz w:val="20"/>
          <w:szCs w:val="20"/>
          <w:color w:val="auto"/>
        </w:rPr>
      </w:pPr>
    </w:p>
    <w:p>
      <w:pPr>
        <w:ind w:left="980" w:right="520" w:firstLine="401"/>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for amounts due and unpaid on the Notes for principal, premium, Additional Amounts, if any,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without preference or priority of any kind, according to the amounts due and payable on the Notes for principal, premium, Additional Amounts, if any, and interest, respectively; and</w:t>
      </w:r>
    </w:p>
    <w:p>
      <w:pPr>
        <w:spacing w:after="0" w:line="76"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6.10.</w:t>
      </w:r>
    </w:p>
    <w:p>
      <w:pPr>
        <w:spacing w:after="0" w:line="333"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117"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hereof, or a suit by Holders of more than 10% in aggregate principal amount of the then outstanding Notes.</w:t>
      </w:r>
    </w:p>
    <w:p>
      <w:pPr>
        <w:spacing w:after="0" w:line="37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Duties of Trustee.</w:t>
      </w:r>
    </w:p>
    <w:p>
      <w:pPr>
        <w:spacing w:after="0" w:line="117" w:lineRule="exact"/>
        <w:rPr>
          <w:sz w:val="20"/>
          <w:szCs w:val="20"/>
          <w:color w:val="auto"/>
        </w:rPr>
      </w:pPr>
    </w:p>
    <w:p>
      <w:pPr>
        <w:ind w:right="100" w:firstLine="987"/>
        <w:spacing w:after="0" w:line="263" w:lineRule="auto"/>
        <w:tabs>
          <w:tab w:leader="none" w:pos="1371"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980" w:right="200" w:firstLine="408"/>
        <w:spacing w:after="0" w:line="263" w:lineRule="auto"/>
        <w:tabs>
          <w:tab w:leader="none" w:pos="1816" w:val="left"/>
        </w:tabs>
        <w:numPr>
          <w:ilvl w:val="1"/>
          <w:numId w:val="507"/>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980" w:right="60" w:firstLine="408"/>
        <w:spacing w:after="0" w:line="259" w:lineRule="auto"/>
        <w:tabs>
          <w:tab w:leader="none" w:pos="1771" w:val="left"/>
        </w:tabs>
        <w:numPr>
          <w:ilvl w:val="1"/>
          <w:numId w:val="507"/>
        </w:numPr>
        <w:rPr>
          <w:rFonts w:ascii="Arial" w:cs="Arial" w:eastAsia="Arial" w:hAnsi="Arial"/>
          <w:sz w:val="18"/>
          <w:szCs w:val="18"/>
          <w:color w:val="auto"/>
        </w:rPr>
      </w:pPr>
      <w:r>
        <w:rPr>
          <w:rFonts w:ascii="Arial" w:cs="Arial" w:eastAsia="Arial" w:hAnsi="Arial"/>
          <w:sz w:val="18"/>
          <w:szCs w:val="18"/>
          <w:color w:val="auto"/>
        </w:rPr>
        <w:t>in the absence of willful misconduct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78" w:lineRule="exact"/>
        <w:rPr>
          <w:rFonts w:ascii="Arial" w:cs="Arial" w:eastAsia="Arial" w:hAnsi="Arial"/>
          <w:sz w:val="18"/>
          <w:szCs w:val="18"/>
          <w:color w:val="auto"/>
        </w:rPr>
      </w:pPr>
    </w:p>
    <w:p>
      <w:pPr>
        <w:ind w:left="980" w:right="460" w:firstLine="408"/>
        <w:spacing w:after="0" w:line="263" w:lineRule="auto"/>
        <w:tabs>
          <w:tab w:leader="none" w:pos="1771" w:val="left"/>
        </w:tabs>
        <w:numPr>
          <w:ilvl w:val="1"/>
          <w:numId w:val="507"/>
        </w:numPr>
        <w:rPr>
          <w:rFonts w:ascii="Arial" w:cs="Arial" w:eastAsia="Arial" w:hAnsi="Arial"/>
          <w:sz w:val="18"/>
          <w:szCs w:val="18"/>
          <w:color w:val="auto"/>
        </w:rPr>
      </w:pPr>
      <w:r>
        <w:rPr>
          <w:rFonts w:ascii="Arial" w:cs="Arial" w:eastAsia="Arial" w:hAnsi="Arial"/>
          <w:sz w:val="18"/>
          <w:szCs w:val="18"/>
          <w:color w:val="auto"/>
        </w:rPr>
        <w:t>other than with respect to a payment default, the Trustee shall not be charged with knowledge of any Default or Event of Default unless written notice has been delivered to a Responsible Officer at the Corporate Trust Office of the Trustee referencing the applicable provision of this Indenture.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418" w:name="page419"/>
    <w:bookmarkEnd w:id="418"/>
    <w:p>
      <w:pPr>
        <w:ind w:left="-40" w:right="220" w:firstLine="987"/>
        <w:spacing w:after="0" w:line="277" w:lineRule="auto"/>
        <w:tabs>
          <w:tab w:leader="none" w:pos="1373" w:val="left"/>
        </w:tabs>
        <w:numPr>
          <w:ilvl w:val="0"/>
          <w:numId w:val="5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not be relieved from liabilities for its own grossly negligent action, its own grossly negligent failure to act, or its own willful misconduct, except that:</w:t>
      </w:r>
    </w:p>
    <w:p>
      <w:pPr>
        <w:spacing w:after="0" w:line="62" w:lineRule="exact"/>
        <w:rPr>
          <w:rFonts w:ascii="Arial" w:cs="Arial" w:eastAsia="Arial" w:hAnsi="Arial"/>
          <w:sz w:val="18"/>
          <w:szCs w:val="18"/>
          <w:color w:val="auto"/>
        </w:rPr>
      </w:pPr>
    </w:p>
    <w:p>
      <w:pPr>
        <w:ind w:left="1780" w:hanging="432"/>
        <w:spacing w:after="0"/>
        <w:tabs>
          <w:tab w:leader="none" w:pos="178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117" w:lineRule="exact"/>
        <w:rPr>
          <w:rFonts w:ascii="Arial" w:cs="Arial" w:eastAsia="Arial" w:hAnsi="Arial"/>
          <w:sz w:val="18"/>
          <w:szCs w:val="18"/>
          <w:color w:val="auto"/>
        </w:rPr>
      </w:pPr>
    </w:p>
    <w:p>
      <w:pPr>
        <w:ind w:left="1740" w:hanging="392"/>
        <w:spacing w:after="0"/>
        <w:tabs>
          <w:tab w:leader="none" w:pos="174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and</w:t>
      </w:r>
    </w:p>
    <w:p>
      <w:pPr>
        <w:spacing w:after="0" w:line="117" w:lineRule="exact"/>
        <w:rPr>
          <w:rFonts w:ascii="Arial" w:cs="Arial" w:eastAsia="Arial" w:hAnsi="Arial"/>
          <w:sz w:val="18"/>
          <w:szCs w:val="18"/>
          <w:color w:val="auto"/>
        </w:rPr>
      </w:pPr>
    </w:p>
    <w:p>
      <w:pPr>
        <w:ind w:left="940" w:right="320" w:firstLine="408"/>
        <w:spacing w:after="0" w:line="277" w:lineRule="auto"/>
        <w:tabs>
          <w:tab w:leader="none" w:pos="1731"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pursuant to Section 6.05 hereof.</w:t>
      </w:r>
    </w:p>
    <w:p>
      <w:pPr>
        <w:spacing w:after="0" w:line="170" w:lineRule="exact"/>
        <w:rPr>
          <w:rFonts w:ascii="Arial" w:cs="Arial" w:eastAsia="Arial" w:hAnsi="Arial"/>
          <w:sz w:val="18"/>
          <w:szCs w:val="18"/>
          <w:color w:val="auto"/>
        </w:rPr>
      </w:pPr>
    </w:p>
    <w:p>
      <w:pPr>
        <w:ind w:left="-40" w:right="300" w:firstLine="987"/>
        <w:spacing w:after="0" w:line="277" w:lineRule="auto"/>
        <w:tabs>
          <w:tab w:leader="none" w:pos="1338" w:val="left"/>
        </w:tabs>
        <w:numPr>
          <w:ilvl w:val="0"/>
          <w:numId w:val="508"/>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ind w:left="1320" w:hanging="373"/>
        <w:spacing w:after="0"/>
        <w:tabs>
          <w:tab w:leader="none" w:pos="132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w:t>
      </w:r>
    </w:p>
    <w:p>
      <w:pPr>
        <w:spacing w:after="0" w:line="225" w:lineRule="exact"/>
        <w:rPr>
          <w:rFonts w:ascii="Arial" w:cs="Arial" w:eastAsia="Arial" w:hAnsi="Arial"/>
          <w:sz w:val="18"/>
          <w:szCs w:val="18"/>
          <w:color w:val="auto"/>
        </w:rPr>
      </w:pPr>
    </w:p>
    <w:p>
      <w:pPr>
        <w:ind w:left="-40" w:right="80" w:firstLine="987"/>
        <w:spacing w:after="0" w:line="277" w:lineRule="auto"/>
        <w:tabs>
          <w:tab w:leader="none" w:pos="1308"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278" w:lineRule="exact"/>
        <w:rPr>
          <w:sz w:val="20"/>
          <w:szCs w:val="20"/>
          <w:color w:val="auto"/>
        </w:rPr>
      </w:pPr>
    </w:p>
    <w:p>
      <w:pPr>
        <w:ind w:left="400"/>
        <w:spacing w:after="0"/>
        <w:tabs>
          <w:tab w:leader="none" w:pos="14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117" w:lineRule="exact"/>
        <w:rPr>
          <w:sz w:val="20"/>
          <w:szCs w:val="20"/>
          <w:color w:val="auto"/>
        </w:rPr>
      </w:pPr>
    </w:p>
    <w:p>
      <w:pPr>
        <w:ind w:left="-40" w:right="400" w:firstLine="987"/>
        <w:spacing w:after="0" w:line="277" w:lineRule="auto"/>
        <w:tabs>
          <w:tab w:leader="none" w:pos="1328"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ind w:left="-40" w:right="60" w:firstLine="987"/>
        <w:spacing w:after="0" w:line="255" w:lineRule="auto"/>
        <w:tabs>
          <w:tab w:leader="none" w:pos="1341" w:val="left"/>
        </w:tabs>
        <w:numPr>
          <w:ilvl w:val="0"/>
          <w:numId w:val="509"/>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engage and consult with professional advisors and counsel selected by it at the reasonable expense of the Company, and the Trustee may rely conclusively upon advice of such professional advisors and counsel or any Opinion of Counsel will be full and complete authorization and protection from liability in respect of any action taken, suffered or omitted by it hereunder in good faith and in reliance thereon by the Trustee and any of its directors, officers, employees or agents duly appointed.</w:t>
      </w:r>
    </w:p>
    <w:p>
      <w:pPr>
        <w:spacing w:after="0" w:line="192" w:lineRule="exact"/>
        <w:rPr>
          <w:rFonts w:ascii="Arial" w:cs="Arial" w:eastAsia="Arial" w:hAnsi="Arial"/>
          <w:sz w:val="18"/>
          <w:szCs w:val="18"/>
          <w:color w:val="auto"/>
        </w:rPr>
      </w:pPr>
    </w:p>
    <w:p>
      <w:pPr>
        <w:ind w:left="-40" w:right="460" w:firstLine="987"/>
        <w:spacing w:after="0" w:line="277" w:lineRule="auto"/>
        <w:tabs>
          <w:tab w:leader="none" w:pos="1328"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The Trustee shall have no duty to monitor the performance of such agents.</w:t>
      </w:r>
    </w:p>
    <w:p>
      <w:pPr>
        <w:spacing w:after="0" w:line="170" w:lineRule="exact"/>
        <w:rPr>
          <w:rFonts w:ascii="Arial" w:cs="Arial" w:eastAsia="Arial" w:hAnsi="Arial"/>
          <w:sz w:val="18"/>
          <w:szCs w:val="18"/>
          <w:color w:val="auto"/>
        </w:rPr>
      </w:pPr>
    </w:p>
    <w:p>
      <w:pPr>
        <w:ind w:left="-40" w:right="20" w:firstLine="987"/>
        <w:spacing w:after="0" w:line="259" w:lineRule="auto"/>
        <w:tabs>
          <w:tab w:leader="none" w:pos="1338"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 The Trustee shall not be required to take action at the direction of the Company or Holders which conflicts with the requirements of this Indenture or for which it is not indemnified to its satisfaction, or which involves undue risk or would be contrary to applicable law or regulation.</w:t>
      </w:r>
    </w:p>
    <w:p>
      <w:pPr>
        <w:spacing w:after="0" w:line="186" w:lineRule="exact"/>
        <w:rPr>
          <w:rFonts w:ascii="Arial" w:cs="Arial" w:eastAsia="Arial" w:hAnsi="Arial"/>
          <w:sz w:val="18"/>
          <w:szCs w:val="18"/>
          <w:color w:val="auto"/>
        </w:rPr>
      </w:pPr>
    </w:p>
    <w:p>
      <w:pPr>
        <w:ind w:left="-40" w:right="640" w:firstLine="987"/>
        <w:spacing w:after="0" w:line="277" w:lineRule="auto"/>
        <w:tabs>
          <w:tab w:leader="none" w:pos="1331" w:val="left"/>
        </w:tabs>
        <w:numPr>
          <w:ilvl w:val="0"/>
          <w:numId w:val="509"/>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or a director of the Company.</w:t>
      </w:r>
    </w:p>
    <w:p>
      <w:pPr>
        <w:spacing w:after="0" w:line="170" w:lineRule="exact"/>
        <w:rPr>
          <w:rFonts w:ascii="Arial" w:cs="Arial" w:eastAsia="Arial" w:hAnsi="Arial"/>
          <w:sz w:val="18"/>
          <w:szCs w:val="18"/>
          <w:color w:val="auto"/>
        </w:rPr>
      </w:pPr>
    </w:p>
    <w:p>
      <w:pPr>
        <w:ind w:left="-40" w:right="160" w:firstLine="987"/>
        <w:spacing w:after="0" w:line="263" w:lineRule="auto"/>
        <w:tabs>
          <w:tab w:leader="none" w:pos="1353"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indemnity and/or security satisfactory to it in its sole discretion against the losses, liabilities and expenses that might be incurred by it in compliance with such request or direction.</w:t>
      </w:r>
    </w:p>
    <w:p>
      <w:pPr>
        <w:spacing w:after="0" w:line="183" w:lineRule="exact"/>
        <w:rPr>
          <w:rFonts w:ascii="Arial" w:cs="Arial" w:eastAsia="Arial" w:hAnsi="Arial"/>
          <w:sz w:val="18"/>
          <w:szCs w:val="18"/>
          <w:color w:val="auto"/>
        </w:rPr>
      </w:pPr>
    </w:p>
    <w:p>
      <w:pPr>
        <w:ind w:left="-40" w:firstLine="987"/>
        <w:spacing w:after="0" w:line="254" w:lineRule="auto"/>
        <w:tabs>
          <w:tab w:leader="none" w:pos="1386"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epidemic, pandemic (or any government restrictions imposed in response to an epidemic or pandemic) work stoppages, accidents, acts of war or terrorism, civil or military disturbances, nuclear or natural catastrophes or acts of God, interruptions, loss or malfunctions of utilities, communications or computer (software and hardware) services and the unavailability of the Federal Reserve Bank wire or facsimile or other communication facility; it being understood that the Trustee shall use reasonable efforts which are consistent with accepted practices in the banking industry to resume performance as soon as practicable under the circumstances.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20"/>
          </w:cols>
          <w:pgMar w:left="480" w:top="274" w:right="499" w:bottom="1440" w:gutter="0" w:footer="0" w:header="0"/>
        </w:sectPr>
      </w:pPr>
    </w:p>
    <w:bookmarkStart w:id="419" w:name="page420"/>
    <w:bookmarkEnd w:id="419"/>
    <w:p>
      <w:pPr>
        <w:ind w:right="280" w:firstLine="987"/>
        <w:spacing w:after="0" w:line="381" w:lineRule="auto"/>
        <w:tabs>
          <w:tab w:leader="none" w:pos="1378" w:val="left"/>
        </w:tabs>
        <w:numPr>
          <w:ilvl w:val="0"/>
          <w:numId w:val="51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recitals contained herein and in the Notes are made by the Company and not by the Trustee, and the Trustee, does not assume any responsibility for the correctness thereof. The Trustee makes no representation as to the validity or sufficiency of this Indenture or the Notes.</w:t>
      </w:r>
    </w:p>
    <w:p>
      <w:pPr>
        <w:spacing w:after="0" w:line="100" w:lineRule="exact"/>
        <w:rPr>
          <w:rFonts w:ascii="Arial" w:cs="Arial" w:eastAsia="Arial" w:hAnsi="Arial"/>
          <w:sz w:val="15"/>
          <w:szCs w:val="15"/>
          <w:color w:val="auto"/>
        </w:rPr>
      </w:pPr>
    </w:p>
    <w:p>
      <w:pPr>
        <w:ind w:right="100" w:firstLine="987"/>
        <w:spacing w:after="0" w:line="255" w:lineRule="auto"/>
        <w:tabs>
          <w:tab w:leader="none" w:pos="133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92" w:lineRule="exact"/>
        <w:rPr>
          <w:rFonts w:ascii="Arial" w:cs="Arial" w:eastAsia="Arial" w:hAnsi="Arial"/>
          <w:sz w:val="18"/>
          <w:szCs w:val="18"/>
          <w:color w:val="auto"/>
        </w:rPr>
      </w:pPr>
    </w:p>
    <w:p>
      <w:pPr>
        <w:ind w:right="260" w:firstLine="987"/>
        <w:spacing w:after="0" w:line="263" w:lineRule="auto"/>
        <w:tabs>
          <w:tab w:leader="none" w:pos="138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ind w:right="80" w:firstLine="987"/>
        <w:spacing w:after="0" w:line="286" w:lineRule="auto"/>
        <w:tabs>
          <w:tab w:leader="none" w:pos="1426" w:val="left"/>
        </w:tabs>
        <w:numPr>
          <w:ilvl w:val="0"/>
          <w:numId w:val="510"/>
        </w:numPr>
        <w:rPr>
          <w:rFonts w:ascii="Arial" w:cs="Arial" w:eastAsia="Arial" w:hAnsi="Arial"/>
          <w:sz w:val="17"/>
          <w:szCs w:val="17"/>
          <w:color w:val="auto"/>
        </w:rPr>
      </w:pPr>
      <w:r>
        <w:rPr>
          <w:rFonts w:ascii="Arial" w:cs="Arial" w:eastAsia="Arial" w:hAnsi="Arial"/>
          <w:sz w:val="17"/>
          <w:szCs w:val="17"/>
          <w:color w:val="auto"/>
        </w:rPr>
        <w:t xml:space="preserve">The rights, privileges, indemnity,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any such agent or custodian shall not be deemed to be a fiduciary;</w:t>
      </w:r>
    </w:p>
    <w:p>
      <w:pPr>
        <w:spacing w:after="0" w:line="165" w:lineRule="exact"/>
        <w:rPr>
          <w:rFonts w:ascii="Arial" w:cs="Arial" w:eastAsia="Arial" w:hAnsi="Arial"/>
          <w:sz w:val="17"/>
          <w:szCs w:val="17"/>
          <w:color w:val="auto"/>
        </w:rPr>
      </w:pPr>
    </w:p>
    <w:p>
      <w:pPr>
        <w:ind w:right="720" w:firstLine="987"/>
        <w:spacing w:after="0" w:line="277" w:lineRule="auto"/>
        <w:tabs>
          <w:tab w:leader="none" w:pos="133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right="80" w:firstLine="987"/>
        <w:spacing w:after="0" w:line="263" w:lineRule="auto"/>
        <w:tabs>
          <w:tab w:leader="none" w:pos="1431"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In the event that the Trustee and Agents shall be uncertain as to their respective duties or rights hereunder or shall receive instructions, claims or demands from the Company, which in their opinion, conflict with any of the provisions of this Indenture, they shall be entitled to refrain from taking action until directed in writing by a final order or judgment of a court of competent jurisdiction;</w:t>
      </w:r>
    </w:p>
    <w:p>
      <w:pPr>
        <w:spacing w:after="0" w:line="183" w:lineRule="exact"/>
        <w:rPr>
          <w:rFonts w:ascii="Arial" w:cs="Arial" w:eastAsia="Arial" w:hAnsi="Arial"/>
          <w:sz w:val="18"/>
          <w:szCs w:val="18"/>
          <w:color w:val="auto"/>
        </w:rPr>
      </w:pPr>
    </w:p>
    <w:p>
      <w:pPr>
        <w:ind w:right="40" w:firstLine="987"/>
        <w:spacing w:after="0" w:line="257" w:lineRule="auto"/>
        <w:tabs>
          <w:tab w:leader="none" w:pos="1381" w:val="left"/>
        </w:tabs>
        <w:numPr>
          <w:ilvl w:val="0"/>
          <w:numId w:val="510"/>
        </w:numPr>
        <w:rPr>
          <w:rFonts w:ascii="Arial" w:cs="Arial" w:eastAsia="Arial" w:hAnsi="Arial"/>
          <w:sz w:val="18"/>
          <w:szCs w:val="18"/>
          <w:color w:val="auto"/>
        </w:rPr>
      </w:pPr>
      <w:r>
        <w:rPr>
          <w:rFonts w:ascii="Arial" w:cs="Arial" w:eastAsia="Arial" w:hAnsi="Arial"/>
          <w:sz w:val="18"/>
          <w:szCs w:val="18"/>
          <w:color w:val="auto"/>
        </w:rPr>
        <w:t>So long as any of the Notes remains outstanding, the Company shall provide the Agents with a sufficient number of copies of this Indenture and each of the documents sent to the Trustee or which are required to be made available by stock exchange regulations or stated in the Offering Memorandum relating to the Notes, to be available and, subject to being provided with such copies, each of the Agents will procure that such copies shall be available at its specified office during normal office hours for examination by the Holders and that copies thereof will be furnished to the Holders upon written request at their own expense;</w:t>
      </w:r>
    </w:p>
    <w:p>
      <w:pPr>
        <w:spacing w:after="0" w:line="187" w:lineRule="exact"/>
        <w:rPr>
          <w:rFonts w:ascii="Arial" w:cs="Arial" w:eastAsia="Arial" w:hAnsi="Arial"/>
          <w:sz w:val="18"/>
          <w:szCs w:val="18"/>
          <w:color w:val="auto"/>
        </w:rPr>
      </w:pPr>
    </w:p>
    <w:p>
      <w:pPr>
        <w:ind w:right="120" w:firstLine="987"/>
        <w:spacing w:after="0" w:line="263" w:lineRule="auto"/>
        <w:tabs>
          <w:tab w:leader="none" w:pos="137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and/or an Opinion of Counsel;</w:t>
      </w:r>
    </w:p>
    <w:p>
      <w:pPr>
        <w:spacing w:after="0" w:line="183" w:lineRule="exact"/>
        <w:rPr>
          <w:rFonts w:ascii="Arial" w:cs="Arial" w:eastAsia="Arial" w:hAnsi="Arial"/>
          <w:sz w:val="18"/>
          <w:szCs w:val="18"/>
          <w:color w:val="auto"/>
        </w:rPr>
      </w:pPr>
    </w:p>
    <w:p>
      <w:pPr>
        <w:ind w:firstLine="987"/>
        <w:spacing w:after="0" w:line="259" w:lineRule="auto"/>
        <w:tabs>
          <w:tab w:leader="none" w:pos="1381"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In the event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 if any, will be taken and shall not incur any liability for its failure to act until such inconsistency or conflict is, in its reasonable opinion, resolved;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420" w:name="page421"/>
    <w:bookmarkEnd w:id="420"/>
    <w:p>
      <w:pPr>
        <w:jc w:val="both"/>
        <w:ind w:right="80" w:firstLine="987"/>
        <w:spacing w:after="0" w:line="263" w:lineRule="auto"/>
        <w:tabs>
          <w:tab w:leader="none" w:pos="1378" w:val="left"/>
        </w:tabs>
        <w:numPr>
          <w:ilvl w:val="0"/>
          <w:numId w:val="5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before commencing (or at any time during the continuance of) any act, action or proceeding, require the Holders at whose instance it is acting to deposit with the Trustee the Notes held by them, for which Notes the Trustee to which such Notes are deposited shall issue receipts to such Holders;</w:t>
      </w:r>
    </w:p>
    <w:p>
      <w:pPr>
        <w:spacing w:after="0" w:line="183" w:lineRule="exact"/>
        <w:rPr>
          <w:rFonts w:ascii="Arial" w:cs="Arial" w:eastAsia="Arial" w:hAnsi="Arial"/>
          <w:sz w:val="18"/>
          <w:szCs w:val="18"/>
          <w:color w:val="auto"/>
        </w:rPr>
      </w:pPr>
    </w:p>
    <w:p>
      <w:pPr>
        <w:jc w:val="both"/>
        <w:ind w:right="180" w:firstLine="987"/>
        <w:spacing w:after="0" w:line="279" w:lineRule="auto"/>
        <w:tabs>
          <w:tab w:leader="none" w:pos="1351" w:val="left"/>
        </w:tabs>
        <w:numPr>
          <w:ilvl w:val="0"/>
          <w:numId w:val="511"/>
        </w:numPr>
        <w:rPr>
          <w:rFonts w:ascii="Arial" w:cs="Arial" w:eastAsia="Arial" w:hAnsi="Arial"/>
          <w:sz w:val="17"/>
          <w:szCs w:val="17"/>
          <w:color w:val="auto"/>
        </w:rPr>
      </w:pPr>
      <w:r>
        <w:rPr>
          <w:rFonts w:ascii="Arial" w:cs="Arial" w:eastAsia="Arial" w:hAnsi="Arial"/>
          <w:sz w:val="17"/>
          <w:szCs w:val="17"/>
          <w:color w:val="auto"/>
        </w:rPr>
        <w:t>Notwithstanding any other provision of this Indenture, the Trustee and the Paying Agent shall be entitled to make a deduction or withholding from any payment which they make under this Indenture for or on account of any present or future taxes, duties or charges if and to the extent so required by applicable law, in which event the Trustee or the Paying Agent, as applicable, shall make such payment after such withholding or deduction has been made and shall account to the relevant authorities for the amount so withheld or deducted;</w:t>
      </w:r>
    </w:p>
    <w:p>
      <w:pPr>
        <w:spacing w:after="0" w:line="171" w:lineRule="exact"/>
        <w:rPr>
          <w:rFonts w:ascii="Arial" w:cs="Arial" w:eastAsia="Arial" w:hAnsi="Arial"/>
          <w:sz w:val="17"/>
          <w:szCs w:val="17"/>
          <w:color w:val="auto"/>
        </w:rPr>
      </w:pPr>
    </w:p>
    <w:p>
      <w:pPr>
        <w:ind w:right="160" w:firstLine="987"/>
        <w:spacing w:after="0" w:line="279" w:lineRule="auto"/>
        <w:tabs>
          <w:tab w:leader="none" w:pos="1358" w:val="left"/>
        </w:tabs>
        <w:numPr>
          <w:ilvl w:val="0"/>
          <w:numId w:val="511"/>
        </w:numPr>
        <w:rPr>
          <w:rFonts w:ascii="Arial" w:cs="Arial" w:eastAsia="Arial" w:hAnsi="Arial"/>
          <w:sz w:val="17"/>
          <w:szCs w:val="17"/>
          <w:color w:val="auto"/>
        </w:rPr>
      </w:pPr>
      <w:r>
        <w:rPr>
          <w:rFonts w:ascii="Arial" w:cs="Arial" w:eastAsia="Arial" w:hAnsi="Arial"/>
          <w:sz w:val="17"/>
          <w:szCs w:val="17"/>
          <w:color w:val="auto"/>
        </w:rPr>
        <w:t>The Trustee shall (except as expressly otherwise provided herein) as regards all the trusts, powers, authorities and discretions vested in it by this Indenture or by applicable law, have absolute and uncontrolled discretion as to the exercise or non-exercise thereof and, absent any wilful misconduct, gross negligence or fraud on the part of the Trustee the Trustee shall not be responsible for any loss, damage, cost, claim or any other liability or inconvenience that may result from the exercise or non-exercise thereof;</w:t>
      </w:r>
    </w:p>
    <w:p>
      <w:pPr>
        <w:spacing w:after="0" w:line="171" w:lineRule="exact"/>
        <w:rPr>
          <w:rFonts w:ascii="Arial" w:cs="Arial" w:eastAsia="Arial" w:hAnsi="Arial"/>
          <w:sz w:val="17"/>
          <w:szCs w:val="17"/>
          <w:color w:val="auto"/>
        </w:rPr>
      </w:pPr>
    </w:p>
    <w:p>
      <w:pPr>
        <w:jc w:val="both"/>
        <w:ind w:right="180" w:firstLine="987"/>
        <w:spacing w:after="0" w:line="263" w:lineRule="auto"/>
        <w:tabs>
          <w:tab w:leader="none" w:pos="1341" w:val="left"/>
        </w:tabs>
        <w:numPr>
          <w:ilvl w:val="0"/>
          <w:numId w:val="511"/>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of the Company mentioned herein shall be sufficiently evidenced if in writing and signed by an Officer of the Company and any resolution of the Board of Directors shall be sufficiently evidenced by a board resolution;</w:t>
      </w:r>
    </w:p>
    <w:p>
      <w:pPr>
        <w:spacing w:after="0" w:line="183" w:lineRule="exact"/>
        <w:rPr>
          <w:rFonts w:ascii="Arial" w:cs="Arial" w:eastAsia="Arial" w:hAnsi="Arial"/>
          <w:sz w:val="18"/>
          <w:szCs w:val="18"/>
          <w:color w:val="auto"/>
        </w:rPr>
      </w:pPr>
    </w:p>
    <w:p>
      <w:pPr>
        <w:ind w:right="120" w:firstLine="987"/>
        <w:spacing w:after="0" w:line="257" w:lineRule="auto"/>
        <w:tabs>
          <w:tab w:leader="none" w:pos="1423"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Trustee shall have no duty to inquire as to the performance of the covenants of the Company or its Restricted Subsidiaries. Delivery of reports, information and documents to the Trustee under Section 4.03 hereof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Officers’ Certificates);</w:t>
      </w:r>
    </w:p>
    <w:p>
      <w:pPr>
        <w:spacing w:after="0" w:line="187" w:lineRule="exact"/>
        <w:rPr>
          <w:rFonts w:ascii="Arial" w:cs="Arial" w:eastAsia="Arial" w:hAnsi="Arial"/>
          <w:sz w:val="18"/>
          <w:szCs w:val="18"/>
          <w:color w:val="auto"/>
        </w:rPr>
      </w:pPr>
    </w:p>
    <w:p>
      <w:pPr>
        <w:ind w:right="180" w:firstLine="987"/>
        <w:spacing w:after="0" w:line="259" w:lineRule="auto"/>
        <w:tabs>
          <w:tab w:leader="none" w:pos="137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spacing w:after="0" w:line="186" w:lineRule="exact"/>
        <w:rPr>
          <w:rFonts w:ascii="Arial" w:cs="Arial" w:eastAsia="Arial" w:hAnsi="Arial"/>
          <w:sz w:val="18"/>
          <w:szCs w:val="18"/>
          <w:color w:val="auto"/>
        </w:rPr>
      </w:pPr>
    </w:p>
    <w:p>
      <w:pPr>
        <w:ind w:right="180" w:firstLine="987"/>
        <w:spacing w:after="0" w:line="277" w:lineRule="auto"/>
        <w:tabs>
          <w:tab w:leader="none" w:pos="141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Trustee is not required to give any bond or surety with respect to the performance of its duty or the exercise of its power under this Indenture or the Notes;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do anything which, in its opinion, may be illegal or contrary to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 or regulation;</w:t>
      </w:r>
    </w:p>
    <w:p>
      <w:pPr>
        <w:spacing w:after="0" w:line="210" w:lineRule="exact"/>
        <w:rPr>
          <w:rFonts w:ascii="Arial" w:cs="Arial" w:eastAsia="Arial" w:hAnsi="Arial"/>
          <w:sz w:val="16"/>
          <w:szCs w:val="16"/>
          <w:color w:val="auto"/>
        </w:rPr>
      </w:pPr>
    </w:p>
    <w:p>
      <w:pPr>
        <w:ind w:right="40" w:firstLine="987"/>
        <w:spacing w:after="0" w:line="263" w:lineRule="auto"/>
        <w:tabs>
          <w:tab w:leader="none" w:pos="137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Trustee may assume without inquiry in the absence of actual knowledge that the Company is duly complying with its obligations contained in this Indenture required to be performed and observed by them, and that no Default or Event of Default or other event which would require repayment of the Notes has occurred; and</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[Intentionally Omitted.]</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Individual Rights of Trustee.</w:t>
      </w:r>
    </w:p>
    <w:p>
      <w:pPr>
        <w:spacing w:after="0" w:line="117" w:lineRule="exact"/>
        <w:rPr>
          <w:sz w:val="20"/>
          <w:szCs w:val="20"/>
          <w:color w:val="auto"/>
        </w:rPr>
      </w:pPr>
    </w:p>
    <w:p>
      <w:pPr>
        <w:ind w:right="220" w:firstLine="987"/>
        <w:spacing w:after="0" w:line="342" w:lineRule="auto"/>
        <w:tabs>
          <w:tab w:leader="none" w:pos="1413" w:val="left"/>
        </w:tabs>
        <w:numPr>
          <w:ilvl w:val="0"/>
          <w:numId w:val="512"/>
        </w:numPr>
        <w:rPr>
          <w:rFonts w:ascii="Arial" w:cs="Arial" w:eastAsia="Arial" w:hAnsi="Arial"/>
          <w:sz w:val="16"/>
          <w:szCs w:val="16"/>
          <w:color w:val="auto"/>
        </w:rPr>
      </w:pPr>
      <w:r>
        <w:rPr>
          <w:rFonts w:ascii="Arial" w:cs="Arial" w:eastAsia="Arial" w:hAnsi="Arial"/>
          <w:sz w:val="16"/>
          <w:szCs w:val="16"/>
          <w:color w:val="auto"/>
        </w:rPr>
        <w:t>The Trustee in its individual or any other capacity may become the owner or pledgee of Notes and may otherwise deal with the Company or any Affiliate of the Company with the same rights it would have if it were not Trustee. The Trustee is also subject to Section 7.11 hereof.</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421" w:name="page422"/>
    <w:bookmarkEnd w:id="421"/>
    <w:p>
      <w:pPr>
        <w:ind w:firstLine="987"/>
        <w:spacing w:after="0" w:line="259" w:lineRule="auto"/>
        <w:tabs>
          <w:tab w:leader="none" w:pos="1381" w:val="left"/>
        </w:tabs>
        <w:numPr>
          <w:ilvl w:val="0"/>
          <w:numId w:val="5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Trustee becomes a creditor of the Company or a Subsidiary Guarantor, this Indenture limits its right to obtain payment of claims in certain cases, or to realize on certain property received in respect of any such claim as security or otherwise. The Trustee will be permitted to engage in other transactions; however, if it acquires actual knowledge that it has any conflicting interest it must eliminate such conflict within 90 days or resign.</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Trustee’s Disclaimer.</w:t>
      </w:r>
    </w:p>
    <w:p>
      <w:pPr>
        <w:spacing w:after="0" w:line="117" w:lineRule="exact"/>
        <w:rPr>
          <w:sz w:val="20"/>
          <w:szCs w:val="20"/>
          <w:color w:val="auto"/>
        </w:rPr>
      </w:pPr>
    </w:p>
    <w:p>
      <w:pPr>
        <w:ind w:right="140" w:firstLine="991"/>
        <w:spacing w:after="0" w:line="293" w:lineRule="auto"/>
        <w:rPr>
          <w:sz w:val="20"/>
          <w:szCs w:val="20"/>
          <w:color w:val="auto"/>
        </w:rPr>
      </w:pPr>
      <w:r>
        <w:rPr>
          <w:rFonts w:ascii="Arial" w:cs="Arial" w:eastAsia="Arial" w:hAnsi="Arial"/>
          <w:sz w:val="16"/>
          <w:szCs w:val="16"/>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the certificate of authentication. The Trustee shall not be deemed to be required to calculate any Fixed Charges, Treasury Rates, Additional Amounts, any make-whole amount, any Fixed Charge Coverage Ratio or other coverage ratio, or otherwise.</w:t>
      </w:r>
    </w:p>
    <w:p>
      <w:pPr>
        <w:spacing w:after="0" w:line="27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Notice of Defaults.</w:t>
      </w:r>
    </w:p>
    <w:p>
      <w:pPr>
        <w:spacing w:after="0" w:line="117"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If a Default or Event of Default occurs and is continuing and if it is known to the Trustee, the Trustee will mail to Holders a notice of the Default or Event of Default within ninety (90) days after it occurs. Except in the case of a Default or Event of Default in payment of principal of, premium, Additional Amounts, if any, or interest on, any Note, the Trustee shall not be deemed to have such actual knowledge and may withhold the notice if and so long as a committee of its Responsible Officers in good faith determines that withholding the notice is in the interests of the Holders.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[Intentionally Omitted.]</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Compensation and Indemnity.</w:t>
      </w:r>
    </w:p>
    <w:p>
      <w:pPr>
        <w:spacing w:after="0" w:line="117" w:lineRule="exact"/>
        <w:rPr>
          <w:sz w:val="20"/>
          <w:szCs w:val="20"/>
          <w:color w:val="auto"/>
        </w:rPr>
      </w:pPr>
    </w:p>
    <w:p>
      <w:pPr>
        <w:ind w:right="40" w:firstLine="987"/>
        <w:spacing w:after="0" w:line="275" w:lineRule="auto"/>
        <w:tabs>
          <w:tab w:leader="none" w:pos="1413" w:val="left"/>
        </w:tabs>
        <w:numPr>
          <w:ilvl w:val="0"/>
          <w:numId w:val="514"/>
        </w:numPr>
        <w:rPr>
          <w:rFonts w:ascii="Arial" w:cs="Arial" w:eastAsia="Arial" w:hAnsi="Arial"/>
          <w:sz w:val="17"/>
          <w:szCs w:val="17"/>
          <w:color w:val="auto"/>
        </w:rPr>
      </w:pPr>
      <w:r>
        <w:rPr>
          <w:rFonts w:ascii="Arial" w:cs="Arial" w:eastAsia="Arial" w:hAnsi="Arial"/>
          <w:sz w:val="17"/>
          <w:szCs w:val="17"/>
          <w:color w:val="auto"/>
        </w:rPr>
        <w:t>The Company will pay to the Trustee from time to time reasonable compensation for its acceptance of this Indenture and services hereunder pursuant to a written fee agreement executed or as otherwise agreed by the Trustee and the Company. The Trustee’s compensation will not be limited by any law on compensation of a trustee of an express trust. The Company will reimburse the Trustee promptly upon request for all reasonable disbursements, advances and expenses properly incurred or made by it in addition to the compensation for its services. Such expenses will include the reasonable compensation, disbursements and expenses of the Trustee’s agents and counsel.</w:t>
      </w:r>
    </w:p>
    <w:p>
      <w:pPr>
        <w:spacing w:after="0" w:line="176" w:lineRule="exact"/>
        <w:rPr>
          <w:rFonts w:ascii="Arial" w:cs="Arial" w:eastAsia="Arial" w:hAnsi="Arial"/>
          <w:sz w:val="17"/>
          <w:szCs w:val="17"/>
          <w:color w:val="auto"/>
        </w:rPr>
      </w:pPr>
    </w:p>
    <w:p>
      <w:pPr>
        <w:ind w:firstLine="987"/>
        <w:spacing w:after="0" w:line="287" w:lineRule="auto"/>
        <w:tabs>
          <w:tab w:leader="none" w:pos="1423" w:val="left"/>
        </w:tabs>
        <w:numPr>
          <w:ilvl w:val="0"/>
          <w:numId w:val="514"/>
        </w:numPr>
        <w:rPr>
          <w:rFonts w:ascii="Arial" w:cs="Arial" w:eastAsia="Arial" w:hAnsi="Arial"/>
          <w:sz w:val="16"/>
          <w:szCs w:val="16"/>
          <w:color w:val="auto"/>
        </w:rPr>
      </w:pPr>
      <w:r>
        <w:rPr>
          <w:rFonts w:ascii="Arial" w:cs="Arial" w:eastAsia="Arial" w:hAnsi="Arial"/>
          <w:sz w:val="16"/>
          <w:szCs w:val="16"/>
          <w:color w:val="auto"/>
        </w:rPr>
        <w:t>The Company and the Subsidiary Guarantors will indemnify the Trustee and its officers, directors, employees and agents against any and all losses, liabilities or expenses (including the fees and expenses of counsel) incurred by it arising out of or in connection with the acceptance or administration of its duties under this Indenture, including the costs and expenses of enforcing this Indenture against the Company and the Subsidiary Guarantors (including this Section 7.08) and defending itself against any claim (whether asserted by the Company, the Subsidiary Guarantors, any Holder or any other Person) or liability in connection with the exercise or performance of any of its powers or duties hereunder, except to the extent any such loss, liability or expense may be attributable solely to its gross negligence, willful misconduct or fraud as determined by a court of competent jurisdiction in a final non-appealable order. The Trustee will notify the Company promptly of any claim for which it may seek indemnity. Failure by the Trustee to so notify the Company will not relieve the Company or any of the Subsidiary Guarantors of their obligations hereunder. The Company or such Subsidiary Guarantor will defend the claim and the Trustee will cooperate in the defense. The Trustee may have separate counsel and the Company will pay the reasonable fees and expenses of such counsel. Neither the Company nor any Subsidiary Guarantor need to pay for any settlement made without its consent, which consent will not be unreasonably withheld.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4" w:right="479" w:bottom="1440" w:gutter="0" w:footer="0" w:header="0"/>
        </w:sectPr>
      </w:pPr>
    </w:p>
    <w:bookmarkStart w:id="422" w:name="page423"/>
    <w:bookmarkEnd w:id="422"/>
    <w:p>
      <w:pPr>
        <w:ind w:right="120" w:firstLine="987"/>
        <w:spacing w:after="0" w:line="277" w:lineRule="auto"/>
        <w:tabs>
          <w:tab w:leader="none" w:pos="1368" w:val="left"/>
        </w:tabs>
        <w:numPr>
          <w:ilvl w:val="0"/>
          <w:numId w:val="5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Company and the Subsidiary Guarantors under this Section 7.08 will survive the satisfaction and discharge of this Indenture, and the resignation or removal of the Trustee and/or any Agent.</w:t>
      </w:r>
    </w:p>
    <w:p>
      <w:pPr>
        <w:spacing w:after="0" w:line="170" w:lineRule="exact"/>
        <w:rPr>
          <w:rFonts w:ascii="Arial" w:cs="Arial" w:eastAsia="Arial" w:hAnsi="Arial"/>
          <w:sz w:val="18"/>
          <w:szCs w:val="18"/>
          <w:color w:val="auto"/>
        </w:rPr>
      </w:pPr>
    </w:p>
    <w:p>
      <w:pPr>
        <w:jc w:val="both"/>
        <w:ind w:right="60" w:firstLine="987"/>
        <w:spacing w:after="0" w:line="263" w:lineRule="auto"/>
        <w:tabs>
          <w:tab w:leader="none" w:pos="1378"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To secure the Company’s and the Subsidiary Guarantors’ payment obligations in this Section 7.08, the Trustee will have a Lien prior to the Notes on all money or property held or collected by the Trustee, in its capacity as Trustee, except that held in trust to pay principal and interest on particular Notes. Such Lien will survive the satisfaction and discharge of this Indenture.</w:t>
      </w:r>
    </w:p>
    <w:p>
      <w:pPr>
        <w:spacing w:after="0" w:line="183" w:lineRule="exact"/>
        <w:rPr>
          <w:rFonts w:ascii="Arial" w:cs="Arial" w:eastAsia="Arial" w:hAnsi="Arial"/>
          <w:sz w:val="18"/>
          <w:szCs w:val="18"/>
          <w:color w:val="auto"/>
        </w:rPr>
      </w:pPr>
    </w:p>
    <w:p>
      <w:pPr>
        <w:jc w:val="both"/>
        <w:ind w:right="160" w:firstLine="987"/>
        <w:spacing w:after="0" w:line="263" w:lineRule="auto"/>
        <w:tabs>
          <w:tab w:leader="none" w:pos="1368" w:val="left"/>
        </w:tabs>
        <w:numPr>
          <w:ilvl w:val="0"/>
          <w:numId w:val="515"/>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6.01(a)(7) or Section 6.01(a)(8) hereof occurs, the expenses and the compensation for the services (including the fees and expenses of its agents and counsel) are intended to constitute expenses of administration under any Bankruptcy Law.</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Replacement of Trustee.</w:t>
      </w:r>
    </w:p>
    <w:p>
      <w:pPr>
        <w:spacing w:after="0" w:line="117" w:lineRule="exact"/>
        <w:rPr>
          <w:sz w:val="20"/>
          <w:szCs w:val="20"/>
          <w:color w:val="auto"/>
        </w:rPr>
      </w:pPr>
    </w:p>
    <w:p>
      <w:pPr>
        <w:ind w:right="500" w:firstLine="987"/>
        <w:spacing w:after="0" w:line="277" w:lineRule="auto"/>
        <w:tabs>
          <w:tab w:leader="none" w:pos="1406"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7.09.</w:t>
      </w:r>
    </w:p>
    <w:p>
      <w:pPr>
        <w:spacing w:after="0" w:line="170" w:lineRule="exact"/>
        <w:rPr>
          <w:rFonts w:ascii="Arial" w:cs="Arial" w:eastAsia="Arial" w:hAnsi="Arial"/>
          <w:sz w:val="18"/>
          <w:szCs w:val="18"/>
          <w:color w:val="auto"/>
        </w:rPr>
      </w:pPr>
    </w:p>
    <w:p>
      <w:pPr>
        <w:ind w:right="20" w:firstLine="987"/>
        <w:spacing w:after="0" w:line="263" w:lineRule="auto"/>
        <w:tabs>
          <w:tab w:leader="none" w:pos="1378"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75" w:lineRule="exact"/>
        <w:rPr>
          <w:rFonts w:ascii="Arial" w:cs="Arial" w:eastAsia="Arial" w:hAnsi="Arial"/>
          <w:sz w:val="18"/>
          <w:szCs w:val="18"/>
          <w:color w:val="auto"/>
        </w:rPr>
      </w:pPr>
    </w:p>
    <w:p>
      <w:pPr>
        <w:ind w:left="1820" w:hanging="432"/>
        <w:spacing w:after="0"/>
        <w:tabs>
          <w:tab w:leader="none" w:pos="182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the Trustee fails to comply with Section 7.11 hereof;</w:t>
      </w:r>
    </w:p>
    <w:p>
      <w:pPr>
        <w:spacing w:after="0" w:line="117" w:lineRule="exact"/>
        <w:rPr>
          <w:rFonts w:ascii="Arial" w:cs="Arial" w:eastAsia="Arial" w:hAnsi="Arial"/>
          <w:sz w:val="18"/>
          <w:szCs w:val="18"/>
          <w:color w:val="auto"/>
        </w:rPr>
      </w:pPr>
    </w:p>
    <w:p>
      <w:pPr>
        <w:ind w:left="980" w:right="680" w:firstLine="408"/>
        <w:spacing w:after="0" w:line="277" w:lineRule="auto"/>
        <w:tabs>
          <w:tab w:leader="none" w:pos="1771"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the Trustee is adjudged a bankrupt or an insolvent or an order for relief is entered with respect to the Trustee under any Bankruptcy Law;</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100" w:firstLine="987"/>
        <w:spacing w:after="0" w:line="286" w:lineRule="auto"/>
        <w:tabs>
          <w:tab w:leader="none" w:pos="1371" w:val="left"/>
        </w:tabs>
        <w:numPr>
          <w:ilvl w:val="0"/>
          <w:numId w:val="516"/>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will promptly appoint a successor Trustee. Within one (1) year after the successor Trustee takes office, the holders of a majority in aggregate principal amount of the then outstanding Notes may appoint a successor Trustee to replace the successor Trustee appointed by the Company.</w:t>
      </w:r>
    </w:p>
    <w:p>
      <w:pPr>
        <w:spacing w:after="0" w:line="165" w:lineRule="exact"/>
        <w:rPr>
          <w:rFonts w:ascii="Arial" w:cs="Arial" w:eastAsia="Arial" w:hAnsi="Arial"/>
          <w:sz w:val="17"/>
          <w:szCs w:val="17"/>
          <w:color w:val="auto"/>
        </w:rPr>
      </w:pPr>
    </w:p>
    <w:p>
      <w:pPr>
        <w:ind w:right="100" w:firstLine="987"/>
        <w:spacing w:after="0" w:line="263" w:lineRule="auto"/>
        <w:tabs>
          <w:tab w:leader="none" w:pos="1381"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sixty (60) days after the retiring Trustee resigns or is removed, the retiring Trustee, the Company, or the Holders of at least 10% in aggregate principal amount of the then outstanding Notes may petition any court of competent jurisdiction for the appointment of a successor Trustee at the sole expense of the Company.</w:t>
      </w:r>
    </w:p>
    <w:p>
      <w:pPr>
        <w:spacing w:after="0" w:line="183" w:lineRule="exact"/>
        <w:rPr>
          <w:rFonts w:ascii="Arial" w:cs="Arial" w:eastAsia="Arial" w:hAnsi="Arial"/>
          <w:sz w:val="18"/>
          <w:szCs w:val="18"/>
          <w:color w:val="auto"/>
        </w:rPr>
      </w:pPr>
    </w:p>
    <w:p>
      <w:pPr>
        <w:ind w:right="260" w:firstLine="987"/>
        <w:spacing w:after="0" w:line="342" w:lineRule="auto"/>
        <w:tabs>
          <w:tab w:leader="none" w:pos="1371" w:val="left"/>
        </w:tabs>
        <w:numPr>
          <w:ilvl w:val="0"/>
          <w:numId w:val="516"/>
        </w:numPr>
        <w:rPr>
          <w:rFonts w:ascii="Arial" w:cs="Arial" w:eastAsia="Arial" w:hAnsi="Arial"/>
          <w:sz w:val="16"/>
          <w:szCs w:val="16"/>
          <w:color w:val="auto"/>
        </w:rPr>
      </w:pPr>
      <w:r>
        <w:rPr>
          <w:rFonts w:ascii="Arial" w:cs="Arial" w:eastAsia="Arial" w:hAnsi="Arial"/>
          <w:sz w:val="16"/>
          <w:szCs w:val="16"/>
          <w:color w:val="auto"/>
        </w:rPr>
        <w:t>If the Trustee, after written request by any Holder who has been a Holder for at least six months, fails to comply with Section 7.11 hereof, such Holder may petition any court of competent jurisdiction for the removal of the Trustee and the appointment of a successor Trustee.</w:t>
      </w:r>
    </w:p>
    <w:p>
      <w:pPr>
        <w:spacing w:after="0" w:line="123" w:lineRule="exact"/>
        <w:rPr>
          <w:rFonts w:ascii="Arial" w:cs="Arial" w:eastAsia="Arial" w:hAnsi="Arial"/>
          <w:sz w:val="16"/>
          <w:szCs w:val="16"/>
          <w:color w:val="auto"/>
        </w:rPr>
      </w:pPr>
    </w:p>
    <w:p>
      <w:pPr>
        <w:ind w:firstLine="987"/>
        <w:spacing w:after="0" w:line="255" w:lineRule="auto"/>
        <w:tabs>
          <w:tab w:leader="none" w:pos="1386"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7.08 hereof. Notwithstanding replacement of the Trustee pursuant to this Section 7.09, the Company’s obligations under Section 7.08 hereof will continue for the benefit of the retiring Trustee.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423" w:name="page424"/>
    <w:bookmarkEnd w:id="423"/>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7.10</w:t>
      </w:r>
      <w:r>
        <w:rPr>
          <w:sz w:val="20"/>
          <w:szCs w:val="20"/>
          <w:color w:val="auto"/>
        </w:rPr>
        <w:tab/>
      </w:r>
      <w:r>
        <w:rPr>
          <w:rFonts w:ascii="Arial" w:cs="Arial" w:eastAsia="Arial" w:hAnsi="Arial"/>
          <w:sz w:val="15"/>
          <w:szCs w:val="15"/>
          <w:i w:val="1"/>
          <w:iCs w:val="1"/>
          <w:color w:val="auto"/>
        </w:rPr>
        <w:t>Successor Trustee by Merger, etc.</w:t>
      </w:r>
    </w:p>
    <w:p>
      <w:pPr>
        <w:spacing w:after="0" w:line="117"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278"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7"/>
          <w:szCs w:val="17"/>
          <w:i w:val="1"/>
          <w:iCs w:val="1"/>
          <w:color w:val="auto"/>
        </w:rPr>
        <w:t>Eligibility; Disqualification.</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There shall at all times be a Trustee hereunder that is entitled to carry out the activities of a trustee under the laws of England and Wales, or Hong Kong or the State of New York or is a corporation organized or doing business under the laws of the United States of America or any state thereof or the District of Columbia that is authorized under such laws to exercise corporate trustee power and that is a corporation which is generally recognized as a corporation which customarily performs such corporate trustee roles and provides such corporate trustee services in transactions similar in nature to the offering of the Notes. No obligor under the Notes or Person directly controlling, controlled by, or under common control with such obligor shall serve as trustee under the Notes.</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Appointment of Co-Trustee.</w:t>
      </w:r>
    </w:p>
    <w:p>
      <w:pPr>
        <w:spacing w:after="0" w:line="117" w:lineRule="exact"/>
        <w:rPr>
          <w:sz w:val="20"/>
          <w:szCs w:val="20"/>
          <w:color w:val="auto"/>
        </w:rPr>
      </w:pPr>
    </w:p>
    <w:p>
      <w:pPr>
        <w:ind w:right="120" w:firstLine="987"/>
        <w:spacing w:after="0" w:line="273" w:lineRule="auto"/>
        <w:tabs>
          <w:tab w:leader="none" w:pos="1416" w:val="left"/>
        </w:tabs>
        <w:numPr>
          <w:ilvl w:val="0"/>
          <w:numId w:val="517"/>
        </w:numPr>
        <w:rPr>
          <w:rFonts w:ascii="Arial" w:cs="Arial" w:eastAsia="Arial" w:hAnsi="Arial"/>
          <w:sz w:val="17"/>
          <w:szCs w:val="17"/>
          <w:color w:val="auto"/>
        </w:rPr>
      </w:pPr>
      <w:r>
        <w:rPr>
          <w:rFonts w:ascii="Arial" w:cs="Arial" w:eastAsia="Arial" w:hAnsi="Arial"/>
          <w:sz w:val="17"/>
          <w:szCs w:val="17"/>
          <w:color w:val="auto"/>
        </w:rPr>
        <w:t>Notwithstanding any other provisions of this Indenture, at any time, for the purpose of meeting any legal requirement of any jurisdiction or otherwise, the Trustee shall have the power and may execute and deliver all instruments necessary to appoint one or more Persons to act as a co-trustee or co-trustees, or separate trustees, of all or any part of this Indenture, and to vest in such Person or Persons, in such capacity and for the benefit of the Holders, such powers, duties, obligations, rights and trusts as the Trustee may consider necessary or desirable. No co-trustee or separate trustee hereunder shall be required to meet the terms of eligibility as a successor trustee under Section 7.09 hereof and no notice to the Holders of the appointment of any co-trustee or separate trustee shall be required.</w:t>
      </w:r>
    </w:p>
    <w:p>
      <w:pPr>
        <w:spacing w:after="0" w:line="177" w:lineRule="exact"/>
        <w:rPr>
          <w:rFonts w:ascii="Arial" w:cs="Arial" w:eastAsia="Arial" w:hAnsi="Arial"/>
          <w:sz w:val="17"/>
          <w:szCs w:val="17"/>
          <w:color w:val="auto"/>
        </w:rPr>
      </w:pPr>
    </w:p>
    <w:p>
      <w:pPr>
        <w:ind w:left="1420" w:hanging="433"/>
        <w:spacing w:after="0"/>
        <w:tabs>
          <w:tab w:leader="none" w:pos="1420" w:val="left"/>
        </w:tabs>
        <w:numPr>
          <w:ilvl w:val="0"/>
          <w:numId w:val="517"/>
        </w:numPr>
        <w:rPr>
          <w:rFonts w:ascii="Arial" w:cs="Arial" w:eastAsia="Arial" w:hAnsi="Arial"/>
          <w:sz w:val="16"/>
          <w:szCs w:val="16"/>
          <w:color w:val="auto"/>
        </w:rPr>
      </w:pPr>
      <w:r>
        <w:rPr>
          <w:rFonts w:ascii="Arial" w:cs="Arial" w:eastAsia="Arial" w:hAnsi="Arial"/>
          <w:sz w:val="16"/>
          <w:szCs w:val="16"/>
          <w:color w:val="auto"/>
        </w:rPr>
        <w:t>Every separate trustee and co- trustee shall, to the extent permitted by law, be appointed and act subject to the following provisions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conditions:</w:t>
      </w:r>
    </w:p>
    <w:p>
      <w:pPr>
        <w:spacing w:after="0" w:line="102" w:lineRule="exact"/>
        <w:rPr>
          <w:rFonts w:ascii="Arial" w:cs="Arial" w:eastAsia="Arial" w:hAnsi="Arial"/>
          <w:sz w:val="16"/>
          <w:szCs w:val="16"/>
          <w:color w:val="auto"/>
        </w:rPr>
      </w:pPr>
    </w:p>
    <w:p>
      <w:pPr>
        <w:ind w:left="980" w:right="160" w:firstLine="408"/>
        <w:spacing w:after="0" w:line="255" w:lineRule="auto"/>
        <w:tabs>
          <w:tab w:leader="none" w:pos="1806"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84" w:lineRule="exact"/>
        <w:rPr>
          <w:rFonts w:ascii="Arial" w:cs="Arial" w:eastAsia="Arial" w:hAnsi="Arial"/>
          <w:sz w:val="18"/>
          <w:szCs w:val="18"/>
          <w:color w:val="auto"/>
        </w:rPr>
      </w:pPr>
    </w:p>
    <w:p>
      <w:pPr>
        <w:ind w:left="1780" w:hanging="392"/>
        <w:spacing w:after="0"/>
        <w:tabs>
          <w:tab w:leader="none" w:pos="1780" w:val="left"/>
        </w:tabs>
        <w:numPr>
          <w:ilvl w:val="1"/>
          <w:numId w:val="517"/>
        </w:numPr>
        <w:rPr>
          <w:rFonts w:ascii="Arial" w:cs="Arial" w:eastAsia="Arial" w:hAnsi="Arial"/>
          <w:sz w:val="17"/>
          <w:szCs w:val="17"/>
          <w:color w:val="auto"/>
        </w:rPr>
      </w:pPr>
      <w:r>
        <w:rPr>
          <w:rFonts w:ascii="Arial" w:cs="Arial" w:eastAsia="Arial" w:hAnsi="Arial"/>
          <w:sz w:val="17"/>
          <w:szCs w:val="17"/>
          <w:color w:val="auto"/>
        </w:rPr>
        <w:t>No trustee hereunder shall be personally liable by reason of any act or omission of any other trustee hereunder; and</w:t>
      </w:r>
    </w:p>
    <w:p>
      <w:pPr>
        <w:spacing w:after="0" w:line="128" w:lineRule="exact"/>
        <w:rPr>
          <w:rFonts w:ascii="Arial" w:cs="Arial" w:eastAsia="Arial" w:hAnsi="Arial"/>
          <w:sz w:val="17"/>
          <w:szCs w:val="17"/>
          <w:color w:val="auto"/>
        </w:rPr>
      </w:pPr>
    </w:p>
    <w:p>
      <w:pPr>
        <w:ind w:left="1780" w:hanging="392"/>
        <w:spacing w:after="0"/>
        <w:tabs>
          <w:tab w:leader="none" w:pos="178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The Trustee may at any time accept the resignation of or remove any separate trustee or co-trustee.</w:t>
      </w:r>
    </w:p>
    <w:p>
      <w:pPr>
        <w:spacing w:after="0" w:line="225" w:lineRule="exact"/>
        <w:rPr>
          <w:rFonts w:ascii="Arial" w:cs="Arial" w:eastAsia="Arial" w:hAnsi="Arial"/>
          <w:sz w:val="18"/>
          <w:szCs w:val="18"/>
          <w:color w:val="auto"/>
        </w:rPr>
      </w:pPr>
    </w:p>
    <w:p>
      <w:pPr>
        <w:ind w:firstLine="987"/>
        <w:spacing w:after="0" w:line="254" w:lineRule="auto"/>
        <w:tabs>
          <w:tab w:leader="none" w:pos="1361"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Any notice, request or other writing given to the Trustee shall be deemed to have been given to each of the then separate trustees and co-trustees, as effectively as if given to each of them. Every instrument appointing any separate trustee or co-trustee shall refer to this Indenture and the conditions of this Section 7.12.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424" w:name="page425"/>
    <w:bookmarkEnd w:id="424"/>
    <w:p>
      <w:pPr>
        <w:ind w:firstLine="987"/>
        <w:spacing w:after="0" w:line="279" w:lineRule="auto"/>
        <w:tabs>
          <w:tab w:leader="none" w:pos="1416" w:val="left"/>
        </w:tabs>
        <w:numPr>
          <w:ilvl w:val="0"/>
          <w:numId w:val="5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separate trustee or co-trustee may at any time constitute the Trustee its agent or attorney-in-fact with full power and authority, to the extent not prohibited by law, to do any lawful act under or in respect of this Indenture on its behalf and in its name. If any separate trustee or co-trustee shall die, become incapable of acting, resign or be removed, all of its estates, properties, rights, remedies, and trusts shall vest in and be exercised by the Trustee, to the extent permitted by law, without the appointment of a new or successor trustee.</w:t>
      </w:r>
    </w:p>
    <w:p>
      <w:pPr>
        <w:spacing w:after="0" w:line="27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i w:val="1"/>
          <w:iCs w:val="1"/>
          <w:color w:val="auto"/>
        </w:rPr>
        <w:t>Resignation of Agents.</w:t>
      </w:r>
    </w:p>
    <w:p>
      <w:pPr>
        <w:spacing w:after="0" w:line="117"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Any Agent may resign and be discharged from its duties under this Indenture at any time by giving thirty (30) days’ prior written notice of such resignation to the Trustee and the Company. The Trustee or the Company may remove any Agent at any time by giving thirty (30) days’ prior written notice to such Agent. Upon such notice, a successor Agent shall be appointed by the Company, who shall provide written notice of such to the Trustee. Such successor Agent shall become the Agent hereunder upon the resignation or removal date specified in such notice. If the Company is unable to replace the resigning Agent within thirty (30) days after such notice, the Agent shall deliver any funds then held hereunder in its possession to the Trustee or (i) such Agent may appoint as its successor Agent, any reputable and experienced financial institution acceptable to the Trustee and the Company or (ii) apply to a court of competent jurisdiction for the appointment of a successor Agent or for other appropriate relief. The reasonable costs and expenses (including its counsels’ fees and expenses) incurred by the Agent in connection with such proceeding shall be paid by the Company.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7.08 hereof.</w:t>
      </w:r>
    </w:p>
    <w:p>
      <w:pPr>
        <w:spacing w:after="0" w:line="28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7.14</w:t>
      </w:r>
      <w:r>
        <w:rPr>
          <w:sz w:val="20"/>
          <w:szCs w:val="20"/>
          <w:color w:val="auto"/>
        </w:rPr>
        <w:tab/>
      </w:r>
      <w:r>
        <w:rPr>
          <w:rFonts w:ascii="Arial" w:cs="Arial" w:eastAsia="Arial" w:hAnsi="Arial"/>
          <w:sz w:val="16"/>
          <w:szCs w:val="16"/>
          <w:i w:val="1"/>
          <w:iCs w:val="1"/>
          <w:color w:val="auto"/>
        </w:rPr>
        <w:t>Agents General Provisions.</w:t>
      </w:r>
    </w:p>
    <w:p>
      <w:pPr>
        <w:spacing w:after="0" w:line="117"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rights, powers, duties and obligations and actions of each Agent under this Indenture are several and not joint or joint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w:t>
      </w:r>
    </w:p>
    <w:p>
      <w:pPr>
        <w:spacing w:after="0" w:line="211" w:lineRule="exact"/>
        <w:rPr>
          <w:sz w:val="20"/>
          <w:szCs w:val="20"/>
          <w:color w:val="auto"/>
        </w:rPr>
      </w:pPr>
    </w:p>
    <w:p>
      <w:pPr>
        <w:ind w:right="40" w:firstLine="987"/>
        <w:spacing w:after="0" w:line="259" w:lineRule="auto"/>
        <w:tabs>
          <w:tab w:leader="none" w:pos="1378"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Company and the Agents acknowledge and agree that in the event of a Default or Event of Default, the Trustee may, by notice in writing to the Company and the Agents, require that the Agents act as agents of, and take instructions exclusively from, the Trustee. Until they have received such written notice from the Trustee, the Agents shall act solely as agents of the Company and need have no concern for the interests of the Holders.</w:t>
      </w:r>
    </w:p>
    <w:p>
      <w:pPr>
        <w:spacing w:after="0" w:line="186" w:lineRule="exact"/>
        <w:rPr>
          <w:rFonts w:ascii="Arial" w:cs="Arial" w:eastAsia="Arial" w:hAnsi="Arial"/>
          <w:sz w:val="18"/>
          <w:szCs w:val="18"/>
          <w:color w:val="auto"/>
        </w:rPr>
      </w:pPr>
    </w:p>
    <w:p>
      <w:pPr>
        <w:ind w:right="40" w:firstLine="987"/>
        <w:spacing w:after="0" w:line="259" w:lineRule="auto"/>
        <w:tabs>
          <w:tab w:leader="none" w:pos="1371"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In the event that instructions given to any Agent are not reasonably clear, then such Agent shall be entitled to seek clarification from the Company or other party entitled to give the Agents instructions under this Indenture. If an Agent has sought clarification in accordance with this Section 7.14(c), then such Agent shall be entitled to take no action until such clarification is provided, and shall not incur any liability for not taking any action pending receipt of such clarification.</w:t>
      </w:r>
    </w:p>
    <w:p>
      <w:pPr>
        <w:spacing w:after="0" w:line="186" w:lineRule="exact"/>
        <w:rPr>
          <w:rFonts w:ascii="Arial" w:cs="Arial" w:eastAsia="Arial" w:hAnsi="Arial"/>
          <w:sz w:val="18"/>
          <w:szCs w:val="18"/>
          <w:color w:val="auto"/>
        </w:rPr>
      </w:pPr>
    </w:p>
    <w:p>
      <w:pPr>
        <w:ind w:left="1420" w:hanging="433"/>
        <w:spacing w:after="0"/>
        <w:tabs>
          <w:tab w:leader="none" w:pos="142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Agents shall only have such duties as expressly set out in this Indenture.</w:t>
      </w:r>
    </w:p>
    <w:p>
      <w:pPr>
        <w:spacing w:after="0" w:line="225" w:lineRule="exact"/>
        <w:rPr>
          <w:rFonts w:ascii="Arial" w:cs="Arial" w:eastAsia="Arial" w:hAnsi="Arial"/>
          <w:sz w:val="18"/>
          <w:szCs w:val="18"/>
          <w:color w:val="auto"/>
        </w:rPr>
      </w:pPr>
    </w:p>
    <w:p>
      <w:pPr>
        <w:ind w:left="1400" w:hanging="413"/>
        <w:spacing w:after="0"/>
        <w:tabs>
          <w:tab w:leader="none" w:pos="14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Company shall provide the Agents with a certified list of authorized signatories.</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7.15</w:t>
      </w:r>
      <w:r>
        <w:rPr>
          <w:sz w:val="20"/>
          <w:szCs w:val="20"/>
          <w:color w:val="auto"/>
        </w:rPr>
        <w:tab/>
      </w:r>
      <w:r>
        <w:rPr>
          <w:rFonts w:ascii="Arial" w:cs="Arial" w:eastAsia="Arial" w:hAnsi="Arial"/>
          <w:sz w:val="16"/>
          <w:szCs w:val="16"/>
          <w:i w:val="1"/>
          <w:iCs w:val="1"/>
          <w:color w:val="auto"/>
        </w:rPr>
        <w:t>Rights of Trustee in Other Roles.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All rights, powers and indemnities contained in this Article 7 shall apply to the Trustee in its other roles hereunder and to the Agents.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425" w:name="page426"/>
    <w:bookmarkEnd w:id="4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117"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23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117"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Upon the Company’s exercise under Section 8.01 hereof of the option applicable to this Section 8.02, the Company and each of the Subsidiary Guarantors will, subject to the satisfaction of the conditions set forth in Section 8.04 hereof, be deemed to have been discharged from their Obligations with respect to all outstanding Notes (including the Note Guarantees) on the date the conditions set forth below are satisfied (hereinafter, “</w:t>
      </w:r>
      <w:r>
        <w:rPr>
          <w:rFonts w:ascii="Arial" w:cs="Arial" w:eastAsia="Arial" w:hAnsi="Arial"/>
          <w:sz w:val="17"/>
          <w:szCs w:val="17"/>
          <w:i w:val="1"/>
          <w:iCs w:val="1"/>
          <w:color w:val="auto"/>
        </w:rPr>
        <w:t>Legal Defeasance</w:t>
      </w:r>
      <w:r>
        <w:rPr>
          <w:rFonts w:ascii="Arial" w:cs="Arial" w:eastAsia="Arial" w:hAnsi="Arial"/>
          <w:sz w:val="17"/>
          <w:szCs w:val="17"/>
          <w:color w:val="auto"/>
        </w:rPr>
        <w:t>”). For this purpose, Legal Defeasance means that the Company and the Subsidiary Guarantors will be deemed to have paid and discharged the entire Indebtedness represented by the outstanding Notes (including the Note Guarantees), which will thereafter be deemed to be “outstanding” only for the purposes of Section 8.05 hereof and the other Sections of this Indenture referred to in clauses (1) and (2) below, and to have satisfied all their other obligations under such Notes, the Note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73" w:lineRule="exact"/>
        <w:rPr>
          <w:sz w:val="20"/>
          <w:szCs w:val="20"/>
          <w:color w:val="auto"/>
        </w:rPr>
      </w:pPr>
    </w:p>
    <w:p>
      <w:pPr>
        <w:ind w:left="980" w:right="580" w:firstLine="408"/>
        <w:spacing w:after="0" w:line="342" w:lineRule="auto"/>
        <w:tabs>
          <w:tab w:leader="none" w:pos="1771"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the rights of Holders of outstanding Notes to receive payments in respect of the principal of, or interest or premium and Additional Amounts, if any, on, such Notes when such payments are due from the trust referred to in Section 8.04 hereof;</w:t>
      </w:r>
    </w:p>
    <w:p>
      <w:pPr>
        <w:spacing w:after="0" w:line="15" w:lineRule="exact"/>
        <w:rPr>
          <w:rFonts w:ascii="Arial" w:cs="Arial" w:eastAsia="Arial" w:hAnsi="Arial"/>
          <w:sz w:val="16"/>
          <w:szCs w:val="16"/>
          <w:color w:val="auto"/>
        </w:rPr>
      </w:pPr>
    </w:p>
    <w:p>
      <w:pPr>
        <w:ind w:left="1780" w:hanging="392"/>
        <w:spacing w:after="0"/>
        <w:tabs>
          <w:tab w:leader="none" w:pos="17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Company’s Obligations with respect to the Notes under Article 2 and Section 4.02 hereof;</w:t>
      </w:r>
    </w:p>
    <w:p>
      <w:pPr>
        <w:spacing w:after="0" w:line="117" w:lineRule="exact"/>
        <w:rPr>
          <w:rFonts w:ascii="Arial" w:cs="Arial" w:eastAsia="Arial" w:hAnsi="Arial"/>
          <w:sz w:val="18"/>
          <w:szCs w:val="18"/>
          <w:color w:val="auto"/>
        </w:rPr>
      </w:pPr>
    </w:p>
    <w:p>
      <w:pPr>
        <w:ind w:left="980" w:right="40" w:firstLine="408"/>
        <w:spacing w:after="0" w:line="277" w:lineRule="auto"/>
        <w:tabs>
          <w:tab w:leader="none" w:pos="1771"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the Paying Agent and Transfer Agent and the Registrar, and the Company’s and the Subsidiary Guarantors’ Obligations in connection therewith; and</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11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Upon the Company’s exercise under Section 8.01 hereof of the option applicable to this Section 8.03, the Company and each of the Subsidiary Guarantors will, subject to the satisfaction of the conditions set forth in Section 8.04 hereof, be released from each of their obligations under the covenants contained in Sections 4.07, 4.08, 4.09, 4.10, 4.11, 4.12, 4.13, 4.15, 4.16, 4.17, 4.18, 4.19 and 4.21 hereof and Section 5.01(a)(3) hereof with respect to the outstanding Notes on and after the date the conditions set forth in Section 8.04 hereof are satisfied (hereinafter, “</w:t>
      </w:r>
      <w:r>
        <w:rPr>
          <w:rFonts w:ascii="Arial" w:cs="Arial" w:eastAsia="Arial" w:hAnsi="Arial"/>
          <w:sz w:val="17"/>
          <w:szCs w:val="17"/>
          <w:i w:val="1"/>
          <w:iCs w:val="1"/>
          <w:color w:val="auto"/>
        </w:rPr>
        <w:t>Covenant</w:t>
      </w:r>
      <w:r>
        <w:rPr>
          <w:rFonts w:ascii="Arial" w:cs="Arial" w:eastAsia="Arial" w:hAnsi="Arial"/>
          <w:sz w:val="17"/>
          <w:szCs w:val="17"/>
          <w:color w:val="auto"/>
        </w:rPr>
        <w:t xml:space="preserve"> </w:t>
      </w:r>
      <w:r>
        <w:rPr>
          <w:rFonts w:ascii="Arial" w:cs="Arial" w:eastAsia="Arial" w:hAnsi="Arial"/>
          <w:sz w:val="17"/>
          <w:szCs w:val="17"/>
          <w:i w:val="1"/>
          <w:iCs w:val="1"/>
          <w:color w:val="auto"/>
        </w:rPr>
        <w:t>Defeasance</w:t>
      </w:r>
      <w:r>
        <w:rPr>
          <w:rFonts w:ascii="Arial" w:cs="Arial" w:eastAsia="Arial" w:hAnsi="Arial"/>
          <w:sz w:val="17"/>
          <w:szCs w:val="17"/>
          <w:color w:val="auto"/>
        </w:rPr>
        <w:t>”), and the Notes will thereafter be deemed not “outstanding” for the purposes of any direction, waiver, consent or declaration or act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Subsidiary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Company’s exercise under Section 8.01 hereof of the option applicable to this Section 8.03, subject to the satisfaction of the conditions set forth in Section 8.04 hereof and Section 6.01(a)(3) through 6.01(a)(5) hereof will not constitute Events of Default.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40" w:top="270" w:right="49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8.04 </w:t>
      </w:r>
      <w:r>
        <w:rPr>
          <w:rFonts w:ascii="Arial" w:cs="Arial" w:eastAsia="Arial" w:hAnsi="Arial"/>
          <w:sz w:val="18"/>
          <w:szCs w:val="18"/>
          <w:i w:val="1"/>
          <w:iCs w:val="1"/>
          <w:color w:val="auto"/>
        </w:rPr>
        <w:t>Conditions to Legal or Covenant Defeasance.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117" w:lineRule="exact"/>
        <w:rPr>
          <w:sz w:val="20"/>
          <w:szCs w:val="20"/>
          <w:color w:val="auto"/>
        </w:rPr>
      </w:pPr>
    </w:p>
    <w:p>
      <w:pPr>
        <w:ind w:left="1380" w:hanging="432"/>
        <w:spacing w:after="0"/>
        <w:tabs>
          <w:tab w:leader="none" w:pos="13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cash in U.S. dollars,</w:t>
      </w:r>
    </w:p>
    <w:p>
      <w:pPr>
        <w:spacing w:after="0" w:line="23" w:lineRule="exact"/>
        <w:rPr>
          <w:sz w:val="20"/>
          <w:szCs w:val="20"/>
          <w:color w:val="auto"/>
        </w:rPr>
      </w:pPr>
    </w:p>
    <w:p>
      <w:pPr>
        <w:ind w:left="540" w:right="40"/>
        <w:spacing w:after="0" w:line="253" w:lineRule="auto"/>
        <w:rPr>
          <w:sz w:val="20"/>
          <w:szCs w:val="20"/>
          <w:color w:val="auto"/>
        </w:rPr>
      </w:pPr>
      <w:r>
        <w:rPr>
          <w:rFonts w:ascii="Arial" w:cs="Arial" w:eastAsia="Arial" w:hAnsi="Arial"/>
          <w:sz w:val="18"/>
          <w:szCs w:val="18"/>
          <w:color w:val="auto"/>
        </w:rPr>
        <w:t>non-callable U.S. Government Obligations, or a combination of cash in U.S. dollars and non-callable U.S. Government Obligations, in amounts as will be sufficient, in the opinion of an internationally recognized investment bank, appraisal firm or firm of independent public accountants, to pay the principal of, or interest and premium,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83" w:lineRule="exact"/>
        <w:rPr>
          <w:sz w:val="20"/>
          <w:szCs w:val="20"/>
          <w:color w:val="auto"/>
        </w:rPr>
      </w:pPr>
    </w:p>
    <w:p>
      <w:pPr>
        <w:ind w:left="540" w:right="780" w:firstLine="408"/>
        <w:spacing w:after="0" w:line="277" w:lineRule="auto"/>
        <w:tabs>
          <w:tab w:leader="none" w:pos="1376"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62" w:lineRule="exact"/>
        <w:rPr>
          <w:rFonts w:ascii="Arial" w:cs="Arial" w:eastAsia="Arial" w:hAnsi="Arial"/>
          <w:sz w:val="18"/>
          <w:szCs w:val="18"/>
          <w:color w:val="auto"/>
        </w:rPr>
      </w:pPr>
    </w:p>
    <w:p>
      <w:pPr>
        <w:ind w:left="1800" w:hanging="429"/>
        <w:spacing w:after="0"/>
        <w:tabs>
          <w:tab w:leader="none" w:pos="1800" w:val="left"/>
        </w:tabs>
        <w:numPr>
          <w:ilvl w:val="1"/>
          <w:numId w:val="522"/>
        </w:numPr>
        <w:rPr>
          <w:rFonts w:ascii="Arial" w:cs="Arial" w:eastAsia="Arial" w:hAnsi="Arial"/>
          <w:sz w:val="17"/>
          <w:szCs w:val="17"/>
          <w:color w:val="auto"/>
        </w:rPr>
      </w:pPr>
      <w:r>
        <w:rPr>
          <w:rFonts w:ascii="Arial" w:cs="Arial" w:eastAsia="Arial" w:hAnsi="Arial"/>
          <w:sz w:val="17"/>
          <w:szCs w:val="17"/>
          <w:color w:val="auto"/>
        </w:rPr>
        <w:t>the Company has received from, or there has been published by, the U.S. Internal Revenue Service a ruling; or</w:t>
      </w:r>
    </w:p>
    <w:p>
      <w:pPr>
        <w:spacing w:after="0" w:line="128" w:lineRule="exact"/>
        <w:rPr>
          <w:rFonts w:ascii="Arial" w:cs="Arial" w:eastAsia="Arial" w:hAnsi="Arial"/>
          <w:sz w:val="17"/>
          <w:szCs w:val="17"/>
          <w:color w:val="auto"/>
        </w:rPr>
      </w:pPr>
    </w:p>
    <w:p>
      <w:pPr>
        <w:ind w:left="1800" w:hanging="429"/>
        <w:spacing w:after="0"/>
        <w:tabs>
          <w:tab w:leader="none" w:pos="180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U.S. federal income tax law,</w:t>
      </w:r>
    </w:p>
    <w:p>
      <w:pPr>
        <w:spacing w:after="0" w:line="117" w:lineRule="exact"/>
        <w:rPr>
          <w:sz w:val="20"/>
          <w:szCs w:val="20"/>
          <w:color w:val="auto"/>
        </w:rPr>
      </w:pPr>
    </w:p>
    <w:p>
      <w:pPr>
        <w:jc w:val="both"/>
        <w:ind w:left="980" w:right="16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540" w:firstLine="408"/>
        <w:spacing w:after="0" w:line="301" w:lineRule="auto"/>
        <w:tabs>
          <w:tab w:leader="none" w:pos="1331" w:val="left"/>
        </w:tabs>
        <w:numPr>
          <w:ilvl w:val="0"/>
          <w:numId w:val="523"/>
        </w:numPr>
        <w:rPr>
          <w:rFonts w:ascii="Arial" w:cs="Arial" w:eastAsia="Arial" w:hAnsi="Arial"/>
          <w:sz w:val="16"/>
          <w:szCs w:val="16"/>
          <w:color w:val="auto"/>
        </w:rPr>
      </w:pPr>
      <w:r>
        <w:rPr>
          <w:rFonts w:ascii="Arial" w:cs="Arial" w:eastAsia="Arial" w:hAnsi="Arial"/>
          <w:sz w:val="16"/>
          <w:szCs w:val="16"/>
          <w:color w:val="auto"/>
        </w:rPr>
        <w:t>in the case of an election under Section 8.03 hereof, the Company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49" w:lineRule="exact"/>
        <w:rPr>
          <w:rFonts w:ascii="Arial" w:cs="Arial" w:eastAsia="Arial" w:hAnsi="Arial"/>
          <w:sz w:val="16"/>
          <w:szCs w:val="16"/>
          <w:color w:val="auto"/>
        </w:rPr>
      </w:pPr>
    </w:p>
    <w:p>
      <w:pPr>
        <w:ind w:left="540" w:right="40" w:firstLine="408"/>
        <w:spacing w:after="0" w:line="259" w:lineRule="auto"/>
        <w:tabs>
          <w:tab w:leader="none" w:pos="1331" w:val="left"/>
        </w:tabs>
        <w:numPr>
          <w:ilvl w:val="0"/>
          <w:numId w:val="52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Subsidiary Guarantor is a party or by which the Company or any Subsidiary Guarantor is bound;</w:t>
      </w:r>
    </w:p>
    <w:p>
      <w:pPr>
        <w:spacing w:after="0" w:line="78" w:lineRule="exact"/>
        <w:rPr>
          <w:rFonts w:ascii="Arial" w:cs="Arial" w:eastAsia="Arial" w:hAnsi="Arial"/>
          <w:sz w:val="18"/>
          <w:szCs w:val="18"/>
          <w:color w:val="auto"/>
        </w:rPr>
      </w:pPr>
    </w:p>
    <w:p>
      <w:pPr>
        <w:jc w:val="both"/>
        <w:ind w:left="540" w:right="300" w:firstLine="408"/>
        <w:spacing w:after="0" w:line="263" w:lineRule="auto"/>
        <w:tabs>
          <w:tab w:leader="none" w:pos="1331" w:val="left"/>
        </w:tabs>
        <w:numPr>
          <w:ilvl w:val="0"/>
          <w:numId w:val="523"/>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75" w:lineRule="exact"/>
        <w:rPr>
          <w:rFonts w:ascii="Arial" w:cs="Arial" w:eastAsia="Arial" w:hAnsi="Arial"/>
          <w:sz w:val="18"/>
          <w:szCs w:val="18"/>
          <w:color w:val="auto"/>
        </w:rPr>
      </w:pPr>
    </w:p>
    <w:p>
      <w:pPr>
        <w:ind w:left="540" w:right="180" w:firstLine="408"/>
        <w:spacing w:after="0" w:line="263" w:lineRule="auto"/>
        <w:tabs>
          <w:tab w:leader="none" w:pos="1331"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of the Company stating that the deposit was not made by the Company with the intent of preferring the Holders over the other creditors of the Company with the intent of defeating, hindering, delaying or defrauding any creditors of the Company or others; and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560"/>
          </w:cols>
          <w:pgMar w:left="880" w:top="274" w:right="459" w:bottom="1440" w:gutter="0" w:footer="0" w:header="0"/>
        </w:sectPr>
      </w:pPr>
    </w:p>
    <w:bookmarkStart w:id="427" w:name="page428"/>
    <w:bookmarkEnd w:id="427"/>
    <w:p>
      <w:pPr>
        <w:ind w:left="980" w:right="340" w:firstLine="408"/>
        <w:spacing w:after="0" w:line="277" w:lineRule="auto"/>
        <w:tabs>
          <w:tab w:leader="none" w:pos="1771" w:val="left"/>
        </w:tabs>
        <w:numPr>
          <w:ilvl w:val="0"/>
          <w:numId w:val="5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must deliver to the Trustee an Officer’s Certificate and an Opinion of Counsel, each stating that all conditions precedent relating to the Legal Defeasance or the Covenant Defeasance have been complied with.</w:t>
      </w:r>
    </w:p>
    <w:p>
      <w:pPr>
        <w:spacing w:after="0" w:line="62" w:lineRule="exact"/>
        <w:rPr>
          <w:rFonts w:ascii="Arial" w:cs="Arial" w:eastAsia="Arial" w:hAnsi="Arial"/>
          <w:sz w:val="18"/>
          <w:szCs w:val="18"/>
          <w:color w:val="auto"/>
        </w:rPr>
      </w:pPr>
    </w:p>
    <w:p>
      <w:pPr>
        <w:ind w:left="980" w:right="160" w:firstLine="408"/>
        <w:spacing w:after="0" w:line="308" w:lineRule="auto"/>
        <w:tabs>
          <w:tab w:leader="none" w:pos="1767" w:val="left"/>
        </w:tabs>
        <w:numPr>
          <w:ilvl w:val="0"/>
          <w:numId w:val="524"/>
        </w:numPr>
        <w:rPr>
          <w:rFonts w:ascii="Arial" w:cs="Arial" w:eastAsia="Arial" w:hAnsi="Arial"/>
          <w:sz w:val="17"/>
          <w:szCs w:val="17"/>
          <w:color w:val="auto"/>
        </w:rPr>
      </w:pPr>
      <w:r>
        <w:rPr>
          <w:rFonts w:ascii="Arial" w:cs="Arial" w:eastAsia="Arial" w:hAnsi="Arial"/>
          <w:sz w:val="17"/>
          <w:szCs w:val="17"/>
          <w:color w:val="auto"/>
        </w:rPr>
        <w:t>The Trustee shall be entitled to its usual fees and, in addition, any fees and expenses incurred or charged by the Trustee and its counsel in connection with defeasance, satisfaction and discharge, and investment or custody services provided hereunder.</w:t>
      </w:r>
    </w:p>
    <w:p>
      <w:pPr>
        <w:spacing w:after="0" w:line="25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U.S. Government Obligations to be Held in Trust; Other Miscellaneous Provisions.</w:t>
      </w:r>
    </w:p>
    <w:p>
      <w:pPr>
        <w:spacing w:after="0" w:line="117"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Subject to Section 8.06 hereof, all money and non- callable U.S. Government Obligations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and Additional Amounts, if any, and interest, but such money need not be segregated from other funds except to the extent required by law.</w:t>
      </w:r>
    </w:p>
    <w:p>
      <w:pPr>
        <w:spacing w:after="0" w:line="192"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The Company will pay and indemnify the Trustee against any tax, fee or other charge imposed on or assessed against the cash or non-callable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84"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Notwithstanding anything in this Article 8 to the contrary, the Trustee will deliver or pay to the Company from time to time upon the request of the Company any money or non- callable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11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if any, or interest on, any Note and remaining unclaimed for two (2) years after such principal, premium,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(30) days from the date of such notification or publication, any unclaimed balance of such money then remaining will be repaid to the Company.</w:t>
      </w:r>
    </w:p>
    <w:p>
      <w:pPr>
        <w:spacing w:after="0" w:line="27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117"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 xml:space="preserve">If the Trustee or Paying Agent is unable to apply any U.S. dollars or non-callable U.S. Government Obligations in accordance with Section 8.02 or 8.03 hereof, as the case may be, by reason of any order or judgment of any court or governmental authority enjoining, restraining or otherwise prohibiting such application, then the Company’s and the Subsidiary Guarantors’ obligations under this Indenture and the Notes and the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SUPPLEMENT AND WAIVER</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117" w:lineRule="exact"/>
        <w:rPr>
          <w:sz w:val="20"/>
          <w:szCs w:val="20"/>
          <w:color w:val="auto"/>
        </w:rPr>
      </w:pPr>
    </w:p>
    <w:p>
      <w:pPr>
        <w:jc w:val="both"/>
        <w:ind w:right="80" w:firstLine="991"/>
        <w:spacing w:after="0" w:line="342" w:lineRule="auto"/>
        <w:rPr>
          <w:sz w:val="20"/>
          <w:szCs w:val="20"/>
          <w:color w:val="auto"/>
        </w:rPr>
      </w:pPr>
      <w:r>
        <w:rPr>
          <w:rFonts w:ascii="Arial" w:cs="Arial" w:eastAsia="Arial" w:hAnsi="Arial"/>
          <w:sz w:val="16"/>
          <w:szCs w:val="16"/>
          <w:color w:val="auto"/>
        </w:rPr>
        <w:t>Notwithstanding Section 9.02 of this Indenture, the Company, the Subsidiary Guarantors, the Trustee (as applicable and to the extent each is a party to the relevant document) may amend or supplement this Indenture, the Notes, and/or the Note Guarantees without the consent of any Holder:</w:t>
      </w:r>
    </w:p>
    <w:p>
      <w:pPr>
        <w:spacing w:after="0" w:line="16" w:lineRule="exact"/>
        <w:rPr>
          <w:sz w:val="20"/>
          <w:szCs w:val="20"/>
          <w:color w:val="auto"/>
        </w:rPr>
      </w:pPr>
    </w:p>
    <w:p>
      <w:pPr>
        <w:ind w:left="1820" w:hanging="432"/>
        <w:spacing w:after="0"/>
        <w:tabs>
          <w:tab w:leader="none" w:pos="182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980" w:right="400" w:firstLine="408"/>
        <w:spacing w:after="0" w:line="263" w:lineRule="auto"/>
        <w:tabs>
          <w:tab w:leader="none" w:pos="1816"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to provide for the assumption of the Company’s or a Subsidiary Guarantor’s Obligations under the Notes or the Note Guarantees in the case of a merger or consolidation or sale of all or substantially all of the Company’s or such Subsidiary Guarantor’s assets, as applicable;</w:t>
      </w:r>
    </w:p>
    <w:p>
      <w:pPr>
        <w:spacing w:after="0" w:line="75" w:lineRule="exact"/>
        <w:rPr>
          <w:rFonts w:ascii="Arial" w:cs="Arial" w:eastAsia="Arial" w:hAnsi="Arial"/>
          <w:sz w:val="18"/>
          <w:szCs w:val="18"/>
          <w:color w:val="auto"/>
        </w:rPr>
      </w:pPr>
    </w:p>
    <w:p>
      <w:pPr>
        <w:ind w:left="980" w:right="380" w:firstLine="408"/>
        <w:spacing w:after="0" w:line="277" w:lineRule="auto"/>
        <w:tabs>
          <w:tab w:leader="none" w:pos="1771"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adversely affect the legal rights under this Indenture of any such Holder;</w:t>
      </w:r>
    </w:p>
    <w:p>
      <w:pPr>
        <w:spacing w:after="0" w:line="62" w:lineRule="exact"/>
        <w:rPr>
          <w:rFonts w:ascii="Arial" w:cs="Arial" w:eastAsia="Arial" w:hAnsi="Arial"/>
          <w:sz w:val="18"/>
          <w:szCs w:val="18"/>
          <w:color w:val="auto"/>
        </w:rPr>
      </w:pPr>
    </w:p>
    <w:p>
      <w:pPr>
        <w:ind w:left="980" w:firstLine="408"/>
        <w:spacing w:after="0" w:line="259" w:lineRule="auto"/>
        <w:tabs>
          <w:tab w:leader="none" w:pos="1771"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to conform the text of the Notes, this Indenture or the Note Guarantees to any provision of the “Description of Notes” section of the Offering Memorandum, to the extent that such provision in that “Description of Notes” section of the Offering Memorandum was intended to be a verbatim recitation of a provision of the Notes, this Indenture or the Note Guarantees, which intent shall be evidenced by an Officer’s Certificate of the Company to that effect;</w:t>
      </w:r>
    </w:p>
    <w:p>
      <w:pPr>
        <w:spacing w:after="0" w:line="78" w:lineRule="exact"/>
        <w:rPr>
          <w:rFonts w:ascii="Arial" w:cs="Arial" w:eastAsia="Arial" w:hAnsi="Arial"/>
          <w:sz w:val="18"/>
          <w:szCs w:val="18"/>
          <w:color w:val="auto"/>
        </w:rPr>
      </w:pPr>
    </w:p>
    <w:p>
      <w:pPr>
        <w:ind w:left="980" w:firstLine="408"/>
        <w:spacing w:after="0" w:line="277" w:lineRule="auto"/>
        <w:tabs>
          <w:tab w:leader="none" w:pos="1771"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this Indenture as of the date of this Indenture; or</w:t>
      </w:r>
    </w:p>
    <w:p>
      <w:pPr>
        <w:spacing w:after="0" w:line="62" w:lineRule="exact"/>
        <w:rPr>
          <w:rFonts w:ascii="Arial" w:cs="Arial" w:eastAsia="Arial" w:hAnsi="Arial"/>
          <w:sz w:val="18"/>
          <w:szCs w:val="18"/>
          <w:color w:val="auto"/>
        </w:rPr>
      </w:pPr>
    </w:p>
    <w:p>
      <w:pPr>
        <w:ind w:left="980" w:right="80" w:firstLine="408"/>
        <w:spacing w:after="0" w:line="277" w:lineRule="auto"/>
        <w:tabs>
          <w:tab w:leader="none" w:pos="1771"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to allow any Subsidiary Guarantor to execute a supplemental indenture and/or a Note Guarantee with respect to the Notes or to release any Subsidiary Guarantor from its Note Guarantee in accordance with the terms of this Indenture.</w:t>
      </w:r>
    </w:p>
    <w:p>
      <w:pPr>
        <w:spacing w:after="0" w:line="170"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and upon receipt by the Trustee of the documents described in Section 7.02 hereof, the Trustee, will join with the Company and the Subsidiary Guarantors in the execution of any amended or supplemental indenture authorized or permitted by the terms of this Indenture and to make any further appropriate agreements and stipulations that may be therein contained, but neither the Trustee nor any Agent will be obligated to (although they may at their discretion) enter into such amended or supplemental indenture that affects their own rights, duties or immunities under this Indenture or otherwise.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0" w:right="459" w:bottom="1440" w:gutter="0" w:footer="0" w:header="0"/>
        </w:sectPr>
      </w:pPr>
    </w:p>
    <w:bookmarkStart w:id="429" w:name="page430"/>
    <w:bookmarkEnd w:id="429"/>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117"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Except as provided below in this Section 9.02, the Company and the Trustee may amend or supplement this Indenture (including, without limitation, Section 3.09, 4.10 and 4.15 hereof) and the Notes, and the Company, the Trustee and the Subsidiary Guarantors, may amend or supplement the Note Guarantees with the consent of the Holders of at least a majority in aggregate principal amount of the then outstanding Notes (including Additional Notes, if any) voting as a single class (including, without limitation, consents obtained in connection with a purchase of, or tender offer or exchange offer for, the Notes), and, subject to Sections 6.04 and 6.07 hereof, any existing Default or Event of Default (other than a Default or Event of Default in the payment of the principal of, premium or Additional Amounts, if any, or interest on, the Notes, except a payment default resulting from an acceleration that has been rescinded) or compliance with any provision of this Indenture, the Notes or the Note Guarantees may be waived with the consent of the Holders of a majority in aggregate principal amount of the then outstanding Notes (including Additional Notes, if any) voting as a single class (including, without limitation, consents obtained in connection with a purchase of, or tender offer or exchange offer for, the Notes).</w:t>
      </w:r>
    </w:p>
    <w:p>
      <w:pPr>
        <w:spacing w:after="0" w:line="166"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as aforesaid, and upon receipt by the Trustee of the documents described in Section 7.02, 9.06, 13.04 and 13.05 hereof, the Trustee, will join with the Company and the Subsidiary Guarantors in the execution of such amended or supplemental indenture authorized or permitted by the terms of this Indenture unless such amended or supplemental indenture directly affects the Trustee’s or any Agent’s own rights, duties or immunities under this Indenture or otherwise, in which case the Trustee and/or each Agent may in their discretion, but will not be obligated to, enter into such amended or supplemental indenture.</w:t>
      </w:r>
    </w:p>
    <w:p>
      <w:pPr>
        <w:spacing w:after="0" w:line="16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It is not be necessary for the consent of the Holders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After an amendment, supplement or waiver under this Section 9.02 becomes effective, the Company will mail to the Holders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However, without the consent of each Holder (including the Additional Notes) affected, an amendment, supplement or waiver under this Section 9.02 may not (with respect to any Notes (including the Additional Notes) held by a non-consenting Holder):</w:t>
      </w:r>
    </w:p>
    <w:p>
      <w:pPr>
        <w:spacing w:after="0" w:line="87" w:lineRule="exact"/>
        <w:rPr>
          <w:sz w:val="20"/>
          <w:szCs w:val="20"/>
          <w:color w:val="auto"/>
        </w:rPr>
      </w:pPr>
    </w:p>
    <w:p>
      <w:pPr>
        <w:ind w:left="1780" w:hanging="392"/>
        <w:spacing w:after="0"/>
        <w:tabs>
          <w:tab w:leader="none" w:pos="178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980" w:right="340" w:firstLine="408"/>
        <w:spacing w:after="0" w:line="308" w:lineRule="auto"/>
        <w:tabs>
          <w:tab w:leader="none" w:pos="1771" w:val="left"/>
        </w:tabs>
        <w:numPr>
          <w:ilvl w:val="0"/>
          <w:numId w:val="526"/>
        </w:numPr>
        <w:rPr>
          <w:rFonts w:ascii="Arial" w:cs="Arial" w:eastAsia="Arial" w:hAnsi="Arial"/>
          <w:sz w:val="17"/>
          <w:szCs w:val="17"/>
          <w:color w:val="auto"/>
        </w:rPr>
      </w:pPr>
      <w:r>
        <w:rPr>
          <w:rFonts w:ascii="Arial" w:cs="Arial" w:eastAsia="Arial" w:hAnsi="Arial"/>
          <w:sz w:val="17"/>
          <w:szCs w:val="17"/>
          <w:color w:val="auto"/>
        </w:rPr>
        <w:t>reduce the principal of, premium, if any, or change the fixed maturity of any Note or alter the provisions with respect to the redemption of the Notes (except as provided above with respect to Sections 3.09, 4.10, 4.21 and 4.15 hereof);</w:t>
      </w:r>
    </w:p>
    <w:p>
      <w:pPr>
        <w:spacing w:after="0" w:line="38" w:lineRule="exact"/>
        <w:rPr>
          <w:rFonts w:ascii="Arial" w:cs="Arial" w:eastAsia="Arial" w:hAnsi="Arial"/>
          <w:sz w:val="17"/>
          <w:szCs w:val="17"/>
          <w:color w:val="auto"/>
        </w:rPr>
      </w:pPr>
    </w:p>
    <w:p>
      <w:pPr>
        <w:ind w:left="1780" w:hanging="392"/>
        <w:spacing w:after="0"/>
        <w:tabs>
          <w:tab w:leader="none" w:pos="178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117" w:lineRule="exact"/>
        <w:rPr>
          <w:rFonts w:ascii="Arial" w:cs="Arial" w:eastAsia="Arial" w:hAnsi="Arial"/>
          <w:sz w:val="18"/>
          <w:szCs w:val="18"/>
          <w:color w:val="auto"/>
        </w:rPr>
      </w:pPr>
    </w:p>
    <w:p>
      <w:pPr>
        <w:ind w:left="980" w:firstLine="408"/>
        <w:spacing w:after="0" w:line="263" w:lineRule="auto"/>
        <w:tabs>
          <w:tab w:leader="none" w:pos="1771" w:val="left"/>
        </w:tabs>
        <w:numPr>
          <w:ilvl w:val="0"/>
          <w:numId w:val="52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75" w:lineRule="exact"/>
        <w:rPr>
          <w:rFonts w:ascii="Arial" w:cs="Arial" w:eastAsia="Arial" w:hAnsi="Arial"/>
          <w:sz w:val="18"/>
          <w:szCs w:val="18"/>
          <w:color w:val="auto"/>
        </w:rPr>
      </w:pPr>
    </w:p>
    <w:p>
      <w:pPr>
        <w:ind w:left="1820" w:hanging="432"/>
        <w:spacing w:after="0"/>
        <w:tabs>
          <w:tab w:leader="none" w:pos="182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17" w:lineRule="exact"/>
        <w:rPr>
          <w:rFonts w:ascii="Arial" w:cs="Arial" w:eastAsia="Arial" w:hAnsi="Arial"/>
          <w:sz w:val="18"/>
          <w:szCs w:val="18"/>
          <w:color w:val="auto"/>
        </w:rPr>
      </w:pPr>
    </w:p>
    <w:p>
      <w:pPr>
        <w:ind w:left="980" w:right="440" w:firstLine="408"/>
        <w:spacing w:after="0" w:line="277" w:lineRule="auto"/>
        <w:tabs>
          <w:tab w:leader="none" w:pos="1771" w:val="left"/>
        </w:tabs>
        <w:numPr>
          <w:ilvl w:val="0"/>
          <w:numId w:val="526"/>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to receive payments of principal of, or interest or premium, if any, on, the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4" w:right="479" w:bottom="1440" w:gutter="0" w:footer="0" w:header="0"/>
        </w:sectPr>
      </w:pPr>
    </w:p>
    <w:bookmarkStart w:id="430" w:name="page431"/>
    <w:bookmarkEnd w:id="430"/>
    <w:p>
      <w:pPr>
        <w:ind w:left="1780" w:hanging="392"/>
        <w:spacing w:after="0"/>
        <w:tabs>
          <w:tab w:leader="none" w:pos="1780" w:val="left"/>
        </w:tabs>
        <w:numPr>
          <w:ilvl w:val="0"/>
          <w:numId w:val="5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 a redemption payment with respect to any Note (other than a payment required by Section 3.09, 4.10, 4.21 or 4.15</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102" w:lineRule="exact"/>
        <w:rPr>
          <w:rFonts w:ascii="Arial" w:cs="Arial" w:eastAsia="Arial" w:hAnsi="Arial"/>
          <w:sz w:val="17"/>
          <w:szCs w:val="17"/>
          <w:color w:val="auto"/>
        </w:rPr>
      </w:pPr>
    </w:p>
    <w:p>
      <w:pPr>
        <w:ind w:left="980" w:right="100" w:firstLine="408"/>
        <w:spacing w:after="0" w:line="277" w:lineRule="auto"/>
        <w:tabs>
          <w:tab w:leader="none" w:pos="1771" w:val="left"/>
        </w:tabs>
        <w:numPr>
          <w:ilvl w:val="0"/>
          <w:numId w:val="527"/>
        </w:numPr>
        <w:rPr>
          <w:rFonts w:ascii="Arial" w:cs="Arial" w:eastAsia="Arial" w:hAnsi="Arial"/>
          <w:sz w:val="18"/>
          <w:szCs w:val="18"/>
          <w:color w:val="auto"/>
        </w:rPr>
      </w:pPr>
      <w:r>
        <w:rPr>
          <w:rFonts w:ascii="Arial" w:cs="Arial" w:eastAsia="Arial" w:hAnsi="Arial"/>
          <w:sz w:val="18"/>
          <w:szCs w:val="18"/>
          <w:color w:val="auto"/>
        </w:rPr>
        <w:t>release any Subsidiary Guarantor from any of its Obligations under its Note Guarantee or this Indenture, except in accordance with the terms of this Indenture; or</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For the avoidance of doubt, no amendment to or deletion of, or actions taken in compliance with, the covenants described under Article 4 shall be deemed to impair or affect any rights of Holders to receive payment of principal of, or premium, if any, or interest on, the Notes.</w:t>
      </w:r>
    </w:p>
    <w:p>
      <w:pPr>
        <w:spacing w:after="0" w:line="25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Supplemental Indenture.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Every amendment or supplement to this Indenture or the Notes will be set forth in an amended or supplemental indenture.</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Until an amendment, supplement or waiver becomes effective, a consent to it by a Holder is a continuing consent by such Holder and every subsequent holder of a Note or portion of a Note that evidences the same debt as the consenting Holder’s Note, even if notation of the consent is not made on any Note. However, any such Holder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Notes.</w:t>
      </w:r>
    </w:p>
    <w:p>
      <w:pPr>
        <w:spacing w:after="0" w:line="117"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Failure to make the appropriate notation or issue a new Note will not affect the validity and effect of such amendment, supplement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waiver.</w:t>
      </w:r>
    </w:p>
    <w:p>
      <w:pPr>
        <w:spacing w:after="0" w:line="31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11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Trustee will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security and/or indemnity to its reasonable satisfaction. The Trustee (subject to Section 7.01 hereof) will be fully protected in relying upon, in addition to the documents required by Section 13.04 hereof, an Officer’s Certificate and an Opinion of Counsel stating that the execution of such amended or supplemental indenture is authorized or permitted by this Indenture, that the supplemental indenture is legal, valid, binding and enforceable against the Company in accordance with its terms and such other matters as the Trustee may request. The Trustee may, but shall not be obligated to, enter into any such supplemental indenture which affects the Trustee’s own rights, duties or immunities under this Indenture or otherwise.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40"/>
          </w:cols>
          <w:pgMar w:left="440" w:top="274" w:right="519" w:bottom="1440" w:gutter="0" w:footer="0" w:header="0"/>
        </w:sectPr>
      </w:pPr>
    </w:p>
    <w:bookmarkStart w:id="431" w:name="page432"/>
    <w:bookmarkEnd w:id="4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GUARANTEES</w:t>
      </w:r>
    </w:p>
    <w:p>
      <w:pPr>
        <w:spacing w:after="0" w:line="211" w:lineRule="exact"/>
        <w:rPr>
          <w:sz w:val="20"/>
          <w:szCs w:val="20"/>
          <w:color w:val="auto"/>
        </w:rPr>
      </w:pPr>
    </w:p>
    <w:p>
      <w:pPr>
        <w:ind w:left="420"/>
        <w:spacing w:after="0"/>
        <w:tabs>
          <w:tab w:leader="none" w:pos="15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Guarantee.</w:t>
      </w:r>
    </w:p>
    <w:p>
      <w:pPr>
        <w:spacing w:after="0" w:line="117" w:lineRule="exact"/>
        <w:rPr>
          <w:sz w:val="20"/>
          <w:szCs w:val="20"/>
          <w:color w:val="auto"/>
        </w:rPr>
      </w:pPr>
    </w:p>
    <w:p>
      <w:pPr>
        <w:ind w:left="-20" w:right="60" w:firstLine="987"/>
        <w:spacing w:after="0" w:line="270" w:lineRule="auto"/>
        <w:tabs>
          <w:tab w:leader="none" w:pos="1396" w:val="left"/>
        </w:tabs>
        <w:numPr>
          <w:ilvl w:val="0"/>
          <w:numId w:val="528"/>
        </w:numPr>
        <w:rPr>
          <w:rFonts w:ascii="Arial" w:cs="Arial" w:eastAsia="Arial" w:hAnsi="Arial"/>
          <w:sz w:val="17"/>
          <w:szCs w:val="17"/>
          <w:color w:val="auto"/>
        </w:rPr>
      </w:pPr>
      <w:r>
        <w:rPr>
          <w:rFonts w:ascii="Arial" w:cs="Arial" w:eastAsia="Arial" w:hAnsi="Arial"/>
          <w:sz w:val="17"/>
          <w:szCs w:val="17"/>
          <w:color w:val="auto"/>
        </w:rPr>
        <w:t>Each Subsidiary Guarantor hereby jointly and severally, irrevocably and unconditionally guarantees to each Holder and to the Trustee, successors and assigns (1) the full and punctual payment when due, whether at Stated Maturity, by acceleration, by redemption or otherwise, of all obligations of the Company under this Indenture (including obligations to the Trustee) and the Notes, whether for payment of principal of, interest, premium or Additional Amounts, if any, on the Notes and all other monetary obligations of the Company under this Indenture and the Notes and (2) the full and punctual performance within applicable grace periods of all other obligations of the Company whether for fees, expenses, indemnification or otherwise under this Indenture and the Notes (all the foregoing being hereinafter collectively called the “</w:t>
      </w:r>
      <w:r>
        <w:rPr>
          <w:rFonts w:ascii="Arial" w:cs="Arial" w:eastAsia="Arial" w:hAnsi="Arial"/>
          <w:sz w:val="17"/>
          <w:szCs w:val="17"/>
          <w:i w:val="1"/>
          <w:iCs w:val="1"/>
          <w:color w:val="auto"/>
        </w:rPr>
        <w:t>Guaranteed Obligations</w:t>
      </w:r>
      <w:r>
        <w:rPr>
          <w:rFonts w:ascii="Arial" w:cs="Arial" w:eastAsia="Arial" w:hAnsi="Arial"/>
          <w:sz w:val="17"/>
          <w:szCs w:val="17"/>
          <w:color w:val="auto"/>
        </w:rPr>
        <w:t>”). Each Subsidiary Guarantor further agrees that the Guaranteed Obligations may be extended or renewed, in whole or in part, without notice or further assent from each such Subsidiary Guarantor, and that each such Subsidiary Guarantor shall remain bound under this Article 11 notwithstanding any extension or renewal of any Guaranteed Obligation.</w:t>
      </w:r>
    </w:p>
    <w:p>
      <w:pPr>
        <w:spacing w:after="0" w:line="180" w:lineRule="exact"/>
        <w:rPr>
          <w:rFonts w:ascii="Arial" w:cs="Arial" w:eastAsia="Arial" w:hAnsi="Arial"/>
          <w:sz w:val="17"/>
          <w:szCs w:val="17"/>
          <w:color w:val="auto"/>
        </w:rPr>
      </w:pPr>
    </w:p>
    <w:p>
      <w:pPr>
        <w:ind w:left="-20" w:right="140" w:firstLine="987"/>
        <w:spacing w:after="0" w:line="271" w:lineRule="auto"/>
        <w:tabs>
          <w:tab w:leader="none" w:pos="1406" w:val="left"/>
        </w:tabs>
        <w:numPr>
          <w:ilvl w:val="0"/>
          <w:numId w:val="528"/>
        </w:numPr>
        <w:rPr>
          <w:rFonts w:ascii="Arial" w:cs="Arial" w:eastAsia="Arial" w:hAnsi="Arial"/>
          <w:sz w:val="17"/>
          <w:szCs w:val="17"/>
          <w:color w:val="auto"/>
        </w:rPr>
      </w:pPr>
      <w:r>
        <w:rPr>
          <w:rFonts w:ascii="Arial" w:cs="Arial" w:eastAsia="Arial" w:hAnsi="Arial"/>
          <w:sz w:val="17"/>
          <w:szCs w:val="17"/>
          <w:color w:val="auto"/>
        </w:rPr>
        <w:t>Each Subsidiary Guarantor waives presentation to, demand of payment from and protest to the Company of any of the Guaranteed Obligations and also waives notice of protest for non-payment. Each Subsidiary Guarantor waives notice of any default under the Notes or the Guaranteed Obligations. The obligations of each Subsidiary Guarantor hereunder shall not be affected by (1) the failure of any Holder or the Trustee to assert any claim or demand or to enforce any right or remedy against the Company or any other Person under this Indenture, the Notes or any other agreement or otherwise; (2) any extension or renewal of any thereof; (3) any rescission, waiver, amendment or modification of any of the terms or provisions of this Indenture, the Notes or any other agreement; (4) the release of any security held by any Holder or the Trustee for the Guaranteed Obligations or any of them; (5) the failure of any Holder or the Trustee to exercise any right or remedy against any other guarantor of the Guaranteed Obligations; or (6) any change in the ownership of such Subsidiary.</w:t>
      </w:r>
    </w:p>
    <w:p>
      <w:pPr>
        <w:spacing w:after="0" w:line="178" w:lineRule="exact"/>
        <w:rPr>
          <w:rFonts w:ascii="Arial" w:cs="Arial" w:eastAsia="Arial" w:hAnsi="Arial"/>
          <w:sz w:val="17"/>
          <w:szCs w:val="17"/>
          <w:color w:val="auto"/>
        </w:rPr>
      </w:pPr>
    </w:p>
    <w:p>
      <w:pPr>
        <w:ind w:left="-20" w:firstLine="987"/>
        <w:spacing w:after="0" w:line="255" w:lineRule="auto"/>
        <w:tabs>
          <w:tab w:leader="none" w:pos="1396" w:val="left"/>
        </w:tabs>
        <w:numPr>
          <w:ilvl w:val="0"/>
          <w:numId w:val="528"/>
        </w:numPr>
        <w:rPr>
          <w:rFonts w:ascii="Arial" w:cs="Arial" w:eastAsia="Arial" w:hAnsi="Arial"/>
          <w:sz w:val="18"/>
          <w:szCs w:val="18"/>
          <w:color w:val="auto"/>
        </w:rPr>
      </w:pPr>
      <w:r>
        <w:rPr>
          <w:rFonts w:ascii="Arial" w:cs="Arial" w:eastAsia="Arial" w:hAnsi="Arial"/>
          <w:sz w:val="18"/>
          <w:szCs w:val="18"/>
          <w:color w:val="auto"/>
        </w:rPr>
        <w:t>Each Subsidiary Guarantor hereby waives any right to which it may be entitled to have its obligations hereunder divided among the Subsidiary Guarantors, such that such Subsidiary Guarantor’s obligations would be less than the full amount claimed. Each Subsidiary Guarantor hereby waives any right to which it may be entitled to have the assets of the Company first be used and depleted as payment of the Company’s or such Subsidiary Guarantor’s obligations hereunder prior to any amounts being claimed from or paid by such Subsidiary Guarantor hereunder. Each Subsidiary Guarantor hereby waives any right to which it may be entitled to require that the Company be sued prior to an action being initiated against such Subsidiary Guarantor.</w:t>
      </w:r>
    </w:p>
    <w:p>
      <w:pPr>
        <w:spacing w:after="0" w:line="192" w:lineRule="exact"/>
        <w:rPr>
          <w:rFonts w:ascii="Arial" w:cs="Arial" w:eastAsia="Arial" w:hAnsi="Arial"/>
          <w:sz w:val="18"/>
          <w:szCs w:val="18"/>
          <w:color w:val="auto"/>
        </w:rPr>
      </w:pPr>
    </w:p>
    <w:p>
      <w:pPr>
        <w:ind w:left="-20" w:right="440" w:firstLine="987"/>
        <w:spacing w:after="0" w:line="263" w:lineRule="auto"/>
        <w:tabs>
          <w:tab w:leader="none" w:pos="1361" w:val="left"/>
        </w:tabs>
        <w:numPr>
          <w:ilvl w:val="0"/>
          <w:numId w:val="528"/>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Note Guarantee herein constitutes a guarantee of payment, performance and compliance when due (and not a guarantee of collection) and waives any right to require that any resort be had by any Holder or the Trustee to any security held for payment of the Guaranteed Obligations.</w:t>
      </w:r>
    </w:p>
    <w:p>
      <w:pPr>
        <w:spacing w:after="0" w:line="75" w:lineRule="exact"/>
        <w:rPr>
          <w:rFonts w:ascii="Arial" w:cs="Arial" w:eastAsia="Arial" w:hAnsi="Arial"/>
          <w:sz w:val="18"/>
          <w:szCs w:val="18"/>
          <w:color w:val="auto"/>
        </w:rPr>
      </w:pPr>
    </w:p>
    <w:p>
      <w:pPr>
        <w:ind w:left="-20" w:right="100" w:firstLine="987"/>
        <w:spacing w:after="0" w:line="270" w:lineRule="auto"/>
        <w:tabs>
          <w:tab w:leader="none" w:pos="1396" w:val="left"/>
        </w:tabs>
        <w:numPr>
          <w:ilvl w:val="0"/>
          <w:numId w:val="528"/>
        </w:numPr>
        <w:rPr>
          <w:rFonts w:ascii="Arial" w:cs="Arial" w:eastAsia="Arial" w:hAnsi="Arial"/>
          <w:sz w:val="17"/>
          <w:szCs w:val="17"/>
          <w:color w:val="auto"/>
        </w:rPr>
      </w:pPr>
      <w:r>
        <w:rPr>
          <w:rFonts w:ascii="Arial" w:cs="Arial" w:eastAsia="Arial" w:hAnsi="Arial"/>
          <w:sz w:val="17"/>
          <w:szCs w:val="17"/>
          <w:color w:val="auto"/>
        </w:rPr>
        <w:t>Except as expressly set forth in Sections 8.02, 11.02 and 11.08, the obligations of each Subsidiary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60" w:top="270" w:right="459" w:bottom="1440" w:gutter="0" w:footer="0" w:header="0"/>
        </w:sectPr>
      </w:pPr>
    </w:p>
    <w:bookmarkStart w:id="432" w:name="page433"/>
    <w:bookmarkEnd w:id="432"/>
    <w:p>
      <w:pPr>
        <w:ind w:left="4" w:right="40" w:firstLine="987"/>
        <w:spacing w:after="0" w:line="257" w:lineRule="auto"/>
        <w:tabs>
          <w:tab w:leader="none" w:pos="14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expressly set forth in Sections 8.02, 11.02 and 11.08, each Subsidiary Guarantor agrees that its Note Guarantee shall remain in full force and effect until payment in full of all the Guaranteed Obligations. Each Subsidiary Guarantor further agrees that its Note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Company or otherwise.</w:t>
      </w:r>
    </w:p>
    <w:p>
      <w:pPr>
        <w:spacing w:after="0" w:line="187" w:lineRule="exact"/>
        <w:rPr>
          <w:rFonts w:ascii="Arial" w:cs="Arial" w:eastAsia="Arial" w:hAnsi="Arial"/>
          <w:sz w:val="18"/>
          <w:szCs w:val="18"/>
          <w:color w:val="auto"/>
        </w:rPr>
      </w:pPr>
    </w:p>
    <w:p>
      <w:pPr>
        <w:ind w:left="4" w:right="40" w:firstLine="987"/>
        <w:spacing w:after="0" w:line="285" w:lineRule="auto"/>
        <w:tabs>
          <w:tab w:leader="none" w:pos="1430" w:val="left"/>
        </w:tabs>
        <w:numPr>
          <w:ilvl w:val="1"/>
          <w:numId w:val="529"/>
        </w:numPr>
        <w:rPr>
          <w:rFonts w:ascii="Arial" w:cs="Arial" w:eastAsia="Arial" w:hAnsi="Arial"/>
          <w:sz w:val="16"/>
          <w:szCs w:val="16"/>
          <w:color w:val="auto"/>
        </w:rPr>
      </w:pPr>
      <w:r>
        <w:rPr>
          <w:rFonts w:ascii="Arial" w:cs="Arial" w:eastAsia="Arial" w:hAnsi="Arial"/>
          <w:sz w:val="16"/>
          <w:szCs w:val="16"/>
          <w:color w:val="auto"/>
        </w:rPr>
        <w:t>In furtherance of the foregoing and not in limitation of any other right which any Holder or the Trustee has at law or in equity against any Subsidiary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each Subsidiary Guarantor hereby promises to and shall, upon receipt of written demand by the Trustee, forthwith pay, or cause to be paid, in cash, to the Holders or the Trustee an amount equal to the sum of (1) the unpaid principal amount of such Guaranteed Obligations,</w:t>
      </w:r>
    </w:p>
    <w:p>
      <w:pPr>
        <w:spacing w:after="0" w:line="1" w:lineRule="exact"/>
        <w:rPr>
          <w:rFonts w:ascii="Arial" w:cs="Arial" w:eastAsia="Arial" w:hAnsi="Arial"/>
          <w:sz w:val="16"/>
          <w:szCs w:val="16"/>
          <w:color w:val="auto"/>
        </w:rPr>
      </w:pPr>
    </w:p>
    <w:p>
      <w:pPr>
        <w:ind w:left="4" w:right="120" w:hanging="4"/>
        <w:spacing w:after="0" w:line="260" w:lineRule="auto"/>
        <w:tabs>
          <w:tab w:leader="none" w:pos="259"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accrued and unpaid interest on such Guaranteed Obligations (but only to the extent not prohibited by law) and (3) all other monetary obligations of the Company to the Holders and the Trustee.</w:t>
      </w:r>
    </w:p>
    <w:p>
      <w:pPr>
        <w:spacing w:after="0" w:line="185" w:lineRule="exact"/>
        <w:rPr>
          <w:rFonts w:ascii="Arial" w:cs="Arial" w:eastAsia="Arial" w:hAnsi="Arial"/>
          <w:sz w:val="18"/>
          <w:szCs w:val="18"/>
          <w:color w:val="auto"/>
        </w:rPr>
      </w:pPr>
    </w:p>
    <w:p>
      <w:pPr>
        <w:ind w:left="1384" w:hanging="393"/>
        <w:spacing w:after="0"/>
        <w:tabs>
          <w:tab w:leader="none" w:pos="1384" w:val="left"/>
        </w:tabs>
        <w:numPr>
          <w:ilvl w:val="1"/>
          <w:numId w:val="530"/>
        </w:numPr>
        <w:rPr>
          <w:rFonts w:ascii="Arial" w:cs="Arial" w:eastAsia="Arial" w:hAnsi="Arial"/>
          <w:sz w:val="16"/>
          <w:szCs w:val="16"/>
          <w:color w:val="auto"/>
        </w:rPr>
      </w:pPr>
      <w:r>
        <w:rPr>
          <w:rFonts w:ascii="Arial" w:cs="Arial" w:eastAsia="Arial" w:hAnsi="Arial"/>
          <w:sz w:val="16"/>
          <w:szCs w:val="16"/>
          <w:color w:val="auto"/>
        </w:rPr>
        <w:t>Each Subsidiary Guarantor further agrees that, as between it, on the one hand, and the Holders and the Trustee, on the other hand,</w:t>
      </w:r>
    </w:p>
    <w:p>
      <w:pPr>
        <w:spacing w:after="0" w:line="46" w:lineRule="exact"/>
        <w:rPr>
          <w:rFonts w:ascii="Arial" w:cs="Arial" w:eastAsia="Arial" w:hAnsi="Arial"/>
          <w:sz w:val="16"/>
          <w:szCs w:val="16"/>
          <w:color w:val="auto"/>
        </w:rPr>
      </w:pPr>
    </w:p>
    <w:p>
      <w:pPr>
        <w:ind w:left="4" w:right="180" w:hanging="4"/>
        <w:spacing w:after="0" w:line="295" w:lineRule="auto"/>
        <w:tabs>
          <w:tab w:leader="none" w:pos="259" w:val="left"/>
        </w:tabs>
        <w:numPr>
          <w:ilvl w:val="0"/>
          <w:numId w:val="531"/>
        </w:numPr>
        <w:rPr>
          <w:rFonts w:ascii="Arial" w:cs="Arial" w:eastAsia="Arial" w:hAnsi="Arial"/>
          <w:sz w:val="16"/>
          <w:szCs w:val="16"/>
          <w:color w:val="auto"/>
        </w:rPr>
      </w:pPr>
      <w:r>
        <w:rPr>
          <w:rFonts w:ascii="Arial" w:cs="Arial" w:eastAsia="Arial" w:hAnsi="Arial"/>
          <w:sz w:val="16"/>
          <w:szCs w:val="16"/>
          <w:color w:val="auto"/>
        </w:rPr>
        <w:t>the maturity of the Guaranteed Obligations guaranteed hereby may be accelerated as provided in Article 6 for the purposes of any Note Guarantee herein, notwithstanding any stay, injunction or other prohibition preventing such acceleration in respect of the Guaranteed Obligations guaranteed hereby, and (2) in the event of any declaration of acceleration of such Guaranteed Obligations as provided in Article 6, such Guaranteed Obligations (whether or not due and payable) shall forthwith become due and payable by such Subsidiary Guarantor for the purposes of Section 11.01.</w:t>
      </w:r>
    </w:p>
    <w:p>
      <w:pPr>
        <w:spacing w:after="0" w:line="161" w:lineRule="exact"/>
        <w:rPr>
          <w:rFonts w:ascii="Arial" w:cs="Arial" w:eastAsia="Arial" w:hAnsi="Arial"/>
          <w:sz w:val="16"/>
          <w:szCs w:val="16"/>
          <w:color w:val="auto"/>
        </w:rPr>
      </w:pPr>
    </w:p>
    <w:p>
      <w:pPr>
        <w:ind w:left="4" w:firstLine="987"/>
        <w:spacing w:after="0" w:line="277" w:lineRule="auto"/>
        <w:tabs>
          <w:tab w:leader="none" w:pos="1345" w:val="left"/>
        </w:tabs>
        <w:numPr>
          <w:ilvl w:val="1"/>
          <w:numId w:val="531"/>
        </w:numPr>
        <w:rPr>
          <w:rFonts w:ascii="Arial" w:cs="Arial" w:eastAsia="Arial" w:hAnsi="Arial"/>
          <w:sz w:val="18"/>
          <w:szCs w:val="18"/>
          <w:color w:val="auto"/>
        </w:rPr>
      </w:pPr>
      <w:r>
        <w:rPr>
          <w:rFonts w:ascii="Arial" w:cs="Arial" w:eastAsia="Arial" w:hAnsi="Arial"/>
          <w:sz w:val="18"/>
          <w:szCs w:val="18"/>
          <w:color w:val="auto"/>
        </w:rPr>
        <w:t>Each Subsidiary Guarantor also agrees to pay any and all costs and expenses (including attorneys’ fees and expenses) incurred by the Trustee in enforcing any rights under Section 11.01.</w:t>
      </w:r>
    </w:p>
    <w:p>
      <w:pPr>
        <w:spacing w:after="0" w:line="170" w:lineRule="exact"/>
        <w:rPr>
          <w:rFonts w:ascii="Arial" w:cs="Arial" w:eastAsia="Arial" w:hAnsi="Arial"/>
          <w:sz w:val="18"/>
          <w:szCs w:val="18"/>
          <w:color w:val="auto"/>
        </w:rPr>
      </w:pPr>
    </w:p>
    <w:p>
      <w:pPr>
        <w:ind w:left="4" w:right="20" w:firstLine="987"/>
        <w:spacing w:after="0" w:line="277" w:lineRule="auto"/>
        <w:tabs>
          <w:tab w:leader="none" w:pos="1345" w:val="left"/>
        </w:tabs>
        <w:numPr>
          <w:ilvl w:val="1"/>
          <w:numId w:val="531"/>
        </w:numPr>
        <w:rPr>
          <w:rFonts w:ascii="Arial" w:cs="Arial" w:eastAsia="Arial" w:hAnsi="Arial"/>
          <w:sz w:val="18"/>
          <w:szCs w:val="18"/>
          <w:color w:val="auto"/>
        </w:rPr>
      </w:pPr>
      <w:r>
        <w:rPr>
          <w:rFonts w:ascii="Arial" w:cs="Arial" w:eastAsia="Arial" w:hAnsi="Arial"/>
          <w:sz w:val="18"/>
          <w:szCs w:val="18"/>
          <w:color w:val="auto"/>
        </w:rPr>
        <w:t>Upon request of the Trustee, each Subsidiary Guarantor shall execute and deliver such further instruments and do such further acts as may be reasonably necessary or proper to carry out more effectively the purpose of this Indenture.</w:t>
      </w:r>
    </w:p>
    <w:p>
      <w:pPr>
        <w:spacing w:after="0" w:line="278" w:lineRule="exact"/>
        <w:rPr>
          <w:sz w:val="20"/>
          <w:szCs w:val="20"/>
          <w:color w:val="auto"/>
        </w:rPr>
      </w:pPr>
    </w:p>
    <w:p>
      <w:pPr>
        <w:ind w:left="444"/>
        <w:spacing w:after="0"/>
        <w:tabs>
          <w:tab w:leader="none" w:pos="1584"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7"/>
          <w:szCs w:val="17"/>
          <w:i w:val="1"/>
          <w:iCs w:val="1"/>
          <w:color w:val="auto"/>
        </w:rPr>
        <w:t>Limitation on Liability.</w:t>
      </w:r>
    </w:p>
    <w:p>
      <w:pPr>
        <w:spacing w:after="0" w:line="117" w:lineRule="exact"/>
        <w:rPr>
          <w:sz w:val="20"/>
          <w:szCs w:val="20"/>
          <w:color w:val="auto"/>
        </w:rPr>
      </w:pPr>
    </w:p>
    <w:p>
      <w:pPr>
        <w:ind w:left="4" w:right="160" w:firstLine="991"/>
        <w:spacing w:after="0" w:line="257" w:lineRule="auto"/>
        <w:rPr>
          <w:sz w:val="20"/>
          <w:szCs w:val="20"/>
          <w:color w:val="auto"/>
        </w:rPr>
      </w:pPr>
      <w:r>
        <w:rPr>
          <w:rFonts w:ascii="Arial" w:cs="Arial" w:eastAsia="Arial" w:hAnsi="Arial"/>
          <w:sz w:val="18"/>
          <w:szCs w:val="18"/>
          <w:color w:val="auto"/>
        </w:rPr>
        <w:t>Any term or provision of this Indenture to the contrary notwithstanding, the maximum aggregate amount of the Guaranteed Obligations guaranteed hereunder by any Subsidiary Guarantor shall not exceed the maximum amount that can be hereby guaranteed by the applicable Subsidiary Guarantor without rendering the Note Guarantee, as it relates to such Subsidiary Guarantor, voidable under applicable law relating to ultra vires, fraudulent conveyance, fraudulent transfer, corporate benefit, financial assistance or similar laws affecting the rights of creditors generally or other considerations under applicable law.</w:t>
      </w:r>
    </w:p>
    <w:p>
      <w:pPr>
        <w:spacing w:after="0" w:line="296" w:lineRule="exact"/>
        <w:rPr>
          <w:sz w:val="20"/>
          <w:szCs w:val="20"/>
          <w:color w:val="auto"/>
        </w:rPr>
      </w:pPr>
    </w:p>
    <w:p>
      <w:pPr>
        <w:ind w:left="444"/>
        <w:spacing w:after="0"/>
        <w:tabs>
          <w:tab w:leader="none" w:pos="1584"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5"/>
          <w:szCs w:val="15"/>
          <w:i w:val="1"/>
          <w:iCs w:val="1"/>
          <w:color w:val="auto"/>
        </w:rPr>
        <w:t>Successors and Assigns.</w:t>
      </w:r>
    </w:p>
    <w:p>
      <w:pPr>
        <w:spacing w:after="0" w:line="117"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This Article 11 shall be binding upon each Subsidiary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11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44"/>
          </w:cols>
          <w:pgMar w:left="436" w:top="274" w:right="519" w:bottom="1440" w:gutter="0" w:footer="0" w:header="0"/>
        </w:sectPr>
      </w:pPr>
    </w:p>
    <w:bookmarkStart w:id="433" w:name="page434"/>
    <w:bookmarkEnd w:id="433"/>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11.04</w:t>
      </w:r>
      <w:r>
        <w:rPr>
          <w:sz w:val="20"/>
          <w:szCs w:val="20"/>
          <w:color w:val="auto"/>
        </w:rPr>
        <w:tab/>
      </w:r>
      <w:r>
        <w:rPr>
          <w:rFonts w:ascii="Arial" w:cs="Arial" w:eastAsia="Arial" w:hAnsi="Arial"/>
          <w:sz w:val="15"/>
          <w:szCs w:val="15"/>
          <w:i w:val="1"/>
          <w:iCs w:val="1"/>
          <w:color w:val="auto"/>
        </w:rPr>
        <w:t>No Waiver.</w:t>
      </w:r>
    </w:p>
    <w:p>
      <w:pPr>
        <w:spacing w:after="0" w:line="117"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Neither a failure nor a delay on the part of either the Trustee or the Holders in exercising any right, power or privilege under this Article 11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11 at law, in equity, by statute or otherwise.</w:t>
      </w:r>
    </w:p>
    <w:p>
      <w:pPr>
        <w:spacing w:after="0" w:line="295"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7"/>
          <w:szCs w:val="17"/>
          <w:i w:val="1"/>
          <w:iCs w:val="1"/>
          <w:color w:val="auto"/>
        </w:rPr>
        <w:t>Modification.</w:t>
      </w:r>
    </w:p>
    <w:p>
      <w:pPr>
        <w:spacing w:after="0" w:line="117"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No modification, amendment or waiver of any provision of this Article 11,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27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i w:val="1"/>
          <w:iCs w:val="1"/>
          <w:color w:val="auto"/>
        </w:rPr>
        <w:t>Execution of Supplemental Indenture for Future Subsidiary Guarantors.</w:t>
      </w:r>
    </w:p>
    <w:p>
      <w:pPr>
        <w:spacing w:after="0" w:line="117" w:lineRule="exact"/>
        <w:rPr>
          <w:sz w:val="20"/>
          <w:szCs w:val="20"/>
          <w:color w:val="auto"/>
        </w:rPr>
      </w:pPr>
    </w:p>
    <w:p>
      <w:pPr>
        <w:ind w:right="80" w:firstLine="991"/>
        <w:spacing w:after="0" w:line="290" w:lineRule="auto"/>
        <w:rPr>
          <w:sz w:val="20"/>
          <w:szCs w:val="20"/>
          <w:color w:val="auto"/>
        </w:rPr>
      </w:pPr>
      <w:r>
        <w:rPr>
          <w:rFonts w:ascii="Arial" w:cs="Arial" w:eastAsia="Arial" w:hAnsi="Arial"/>
          <w:sz w:val="16"/>
          <w:szCs w:val="16"/>
          <w:color w:val="auto"/>
        </w:rPr>
        <w:t>Each Restricted Subsidiary which is required to become a Subsidiary Guarantor pursuant to Section 4.17 hereof shall promptly execute and deliver to the Trustee a supplemental indenture pursuant to which such Subsidiary shall become a Subsidiary Guarantor under this Article 11 and shall guarantee the Guaranteed Obligations. Concurrently with the execution and delivery of such supplemental indenture, the Company shall deliver to the Trustee an Opinion of Counsel and an Officer’s Certificate to the effect that such supplemental indenture has been duly authorized, executed and delivered by such Restricted Subsidiary and that, subject to the application of bankruptcy, insolvency, moratorium, fraudulent conveyance or transfer and other similar laws relating to creditors’ rights generally and to the principles of equity, whether considered in a proceeding at law or in equity, the Note Guarantee of such Subsidiary Guarantor is a legal, valid and binding obligation of such Subsidiary Guarantor, enforceable against such Subsidiary Guarantor in accordance with its terms and/or to such other matters as the Trustee may reasonably request.</w:t>
      </w:r>
    </w:p>
    <w:p>
      <w:pPr>
        <w:spacing w:after="0" w:line="273"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i w:val="1"/>
          <w:iCs w:val="1"/>
          <w:color w:val="auto"/>
        </w:rPr>
        <w:t>Non-Impairment.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failure to endorse a Note Guarantee on any Note shall not affect or impair the validity thereof.</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5"/>
          <w:szCs w:val="15"/>
          <w:i w:val="1"/>
          <w:iCs w:val="1"/>
          <w:color w:val="auto"/>
        </w:rPr>
        <w:t>Release of Guarantees.</w:t>
      </w:r>
    </w:p>
    <w:p>
      <w:pPr>
        <w:spacing w:after="0" w:line="117" w:lineRule="exact"/>
        <w:rPr>
          <w:sz w:val="20"/>
          <w:szCs w:val="20"/>
          <w:color w:val="auto"/>
        </w:rPr>
      </w:pPr>
    </w:p>
    <w:p>
      <w:pPr>
        <w:ind w:right="60" w:firstLine="987"/>
        <w:spacing w:after="0" w:line="286" w:lineRule="auto"/>
        <w:tabs>
          <w:tab w:leader="none" w:pos="1371" w:val="left"/>
        </w:tabs>
        <w:numPr>
          <w:ilvl w:val="0"/>
          <w:numId w:val="532"/>
        </w:numPr>
        <w:rPr>
          <w:rFonts w:ascii="Arial" w:cs="Arial" w:eastAsia="Arial" w:hAnsi="Arial"/>
          <w:sz w:val="17"/>
          <w:szCs w:val="17"/>
          <w:color w:val="auto"/>
        </w:rPr>
      </w:pPr>
      <w:r>
        <w:rPr>
          <w:rFonts w:ascii="Arial" w:cs="Arial" w:eastAsia="Arial" w:hAnsi="Arial"/>
          <w:sz w:val="17"/>
          <w:szCs w:val="17"/>
          <w:color w:val="auto"/>
        </w:rPr>
        <w:t>Subject to paragraphs (b) and (c), each Note Guarantee, once it becomes due, is a continuing guarantee and shall (i) remain in full force and effect until payment in full of all the Guaranteed Obligations, (ii) be binding upon each Subsidiary Guarantor and its successors and (iii) inure to the benefit of, and be enforceable by, the Trustee, the Holders and their successors, transferees and assigns.</w:t>
      </w:r>
    </w:p>
    <w:p>
      <w:pPr>
        <w:spacing w:after="0" w:line="165" w:lineRule="exact"/>
        <w:rPr>
          <w:rFonts w:ascii="Arial" w:cs="Arial" w:eastAsia="Arial" w:hAnsi="Arial"/>
          <w:sz w:val="17"/>
          <w:szCs w:val="17"/>
          <w:color w:val="auto"/>
        </w:rPr>
      </w:pPr>
    </w:p>
    <w:p>
      <w:pPr>
        <w:ind w:left="1380" w:hanging="393"/>
        <w:spacing w:after="0"/>
        <w:tabs>
          <w:tab w:leader="none" w:pos="138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The Note Guarantee of a Subsidiary Guarantor with respect to the Notes will be automatically and unconditionally released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discharged:</w:t>
      </w:r>
    </w:p>
    <w:p>
      <w:pPr>
        <w:spacing w:after="0" w:line="102" w:lineRule="exact"/>
        <w:rPr>
          <w:rFonts w:ascii="Arial" w:cs="Arial" w:eastAsia="Arial" w:hAnsi="Arial"/>
          <w:sz w:val="17"/>
          <w:szCs w:val="17"/>
          <w:color w:val="auto"/>
        </w:rPr>
      </w:pPr>
    </w:p>
    <w:p>
      <w:pPr>
        <w:ind w:left="980" w:right="200" w:firstLine="408"/>
        <w:spacing w:after="0" w:line="286" w:lineRule="auto"/>
        <w:tabs>
          <w:tab w:leader="none" w:pos="1771" w:val="left"/>
        </w:tabs>
        <w:numPr>
          <w:ilvl w:val="1"/>
          <w:numId w:val="532"/>
        </w:numPr>
        <w:rPr>
          <w:rFonts w:ascii="Arial" w:cs="Arial" w:eastAsia="Arial" w:hAnsi="Arial"/>
          <w:sz w:val="17"/>
          <w:szCs w:val="17"/>
          <w:color w:val="auto"/>
        </w:rPr>
      </w:pPr>
      <w:r>
        <w:rPr>
          <w:rFonts w:ascii="Arial" w:cs="Arial" w:eastAsia="Arial" w:hAnsi="Arial"/>
          <w:sz w:val="17"/>
          <w:szCs w:val="17"/>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Restricted Subsidiary of the Company, if the sale or other disposition does not violate Section 5.01 hereof;</w:t>
      </w:r>
    </w:p>
    <w:p>
      <w:pPr>
        <w:spacing w:after="0" w:line="57" w:lineRule="exact"/>
        <w:rPr>
          <w:rFonts w:ascii="Arial" w:cs="Arial" w:eastAsia="Arial" w:hAnsi="Arial"/>
          <w:sz w:val="17"/>
          <w:szCs w:val="17"/>
          <w:color w:val="auto"/>
        </w:rPr>
      </w:pPr>
    </w:p>
    <w:p>
      <w:pPr>
        <w:ind w:left="980" w:right="20" w:firstLine="408"/>
        <w:spacing w:after="0" w:line="259" w:lineRule="auto"/>
        <w:tabs>
          <w:tab w:leader="none" w:pos="1771" w:val="left"/>
        </w:tabs>
        <w:numPr>
          <w:ilvl w:val="1"/>
          <w:numId w:val="532"/>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the Capital Stock of that Subsidiary Guarantor to a Person that is not (either before or after giving effect to such transaction) the Company or a Restricted Subsidiary of the Company, if the sale or other disposition does not violate Section 4.10 or 5.01 hereof and such Subsidiary Guarantor ceases to be a Restricted Subsidiary of the Company as a result of such sale or other disposition;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434" w:name="page435"/>
    <w:bookmarkEnd w:id="434"/>
    <w:p>
      <w:pPr>
        <w:ind w:left="980" w:right="680" w:firstLine="408"/>
        <w:spacing w:after="0" w:line="277" w:lineRule="auto"/>
        <w:tabs>
          <w:tab w:leader="none" w:pos="1771" w:val="left"/>
        </w:tabs>
        <w:numPr>
          <w:ilvl w:val="1"/>
          <w:numId w:val="5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designates any Restricted Subsidiary that is a Subsidiary Guarantor to be an Unrestricted Subsidiary in accordance with Section 4.18 hereof;</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upon Legal Defeasance or satisfaction and discharge of the Indenture as provided by Articles 8 and 12 of this Indenture;</w:t>
      </w:r>
    </w:p>
    <w:p>
      <w:pPr>
        <w:spacing w:after="0" w:line="128" w:lineRule="exact"/>
        <w:rPr>
          <w:rFonts w:ascii="Arial" w:cs="Arial" w:eastAsia="Arial" w:hAnsi="Arial"/>
          <w:sz w:val="17"/>
          <w:szCs w:val="17"/>
          <w:color w:val="auto"/>
        </w:rPr>
      </w:pPr>
    </w:p>
    <w:p>
      <w:pPr>
        <w:ind w:left="980" w:right="840" w:firstLine="408"/>
        <w:spacing w:after="0" w:line="277" w:lineRule="auto"/>
        <w:tabs>
          <w:tab w:leader="none" w:pos="1771" w:val="left"/>
        </w:tabs>
        <w:numPr>
          <w:ilvl w:val="1"/>
          <w:numId w:val="533"/>
        </w:numPr>
        <w:rPr>
          <w:rFonts w:ascii="Arial" w:cs="Arial" w:eastAsia="Arial" w:hAnsi="Arial"/>
          <w:sz w:val="18"/>
          <w:szCs w:val="18"/>
          <w:color w:val="auto"/>
        </w:rPr>
      </w:pPr>
      <w:r>
        <w:rPr>
          <w:rFonts w:ascii="Arial" w:cs="Arial" w:eastAsia="Arial" w:hAnsi="Arial"/>
          <w:sz w:val="18"/>
          <w:szCs w:val="18"/>
          <w:color w:val="auto"/>
        </w:rPr>
        <w:t>upon payment in full of the principal of, premium, if any, and accrued and unpaid interest on, the Notes and all other Obligations that are then due and payable thereunder;</w:t>
      </w:r>
    </w:p>
    <w:p>
      <w:pPr>
        <w:spacing w:after="0" w:line="62" w:lineRule="exact"/>
        <w:rPr>
          <w:rFonts w:ascii="Arial" w:cs="Arial" w:eastAsia="Arial" w:hAnsi="Arial"/>
          <w:sz w:val="18"/>
          <w:szCs w:val="18"/>
          <w:color w:val="auto"/>
        </w:rPr>
      </w:pPr>
    </w:p>
    <w:p>
      <w:pPr>
        <w:ind w:left="980" w:right="220" w:firstLine="408"/>
        <w:spacing w:after="0" w:line="275" w:lineRule="auto"/>
        <w:tabs>
          <w:tab w:leader="none" w:pos="1771" w:val="left"/>
        </w:tabs>
        <w:numPr>
          <w:ilvl w:val="1"/>
          <w:numId w:val="533"/>
        </w:numPr>
        <w:rPr>
          <w:rFonts w:ascii="Arial" w:cs="Arial" w:eastAsia="Arial" w:hAnsi="Arial"/>
          <w:sz w:val="17"/>
          <w:szCs w:val="17"/>
          <w:color w:val="auto"/>
        </w:rPr>
      </w:pPr>
      <w:r>
        <w:rPr>
          <w:rFonts w:ascii="Arial" w:cs="Arial" w:eastAsia="Arial" w:hAnsi="Arial"/>
          <w:sz w:val="17"/>
          <w:szCs w:val="17"/>
          <w:color w:val="auto"/>
        </w:rPr>
        <w:t>upon the merger or consolidation of any Subsidiary Guarantor with and into the Company or a Wholly-Owned Subsidiary Guarantor (or a Wholly-Owned Restricted Subsidiary that becomes a Subsidiary Guarantor concurrently with the transaction) that is the surviving Person in such merger or consolidation, or upon the liquidation of such Subsidiary Guarantor following the transfer of all or substantially all of its assets to the Company or a Wholly-Owned Subsidiary Guarantor (or a Wholly-Owned Restricted Subsidiary that becomes a Subsidiary Guarantor concurrently with the transaction); or</w:t>
      </w:r>
    </w:p>
    <w:p>
      <w:pPr>
        <w:spacing w:after="0" w:line="68" w:lineRule="exact"/>
        <w:rPr>
          <w:rFonts w:ascii="Arial" w:cs="Arial" w:eastAsia="Arial" w:hAnsi="Arial"/>
          <w:sz w:val="17"/>
          <w:szCs w:val="17"/>
          <w:color w:val="auto"/>
        </w:rPr>
      </w:pPr>
    </w:p>
    <w:p>
      <w:pPr>
        <w:ind w:left="1820" w:hanging="432"/>
        <w:spacing w:after="0"/>
        <w:tabs>
          <w:tab w:leader="none" w:pos="182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as described under Article 9 hereof.</w:t>
      </w:r>
    </w:p>
    <w:p>
      <w:pPr>
        <w:spacing w:after="0" w:line="225" w:lineRule="exact"/>
        <w:rPr>
          <w:rFonts w:ascii="Arial" w:cs="Arial" w:eastAsia="Arial" w:hAnsi="Arial"/>
          <w:sz w:val="18"/>
          <w:szCs w:val="18"/>
          <w:color w:val="auto"/>
        </w:rPr>
      </w:pPr>
    </w:p>
    <w:p>
      <w:pPr>
        <w:ind w:right="500" w:firstLine="987"/>
        <w:spacing w:after="0" w:line="342" w:lineRule="auto"/>
        <w:tabs>
          <w:tab w:leader="none" w:pos="1371" w:val="left"/>
        </w:tabs>
        <w:numPr>
          <w:ilvl w:val="0"/>
          <w:numId w:val="534"/>
        </w:numPr>
        <w:rPr>
          <w:rFonts w:ascii="Arial" w:cs="Arial" w:eastAsia="Arial" w:hAnsi="Arial"/>
          <w:sz w:val="16"/>
          <w:szCs w:val="16"/>
          <w:color w:val="auto"/>
        </w:rPr>
      </w:pPr>
      <w:r>
        <w:rPr>
          <w:rFonts w:ascii="Arial" w:cs="Arial" w:eastAsia="Arial" w:hAnsi="Arial"/>
          <w:sz w:val="16"/>
          <w:szCs w:val="16"/>
          <w:color w:val="auto"/>
        </w:rPr>
        <w:t>Each Holder hereby authorizes the Trustee to take all actions to effectuate any release in accordance with the provisions of this Section 11.08, subject to customary and reasonably satisfactory protections and indemnifications provided by the Company to the Trustee.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i w:val="1"/>
          <w:iCs w:val="1"/>
          <w:color w:val="auto"/>
        </w:rPr>
        <w:t>Satisfaction and Discharge.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117" w:lineRule="exact"/>
        <w:rPr>
          <w:sz w:val="20"/>
          <w:szCs w:val="20"/>
          <w:color w:val="auto"/>
        </w:rPr>
      </w:pPr>
    </w:p>
    <w:p>
      <w:pPr>
        <w:ind w:left="1640" w:hanging="252"/>
        <w:spacing w:after="0"/>
        <w:tabs>
          <w:tab w:leader="none" w:pos="16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1420" w:right="180" w:firstLine="391"/>
        <w:spacing w:after="0" w:line="263" w:lineRule="auto"/>
        <w:tabs>
          <w:tab w:leader="none" w:pos="2233" w:val="left"/>
        </w:tabs>
        <w:numPr>
          <w:ilvl w:val="1"/>
          <w:numId w:val="535"/>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75" w:lineRule="exact"/>
        <w:rPr>
          <w:rFonts w:ascii="Arial" w:cs="Arial" w:eastAsia="Arial" w:hAnsi="Arial"/>
          <w:sz w:val="18"/>
          <w:szCs w:val="18"/>
          <w:color w:val="auto"/>
        </w:rPr>
      </w:pPr>
    </w:p>
    <w:p>
      <w:pPr>
        <w:ind w:left="1420" w:firstLine="391"/>
        <w:spacing w:after="0" w:line="254" w:lineRule="auto"/>
        <w:tabs>
          <w:tab w:leader="none" w:pos="2268" w:val="left"/>
        </w:tabs>
        <w:numPr>
          <w:ilvl w:val="1"/>
          <w:numId w:val="535"/>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have become due and payable by reason of the mailing of a notice of redemption or otherwise or will become due and payable within one (1) year and the Company has irrevocably deposited or caused to be deposited with the Trustee as trust funds in trust solely for the benefit of the Holders, cash in U.S. dollars, non-callable U.S. Government Obligations, or a combination of cash in U.S. dollars and non-callable U.S. Government Obligations,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86" w:lineRule="exact"/>
        <w:rPr>
          <w:rFonts w:ascii="Arial" w:cs="Arial" w:eastAsia="Arial" w:hAnsi="Arial"/>
          <w:sz w:val="18"/>
          <w:szCs w:val="18"/>
          <w:color w:val="auto"/>
        </w:rPr>
      </w:pPr>
    </w:p>
    <w:p>
      <w:pPr>
        <w:ind w:left="980" w:right="40" w:firstLine="408"/>
        <w:spacing w:after="0" w:line="259" w:lineRule="auto"/>
        <w:tabs>
          <w:tab w:leader="none" w:pos="1771" w:val="left"/>
        </w:tabs>
        <w:numPr>
          <w:ilvl w:val="0"/>
          <w:numId w:val="53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Subsidiary Guarantor is a party or by which the Company or any Subsidiary Guarantor is bound;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435" w:name="page436"/>
    <w:bookmarkEnd w:id="435"/>
    <w:p>
      <w:pPr>
        <w:ind w:left="1780" w:hanging="392"/>
        <w:spacing w:after="0"/>
        <w:tabs>
          <w:tab w:leader="none" w:pos="1780" w:val="left"/>
        </w:tabs>
        <w:numPr>
          <w:ilvl w:val="0"/>
          <w:numId w:val="5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or any Subsidiary Guarantor has paid or caused to be paid all sums payable by it under this Indenture; and</w:t>
      </w:r>
    </w:p>
    <w:p>
      <w:pPr>
        <w:spacing w:after="0" w:line="128" w:lineRule="exact"/>
        <w:rPr>
          <w:rFonts w:ascii="Arial" w:cs="Arial" w:eastAsia="Arial" w:hAnsi="Arial"/>
          <w:sz w:val="17"/>
          <w:szCs w:val="17"/>
          <w:color w:val="auto"/>
        </w:rPr>
      </w:pPr>
    </w:p>
    <w:p>
      <w:pPr>
        <w:ind w:left="980" w:firstLine="408"/>
        <w:spacing w:after="0" w:line="277" w:lineRule="auto"/>
        <w:tabs>
          <w:tab w:leader="none" w:pos="1771"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addition, the Company must deliver an Officer’s Certificate of the Company and an Opinion of Counsel to the Trustee stating that all conditions precedent to satisfaction and discharge have been satisfied.</w:t>
      </w:r>
    </w:p>
    <w:p>
      <w:pPr>
        <w:spacing w:after="0" w:line="170"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Notwithstanding the satisfaction and discharge of this Indenture, if money has been deposited with the Trustee pursuant to sub clause (b) of clause (1) of this Section 12.01, the provisions of Sections 12.02 and 8.06 hereof will survive.</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i w:val="1"/>
          <w:iCs w:val="1"/>
          <w:color w:val="auto"/>
        </w:rPr>
        <w:t>Application of Trust Money.</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If the Trustee or Paying Agent is unable to apply any cash in U.S. dollars or non-callable U.S. Government Obligations in accordance with Section 12.01 hereof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12.01 hereof;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Company has made any payment of principal of, premium, if any, or interest on, any Notes because of the reinstatement of its obligations, the Company shall be subrogated to the rights of the Holders of such Notes to receive such payment from the cash in U.S. dollars or non-callable U.S. Government Obligations held by the Trustee or Paying Agent.</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7"/>
          <w:szCs w:val="17"/>
          <w:i w:val="1"/>
          <w:iCs w:val="1"/>
          <w:color w:val="auto"/>
        </w:rPr>
        <w:t>[Intentionally Omitted].</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i w:val="1"/>
          <w:iCs w:val="1"/>
          <w:color w:val="auto"/>
        </w:rPr>
        <w:t>Notices.</w:t>
      </w:r>
    </w:p>
    <w:p>
      <w:pPr>
        <w:spacing w:after="0" w:line="117"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Any notice or communication by the Company or the Trustee to the others is duly given if in writing, in the English language, and delivered in Person or by first class mail (registered or certified, return receipt requested), facsimile transmission, electronic mail (in pdf format) or overnight air courier guaranteeing next day delivery, to the others’ address:</w:t>
      </w:r>
    </w:p>
    <w:p>
      <w:pPr>
        <w:spacing w:after="0" w:line="76" w:lineRule="exact"/>
        <w:rPr>
          <w:sz w:val="20"/>
          <w:szCs w:val="20"/>
          <w:color w:val="auto"/>
        </w:rPr>
      </w:pPr>
    </w:p>
    <w:p>
      <w:pPr>
        <w:ind w:left="980" w:right="240"/>
        <w:spacing w:after="0" w:line="263" w:lineRule="auto"/>
        <w:rPr>
          <w:sz w:val="20"/>
          <w:szCs w:val="20"/>
          <w:color w:val="auto"/>
        </w:rPr>
      </w:pPr>
      <w:r>
        <w:rPr>
          <w:rFonts w:ascii="Arial" w:cs="Arial" w:eastAsia="Arial" w:hAnsi="Arial"/>
          <w:sz w:val="18"/>
          <w:szCs w:val="18"/>
          <w:color w:val="auto"/>
        </w:rPr>
        <w:t>If to the Company, Studio City Investments Limited, Studio City Company Limited, Studio City Holdings Two Limited, Studio City Holdings Three Limited, Studio City Holdings Four Limited, SCP Holdings Limited, SCIP Holdings Limited, SCP One Limited and/or SCP Two Limited: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Jayla Place, Wickhams Cay 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British Virgin Islands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40" w:top="274" w:right="479" w:bottom="1440" w:gutter="0" w:footer="0" w:header="0"/>
        </w:sectPr>
      </w:pPr>
    </w:p>
    <w:bookmarkStart w:id="436" w:name="page437"/>
    <w:bookmarkEnd w:id="43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Studio City (HK) Limited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If to Studio City Services Limited, Studio City Entertainment Limited, Studio City Hotels Limited, Studio City Hospitality and Services Limited, Studio City Retail Services Limited and/or Studio City Developments Limited: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Avenida da Praia Grande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nº 594, 15º andar 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Macau</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Studio City (HK) Limited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Ashurst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11/F Jardine House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Connaught Place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2868 0898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Anna-Marie Slot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Studio City (HK) Two Limited: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36th Floor, The Centrium</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Trustee, the Paying Agent, Registrar and Transfer Agent: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Deutsche Bank Trust Company Americas</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Wall Street, 24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MS NYC60-2405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(732) 578-4635</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Corporates Team – Studio City Finance Limited Deal ID: SF2716</w:t>
      </w:r>
    </w:p>
    <w:p>
      <w:pPr>
        <w:spacing w:after="0" w:line="211"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The Company, any Subsidiary Guarantor, the Trustee and any Agent, by notice to the others, may designate additional or different addresses for subsequent notices or communications.</w:t>
      </w:r>
    </w:p>
    <w:p>
      <w:pPr>
        <w:spacing w:after="0" w:line="170"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All notices and communications (other than those sent to Holders) will be deemed to have been duly given: at the time delivered by hand, if personally delivered; five (5)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00"/>
          </w:cols>
          <w:pgMar w:left="440" w:top="274" w:right="559" w:bottom="1440" w:gutter="0" w:footer="0" w:header="0"/>
        </w:sectPr>
      </w:pPr>
    </w:p>
    <w:bookmarkStart w:id="437" w:name="page438"/>
    <w:bookmarkEnd w:id="437"/>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or communication to a Holder will be electronically delivered, mailed by first class mail, certified or registered, return receipt requested, or by overnight air courier guaranteeing next day delivery to its address shown on the register kept by the Registrar. All notices to the Holders (while any Notes are represented by one or more Global Notes) shall be delivered to DTC, for communication to entitled account Holders, and any obligation to give notice to the Holders will be discharged upon delivery of such notice to DTC. Failure to mail a notice or communication to a Holder or any defect in it will not affect its sufficiency with respect to other Holders. If a notice or communication is mailed or delivered in the manner provided above within the time prescribed, it is duly given, whether or not the addressee receives it.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Company mails or delivers a notice or communication to Holders, it will mail or deliver a copy to the Trustee and each Agent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same time.</w:t>
      </w:r>
    </w:p>
    <w:p>
      <w:pPr>
        <w:spacing w:after="0" w:line="31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i w:val="1"/>
          <w:iCs w:val="1"/>
          <w:color w:val="auto"/>
        </w:rPr>
        <w:t>Communication by Holders of Notes with Other Holders of Notes.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03" w:lineRule="exact"/>
        <w:rPr>
          <w:sz w:val="20"/>
          <w:szCs w:val="20"/>
          <w:color w:val="auto"/>
        </w:rPr>
      </w:pPr>
    </w:p>
    <w:p>
      <w:pPr>
        <w:ind w:left="980" w:right="120" w:firstLine="408"/>
        <w:spacing w:after="0" w:line="263" w:lineRule="auto"/>
        <w:tabs>
          <w:tab w:leader="none" w:pos="1771"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13.05 hereof) stating that, in the opinion of the signers, all conditions precedent and covenants, if any, provided for in this Indenture relating to the proposed action have been satisfied; and</w:t>
      </w:r>
    </w:p>
    <w:p>
      <w:pPr>
        <w:spacing w:after="0" w:line="75" w:lineRule="exact"/>
        <w:rPr>
          <w:rFonts w:ascii="Arial" w:cs="Arial" w:eastAsia="Arial" w:hAnsi="Arial"/>
          <w:sz w:val="18"/>
          <w:szCs w:val="18"/>
          <w:color w:val="auto"/>
        </w:rPr>
      </w:pPr>
    </w:p>
    <w:p>
      <w:pPr>
        <w:ind w:left="980" w:right="40" w:firstLine="408"/>
        <w:spacing w:after="0" w:line="342" w:lineRule="auto"/>
        <w:tabs>
          <w:tab w:leader="none" w:pos="1771" w:val="left"/>
        </w:tabs>
        <w:numPr>
          <w:ilvl w:val="0"/>
          <w:numId w:val="537"/>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13.05 hereof) stating that, in the opinion of such counsel, all such conditions precedent and covenants have been satisfied.</w:t>
      </w:r>
    </w:p>
    <w:p>
      <w:pPr>
        <w:spacing w:after="0" w:line="23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780" w:hanging="392"/>
        <w:spacing w:after="0"/>
        <w:tabs>
          <w:tab w:leader="none" w:pos="178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771"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980" w:right="180" w:firstLine="408"/>
        <w:spacing w:after="0" w:line="308" w:lineRule="auto"/>
        <w:tabs>
          <w:tab w:leader="none" w:pos="1771"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38" w:lineRule="exact"/>
        <w:rPr>
          <w:rFonts w:ascii="Arial" w:cs="Arial" w:eastAsia="Arial" w:hAnsi="Arial"/>
          <w:sz w:val="17"/>
          <w:szCs w:val="17"/>
          <w:color w:val="auto"/>
        </w:rPr>
      </w:pPr>
    </w:p>
    <w:p>
      <w:pPr>
        <w:ind w:left="1780" w:hanging="392"/>
        <w:spacing w:after="0"/>
        <w:tabs>
          <w:tab w:leader="none" w:pos="178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5"/>
          <w:szCs w:val="15"/>
          <w:i w:val="1"/>
          <w:iCs w:val="1"/>
          <w:color w:val="auto"/>
        </w:rPr>
        <w:t>Rules by Trustee and Agents.</w:t>
      </w:r>
    </w:p>
    <w:p>
      <w:pPr>
        <w:spacing w:after="0" w:line="117"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20"/>
          </w:cols>
          <w:pgMar w:left="440" w:top="274" w:right="439" w:bottom="1440" w:gutter="0" w:footer="0" w:header="0"/>
        </w:sectPr>
      </w:pPr>
    </w:p>
    <w:bookmarkStart w:id="438" w:name="page439"/>
    <w:bookmarkEnd w:id="438"/>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13.07</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117" w:lineRule="exact"/>
        <w:rPr>
          <w:sz w:val="20"/>
          <w:szCs w:val="20"/>
          <w:color w:val="auto"/>
        </w:rPr>
      </w:pPr>
    </w:p>
    <w:p>
      <w:pPr>
        <w:ind w:right="220" w:firstLine="991"/>
        <w:spacing w:after="0" w:line="257" w:lineRule="auto"/>
        <w:rPr>
          <w:sz w:val="20"/>
          <w:szCs w:val="20"/>
          <w:color w:val="auto"/>
        </w:rPr>
      </w:pPr>
      <w:r>
        <w:rPr>
          <w:rFonts w:ascii="Arial" w:cs="Arial" w:eastAsia="Arial" w:hAnsi="Arial"/>
          <w:sz w:val="18"/>
          <w:szCs w:val="18"/>
          <w:color w:val="auto"/>
        </w:rPr>
        <w:t>No past, present or future director, officer, employee, incorporator or stockholder of the Company or any Subsidiary Guarantor, as such, will have any liability for any obligations of the Company or the Subsidiary Guarantors under the Notes, this Indenture or the Note Guarantees,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96"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6"/>
          <w:szCs w:val="16"/>
          <w:i w:val="1"/>
          <w:iCs w:val="1"/>
          <w:color w:val="auto"/>
        </w:rPr>
        <w:t>Governing Law.</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LAWS OF THE STATE OF NEW YORK WILL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29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11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5"/>
          <w:szCs w:val="15"/>
          <w:i w:val="1"/>
          <w:iCs w:val="1"/>
          <w:color w:val="auto"/>
        </w:rPr>
        <w:t>Successors.</w:t>
      </w:r>
    </w:p>
    <w:p>
      <w:pPr>
        <w:spacing w:after="0" w:line="117"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All agreements of the Company in this Indenture and the Notes will bind its successors. All agreements of the Trustee and each Agent in this Indenture will bind their respective successors. All agreements of each Subsidiary Guarantor in this Indenture will bind their respective successors, except as otherwise provided in Section 11.05 hereof.</w:t>
      </w:r>
    </w:p>
    <w:p>
      <w:pPr>
        <w:spacing w:after="0" w:line="29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i w:val="1"/>
          <w:iCs w:val="1"/>
          <w:color w:val="auto"/>
        </w:rPr>
        <w:t>Severability.</w:t>
      </w:r>
    </w:p>
    <w:p>
      <w:pPr>
        <w:spacing w:after="0" w:line="117"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7"/>
          <w:szCs w:val="17"/>
          <w:i w:val="1"/>
          <w:iCs w:val="1"/>
          <w:color w:val="auto"/>
        </w:rPr>
        <w:t>Counterpart Originals.</w:t>
      </w:r>
    </w:p>
    <w:p>
      <w:pPr>
        <w:spacing w:after="0" w:line="117"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62"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Facsimile, documents executed, scanned and transmitted electronically and electronic signatures, including those created or transmitted through a software platform or application, shall be deemed original signatures for purposes of this Indenture, and all matters and agreements related thereto (including the Notes), with such facsimile, scanned and electronic signatures having the same legal effect as original signatures. The parties agree that this Indenture, the Notes or any instrument, agreement or document necessary for the consummation of the transactions contemplated by this Indenture, the Notes or related hereto or thereto (including, without limitation, supplements, addendums, amendments, notices, instructions, communications with respect to the delivery of securities or the wire transfer of funds or other communications) (“</w:t>
      </w:r>
      <w:r>
        <w:rPr>
          <w:rFonts w:ascii="Arial" w:cs="Arial" w:eastAsia="Arial" w:hAnsi="Arial"/>
          <w:sz w:val="16"/>
          <w:szCs w:val="16"/>
          <w:b w:val="1"/>
          <w:bCs w:val="1"/>
          <w:u w:val="single" w:color="auto"/>
          <w:color w:val="auto"/>
        </w:rPr>
        <w:t>Executed Documentation</w:t>
      </w:r>
      <w:r>
        <w:rPr>
          <w:rFonts w:ascii="Arial" w:cs="Arial" w:eastAsia="Arial" w:hAnsi="Arial"/>
          <w:sz w:val="16"/>
          <w:szCs w:val="16"/>
          <w:color w:val="auto"/>
        </w:rPr>
        <w:t>”)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or any Agent acts on any Executed Documentation sent by electronic transmission, the Trustee or any Agent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or any Agent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or any Agent acting on unauthorized instructions and the risk of interception and misuse by third parties.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439" w:name="page440"/>
    <w:bookmarkEnd w:id="439"/>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13.13</w:t>
      </w:r>
      <w:r>
        <w:rPr>
          <w:sz w:val="20"/>
          <w:szCs w:val="20"/>
          <w:color w:val="auto"/>
        </w:rPr>
        <w:tab/>
      </w:r>
      <w:r>
        <w:rPr>
          <w:rFonts w:ascii="Arial" w:cs="Arial" w:eastAsia="Arial" w:hAnsi="Arial"/>
          <w:sz w:val="16"/>
          <w:szCs w:val="16"/>
          <w:i w:val="1"/>
          <w:iCs w:val="1"/>
          <w:color w:val="auto"/>
        </w:rPr>
        <w:t>Table of Contents, Headings, etc.</w:t>
      </w:r>
    </w:p>
    <w:p>
      <w:pPr>
        <w:spacing w:after="0" w:line="117"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29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13.14</w:t>
      </w:r>
      <w:r>
        <w:rPr>
          <w:sz w:val="20"/>
          <w:szCs w:val="20"/>
          <w:color w:val="auto"/>
        </w:rPr>
        <w:tab/>
      </w:r>
      <w:r>
        <w:rPr>
          <w:rFonts w:ascii="Arial" w:cs="Arial" w:eastAsia="Arial" w:hAnsi="Arial"/>
          <w:sz w:val="17"/>
          <w:szCs w:val="17"/>
          <w:i w:val="1"/>
          <w:iCs w:val="1"/>
          <w:color w:val="auto"/>
        </w:rPr>
        <w:t>Patriot Act</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(“Applicable Law”), the Trustee and Agents are required to obtain, verify, record and update certain information relating to individuals and entities which maintain a business relationship with the Trustee and Agents. Accordingly, each of the parties agree to provide to the Trustee and Agents, upon their request from time to time such identifying information and documentation as may be available for such party in order to enable the Trustee and Agents to comply with Applicable Law.</w:t>
      </w:r>
    </w:p>
    <w:p>
      <w:pPr>
        <w:spacing w:after="0" w:line="300"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13.15</w:t>
      </w:r>
      <w:r>
        <w:rPr>
          <w:sz w:val="20"/>
          <w:szCs w:val="20"/>
          <w:color w:val="auto"/>
        </w:rPr>
        <w:tab/>
      </w:r>
      <w:r>
        <w:rPr>
          <w:rFonts w:ascii="Arial" w:cs="Arial" w:eastAsia="Arial" w:hAnsi="Arial"/>
          <w:sz w:val="16"/>
          <w:szCs w:val="16"/>
          <w:i w:val="1"/>
          <w:iCs w:val="1"/>
          <w:color w:val="auto"/>
        </w:rPr>
        <w:t>Submission to Jurisdiction; Waiver of Jury Trial</w:t>
      </w:r>
    </w:p>
    <w:p>
      <w:pPr>
        <w:spacing w:after="0" w:line="117" w:lineRule="exact"/>
        <w:rPr>
          <w:sz w:val="20"/>
          <w:szCs w:val="20"/>
          <w:color w:val="auto"/>
        </w:rPr>
      </w:pPr>
    </w:p>
    <w:p>
      <w:pPr>
        <w:ind w:firstLine="991"/>
        <w:spacing w:after="0" w:line="251" w:lineRule="auto"/>
        <w:rPr>
          <w:sz w:val="20"/>
          <w:szCs w:val="20"/>
          <w:color w:val="auto"/>
        </w:rPr>
      </w:pPr>
      <w:r>
        <w:rPr>
          <w:rFonts w:ascii="Arial" w:cs="Arial" w:eastAsia="Arial" w:hAnsi="Arial"/>
          <w:sz w:val="18"/>
          <w:szCs w:val="18"/>
          <w:color w:val="auto"/>
        </w:rPr>
        <w:t>THE COMPANY AND EACH SUBSIDIARY GUARANTOR HEREBY SUBMITS TO THE NON-EXCLUSIVE JURISDICTION OF THE FEDERAL AND STATE COURTS IN THE BOROUGH OF MANHATTAN IN THE CITY OF NEW YORK IN ANY SUIT OR PROCEEDING ARISING OUT OF OR RELATING TO THIS AGREEMENT OR THE TRANSACTIONS CONTEMPLATED HEREBY. THE COMPANY AND EACH SUBSIDIARY GUARANTOR IRREVOCABLY AND UNCONDITIONALLY WAIVES ANY OBJECTION TO THE LAYING OF VENUE OF ANY SUIT OR PROCEEDING ARISING OUT OF OR RELATING TO THIS INDENTURE, THE NOTE GUARANTEES, THE NOTES AND ANY OF THE TRANSACTIONS CONTEMPLATED HEREBY OR THEREBY IN FEDERAL AND STATE COURTS IN THE BOROUGH OF MANHATTAN IN THE CITY OF NEW YORK AND IRREVOCABLY AND UNCONDITIONALLY WAIVES AND AGREES NOT TO PLEAD OR CLAIM IN ANY SUCH COURT THAT ANY SUCH SUIT OR PROCEEDING IN ANY SUCH COURT HAS BEEN BROUGHT IN AN INCONVENIENT FORUM. NOTHING HEREIN SHALL AFFECT THE RIGHT OF THE TRUSTEE OR ANY HOLDER OF THE NOTES TO SERVE PROCESS IN ANY OTHER MANNER PERMITTED BY LAW OR TO COMMENCE LEGAL PROCEEDINGS OR OTHERWISE PROCEED AGAINST THE COMPANY IN ANY OTHER JURISDICTION. THE COMPANY AND EACH SUBSIDIARY GUARANTOR IRREVOCABLY APPOINTS LAW DEBENTURE CORPORATE SERVICES INC., 801 2</w:t>
      </w:r>
      <w:r>
        <w:rPr>
          <w:rFonts w:ascii="Arial" w:cs="Arial" w:eastAsia="Arial" w:hAnsi="Arial"/>
          <w:sz w:val="15"/>
          <w:szCs w:val="15"/>
          <w:color w:val="auto"/>
        </w:rPr>
        <w:t>ND</w:t>
      </w:r>
      <w:r>
        <w:rPr>
          <w:rFonts w:ascii="Arial" w:cs="Arial" w:eastAsia="Arial" w:hAnsi="Arial"/>
          <w:sz w:val="18"/>
          <w:szCs w:val="18"/>
          <w:color w:val="auto"/>
        </w:rPr>
        <w:t xml:space="preserve"> AVENUE, SUITE 403, NEW YORK, NEW YORK, 10017 ,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13.02, SHALL BE DEEMED IN EVERY RESPECT EFFECTIVE SERVICE OF PROCESS UPON THE COMPANY OR ANY SUBSIDIARY GUARANTOR, AS THE CASE MAY BE, IN ANY SUCH SUIT OR PROCEEDING. THE COMPANY AND EACH SUBSIDIARY GUARANTOR FURTHER AGREES TO TAKE ANY AND ALL ACTION AS MAY BE NECESSARY TO MAINTAIN SUCH DESIGNATION AND APPOINTMENT OF SUCH AGENT IN FULL FORCE AND EFFECT FOR SO LONG AS THE NOTES ARE OUTSTANDING FROM THE DATE OF THIS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4" w:right="479" w:bottom="1440" w:gutter="0" w:footer="0" w:header="0"/>
        </w:sectPr>
      </w:pPr>
    </w:p>
    <w:bookmarkStart w:id="440" w:name="page441"/>
    <w:bookmarkEnd w:id="440"/>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HERETO HEREBY WAIVES ITS RIGHTS TO A JURY TRIAL OF ANY CLAIM OR CAUSE OF ACTION BASED UPON OR ARISING OUT OF THIS INDENTURE, THE NOTES, THE NOTE GUARANTEES, OR THE TRANSACTIONS CONTEMPLATED HEREBY OR THEREBY.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THIS SECTION 13.15 HAS BEEN FULLY DISCUSSED BY EACH OF THE PARTIES HERETO AND THESE PROVISIONS SHALL NOT BE SUBJECT TO ANY EXCEPTIONS. EACH PARTY HERETO HEREBY FURTHER WARRANTS AND REPRESENTS THAT SUCH PARTY HAS REVIEWED THIS WAIVER WITH ITS LEGAL COUNSEL, AND THAT SUCH PARTY KNOWINGLY AND VOLUNTARILY WAIVES ITS JURY TRIAL RIGHTS FOLLOWING CONSULTATION WITH LEGAL COUNSEL. THIS WAIVER IS IRREVOCABLE, MEANING THAT IT MAY NOT BE MODIFIED EITHER ORALLY OR IN WRITING, AND THIS WAIVER SHALL APPLY TO ANY SUBSEQUENT AMENDMENTS, SUPPLEMENTS OR MODIFICATIONS TO (OR ASSIGNMENTS OF) THIS INDENTURE. IN THE EVENT OF LITIGATION, THIS INDENTURE MAY BE FILED AS A WRITTEN CONSENT TO A TRIAL (WITHOUT A JURY) BY THE COURT.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440" w:top="274" w:right="499" w:bottom="1440" w:gutter="0" w:footer="0" w:header="0"/>
        </w:sectPr>
      </w:pPr>
    </w:p>
    <w:bookmarkStart w:id="441" w:name="page442"/>
    <w:bookmarkEnd w:id="441"/>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July 15,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FINANCE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INVESTMENTS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TWO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STUDIO CITY HOLDINGS THREE LIMITED</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FOUR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10100"/>
          </w:cols>
          <w:pgMar w:left="440" w:top="274" w:right="1359" w:bottom="1440" w:gutter="0" w:footer="0" w:header="0"/>
        </w:sectPr>
      </w:pPr>
    </w:p>
    <w:bookmarkStart w:id="442" w:name="page443"/>
    <w:bookmarkEnd w:id="4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260"/>
          </w:cols>
          <w:pgMar w:left="1440" w:top="274" w:right="1199" w:bottom="1440" w:gutter="0" w:footer="0" w:header="0"/>
        </w:sectPr>
      </w:pPr>
    </w:p>
    <w:bookmarkStart w:id="443" w:name="page444"/>
    <w:bookmarkEnd w:id="44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260"/>
          </w:cols>
          <w:pgMar w:left="1440" w:top="274" w:right="1199" w:bottom="1440" w:gutter="0" w:footer="0" w:header="0"/>
        </w:sectPr>
      </w:pPr>
    </w:p>
    <w:bookmarkStart w:id="444" w:name="page445"/>
    <w:bookmarkEnd w:id="44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SCP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DEVELOPMENT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SCIP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RETAIL SERVICES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(HK)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080"/>
          </w:cols>
          <w:pgMar w:left="1440" w:top="274" w:right="1379" w:bottom="1440" w:gutter="0" w:footer="0" w:header="0"/>
        </w:sectPr>
      </w:pPr>
    </w:p>
    <w:bookmarkStart w:id="445" w:name="page446"/>
    <w:bookmarkEnd w:id="44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TRUST COMPANY AMETICAS,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Bridgette Casasnovas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Bridgette Casasnovas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Annie Jaghatspanyan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DEUTSCHE BANK TRUST COMPANY AMETICAS,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Paying Agent, Registrar and Transfer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Bridgette Casasnovas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Bridgette Casasnovas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Annie Jaghatspanyan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660"/>
          </w:cols>
          <w:pgMar w:left="1440" w:top="274" w:right="799" w:bottom="1440" w:gutter="0" w:footer="0" w:header="0"/>
        </w:sectPr>
      </w:pPr>
    </w:p>
    <w:bookmarkStart w:id="446" w:name="page447"/>
    <w:bookmarkEnd w:id="4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right="4140"/>
        <w:spacing w:after="0" w:line="578" w:lineRule="auto"/>
        <w:rPr>
          <w:sz w:val="20"/>
          <w:szCs w:val="20"/>
          <w:color w:val="auto"/>
        </w:rPr>
      </w:pPr>
      <w:r>
        <w:rPr>
          <w:rFonts w:ascii="Arial" w:cs="Arial" w:eastAsia="Arial" w:hAnsi="Arial"/>
          <w:sz w:val="16"/>
          <w:szCs w:val="16"/>
          <w:i w:val="1"/>
          <w:iCs w:val="1"/>
          <w:color w:val="auto"/>
        </w:rPr>
        <w:t>[Insert the Global Note Legend, if applicable pursuant to the provisions of the Indenture] [Insert the Private Placement Legend, if applicable pursuant to the provisions of the Indenture]</w:t>
      </w:r>
    </w:p>
    <w:p>
      <w:pPr>
        <w:spacing w:after="0" w:line="1"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CUSIP:</w:t>
      </w:r>
    </w:p>
    <w:p>
      <w:pPr>
        <w:spacing w:after="0" w:line="27"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ISIN:</w:t>
      </w:r>
    </w:p>
    <w:p>
      <w:pPr>
        <w:spacing w:after="0" w:line="9"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COMMON CODE: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6.500% Senior Notes due 2028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-10160</wp:posOffset>
            </wp:positionV>
            <wp:extent cx="3429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-10160</wp:posOffset>
            </wp:positionV>
            <wp:extent cx="5715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STUDIO CITY FINANCE LIMITED</w:t>
      </w:r>
    </w:p>
    <w:p>
      <w:pPr>
        <w:spacing w:after="0" w:line="225" w:lineRule="exact"/>
        <w:rPr>
          <w:sz w:val="20"/>
          <w:szCs w:val="20"/>
          <w:color w:val="auto"/>
        </w:rPr>
      </w:pPr>
    </w:p>
    <w:p>
      <w:pPr>
        <w:spacing w:after="0"/>
        <w:tabs>
          <w:tab w:leader="none" w:pos="6460" w:val="left"/>
        </w:tabs>
        <w:rPr>
          <w:sz w:val="20"/>
          <w:szCs w:val="20"/>
          <w:color w:val="auto"/>
        </w:rPr>
      </w:pPr>
      <w:r>
        <w:rPr>
          <w:rFonts w:ascii="Arial" w:cs="Arial" w:eastAsia="Arial" w:hAnsi="Arial"/>
          <w:sz w:val="18"/>
          <w:szCs w:val="18"/>
          <w:color w:val="auto"/>
        </w:rPr>
        <w:t>Promises to pay to Cede &amp; Co. or its registered assigns, the principal sum of</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NUMBER IN WORDS</w:t>
      </w:r>
      <w:r>
        <w:rPr>
          <w:rFonts w:ascii="Arial" w:cs="Arial" w:eastAsia="Arial" w:hAnsi="Arial"/>
          <w:sz w:val="16"/>
          <w:szCs w:val="16"/>
          <w:color w:val="auto"/>
        </w:rPr>
        <w:t>] on January 15,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-10160</wp:posOffset>
            </wp:positionV>
            <wp:extent cx="5715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January 15 and July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December 31 and June 30</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3429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-10160</wp:posOffset>
            </wp:positionV>
            <wp:extent cx="1143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447" w:name="page448"/>
    <w:bookmarkEnd w:id="44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signed manually or by facsimile by the duly authorized officers referred to below.</w:t>
      </w:r>
    </w:p>
    <w:p>
      <w:pPr>
        <w:spacing w:after="0" w:line="17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3429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5">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-10160</wp:posOffset>
            </wp:positionV>
            <wp:extent cx="1143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FINANCE LIMITED, as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720"/>
          </w:cols>
          <w:pgMar w:left="440" w:top="274" w:right="739" w:bottom="1440" w:gutter="0" w:footer="0" w:header="0"/>
        </w:sectPr>
      </w:pPr>
    </w:p>
    <w:bookmarkStart w:id="448" w:name="page449"/>
    <w:bookmarkEnd w:id="448"/>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9"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 as Trustee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019"/>
          </w:cols>
          <w:pgMar w:left="440" w:top="270" w:right="1440" w:bottom="1440" w:gutter="0" w:footer="0" w:header="0"/>
        </w:sectPr>
      </w:pPr>
    </w:p>
    <w:bookmarkStart w:id="449" w:name="page450"/>
    <w:bookmarkEnd w:id="449"/>
    <w:p>
      <w:pPr>
        <w:jc w:val="center"/>
        <w:ind w:righ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[Back of Note]</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STUDIO CITY FINANCE LIMITED</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6.500% SENIOR NOTES DUE 2028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17" w:lineRule="exact"/>
        <w:rPr>
          <w:sz w:val="20"/>
          <w:szCs w:val="20"/>
          <w:color w:val="auto"/>
        </w:rPr>
      </w:pPr>
    </w:p>
    <w:p>
      <w:pPr>
        <w:ind w:right="20" w:firstLine="419"/>
        <w:spacing w:after="0" w:line="269" w:lineRule="auto"/>
        <w:tabs>
          <w:tab w:leader="none" w:pos="813" w:val="left"/>
        </w:tabs>
        <w:numPr>
          <w:ilvl w:val="0"/>
          <w:numId w:val="539"/>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3"/>
          <w:szCs w:val="13"/>
          <w:i w:val="1"/>
          <w:iCs w:val="1"/>
          <w:color w:val="auto"/>
        </w:rPr>
        <w:t>NTEREST</w:t>
      </w:r>
      <w:r>
        <w:rPr>
          <w:rFonts w:ascii="Arial" w:cs="Arial" w:eastAsia="Arial" w:hAnsi="Arial"/>
          <w:sz w:val="17"/>
          <w:szCs w:val="17"/>
          <w:color w:val="auto"/>
        </w:rPr>
        <w:t>. Studio City Finance Limited, a BVI business company with limited liability incorporated under the laws of the British</w:t>
      </w:r>
      <w:r>
        <w:rPr>
          <w:rFonts w:ascii="Arial" w:cs="Arial" w:eastAsia="Arial" w:hAnsi="Arial"/>
          <w:sz w:val="17"/>
          <w:szCs w:val="17"/>
          <w:i w:val="1"/>
          <w:iCs w:val="1"/>
          <w:color w:val="auto"/>
        </w:rPr>
        <w:t xml:space="preserve"> </w:t>
      </w:r>
      <w:r>
        <w:rPr>
          <w:rFonts w:ascii="Arial" w:cs="Arial" w:eastAsia="Arial" w:hAnsi="Arial"/>
          <w:sz w:val="17"/>
          <w:szCs w:val="17"/>
          <w:color w:val="auto"/>
        </w:rPr>
        <w:t>Virgin Islands (the “</w:t>
      </w:r>
      <w:r>
        <w:rPr>
          <w:rFonts w:ascii="Arial" w:cs="Arial" w:eastAsia="Arial" w:hAnsi="Arial"/>
          <w:sz w:val="17"/>
          <w:szCs w:val="17"/>
          <w:i w:val="1"/>
          <w:iCs w:val="1"/>
          <w:color w:val="auto"/>
        </w:rPr>
        <w:t>Company</w:t>
      </w:r>
      <w:r>
        <w:rPr>
          <w:rFonts w:ascii="Arial" w:cs="Arial" w:eastAsia="Arial" w:hAnsi="Arial"/>
          <w:sz w:val="17"/>
          <w:szCs w:val="17"/>
          <w:color w:val="auto"/>
        </w:rPr>
        <w:t>”), promises to pay interest on the principal amount of this Note at 6.500% per annum from July 15, 2020 until maturity. The Company will pay interest and Additional Amounts, if any, semi-annually in arrears on January 15 and July 15 of each year, or if any such day is not a Business Day, on the next succeeding Business Day (each, an “</w:t>
      </w:r>
      <w:r>
        <w:rPr>
          <w:rFonts w:ascii="Arial" w:cs="Arial" w:eastAsia="Arial" w:hAnsi="Arial"/>
          <w:sz w:val="17"/>
          <w:szCs w:val="17"/>
          <w:i w:val="1"/>
          <w:iCs w:val="1"/>
          <w:color w:val="auto"/>
        </w:rPr>
        <w:t>Interest Payment Date</w:t>
      </w:r>
      <w:r>
        <w:rPr>
          <w:rFonts w:ascii="Arial" w:cs="Arial" w:eastAsia="Arial" w:hAnsi="Arial"/>
          <w:sz w:val="17"/>
          <w:szCs w:val="17"/>
          <w:color w:val="auto"/>
        </w:rPr>
        <w:t xml:space="preserve">”). Interest on the Notes will accrue from the most recent date to which interest has been paid or, if no interest has been paid, from the date of issuance;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first Interest Payment Date shall be January 15, 2021. 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 Interest will be computed on the basis of a 360-day year of twelve 30-day months.</w:t>
      </w:r>
    </w:p>
    <w:p>
      <w:pPr>
        <w:spacing w:after="0" w:line="70" w:lineRule="exact"/>
        <w:rPr>
          <w:rFonts w:ascii="Arial" w:cs="Arial" w:eastAsia="Arial" w:hAnsi="Arial"/>
          <w:sz w:val="17"/>
          <w:szCs w:val="17"/>
          <w:color w:val="auto"/>
        </w:rPr>
      </w:pPr>
    </w:p>
    <w:p>
      <w:pPr>
        <w:ind w:firstLine="419"/>
        <w:spacing w:after="0" w:line="288" w:lineRule="auto"/>
        <w:tabs>
          <w:tab w:leader="none" w:pos="813" w:val="left"/>
        </w:tabs>
        <w:numPr>
          <w:ilvl w:val="0"/>
          <w:numId w:val="539"/>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2"/>
          <w:szCs w:val="12"/>
          <w:i w:val="1"/>
          <w:iCs w:val="1"/>
          <w:color w:val="auto"/>
        </w:rPr>
        <w:t>ETHOD OF</w:t>
      </w:r>
      <w:r>
        <w:rPr>
          <w:rFonts w:ascii="Arial" w:cs="Arial" w:eastAsia="Arial" w:hAnsi="Arial"/>
          <w:sz w:val="16"/>
          <w:szCs w:val="16"/>
          <w:i w:val="1"/>
          <w:iCs w:val="1"/>
          <w:color w:val="auto"/>
        </w:rPr>
        <w:t xml:space="preserve"> P</w:t>
      </w:r>
      <w:r>
        <w:rPr>
          <w:rFonts w:ascii="Arial" w:cs="Arial" w:eastAsia="Arial" w:hAnsi="Arial"/>
          <w:sz w:val="12"/>
          <w:szCs w:val="12"/>
          <w:i w:val="1"/>
          <w:iCs w:val="1"/>
          <w:color w:val="auto"/>
        </w:rPr>
        <w:t>AYMENT</w:t>
      </w:r>
      <w:r>
        <w:rPr>
          <w:rFonts w:ascii="Arial" w:cs="Arial" w:eastAsia="Arial" w:hAnsi="Arial"/>
          <w:sz w:val="16"/>
          <w:szCs w:val="16"/>
          <w:color w:val="auto"/>
        </w:rPr>
        <w:t>. The Company will pay interest on the Notes (except defaulted interest) and Additional Amounts, if any,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Persons who are registered Holders of Notes at the close of business on December 31 or June 30 next preceding the Interest Payment Date, even if such Notes are canceled after such record date and on or before such Interest Payment Date, except as provided in Section 2.12 of the Indenture with respect to defaulted interest. The Notes will be payable as to principal, premium, and Additional Amounts, if any, and interest at the office or agency of the Company maintained for such purpose within or without the City and State of New York, or, at the option of the Company, payment of interest and Additional Amounts, if any, may be made by check mailed to the Holders at their addresses set forth in the register of Holders;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payment by wire transfer of immediately available funds will be required with respect to principal of and interest, premium and</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Amounts, if any, on, all Global Notes and all other Notes, the Holders of which will have provided wire transfer instructions to the Company or the Paying Agent, and shall so notify the Trustee and the Paying Agent thereof. Such payment will be in such coin or currency of the United States of America as at the time of payment is legal tender for payment of public and private debts.</w:t>
      </w:r>
    </w:p>
    <w:p>
      <w:pPr>
        <w:spacing w:after="0" w:line="60" w:lineRule="exact"/>
        <w:rPr>
          <w:rFonts w:ascii="Arial" w:cs="Arial" w:eastAsia="Arial" w:hAnsi="Arial"/>
          <w:sz w:val="16"/>
          <w:szCs w:val="16"/>
          <w:color w:val="auto"/>
        </w:rPr>
      </w:pPr>
    </w:p>
    <w:p>
      <w:pPr>
        <w:ind w:right="240" w:firstLine="419"/>
        <w:spacing w:after="0" w:line="263" w:lineRule="auto"/>
        <w:tabs>
          <w:tab w:leader="none" w:pos="813" w:val="left"/>
        </w:tabs>
        <w:numPr>
          <w:ilvl w:val="0"/>
          <w:numId w:val="539"/>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4"/>
          <w:szCs w:val="14"/>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GENT AND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EGISTRAR</w:t>
      </w:r>
      <w:r>
        <w:rPr>
          <w:rFonts w:ascii="Arial" w:cs="Arial" w:eastAsia="Arial" w:hAnsi="Arial"/>
          <w:sz w:val="18"/>
          <w:szCs w:val="18"/>
          <w:color w:val="auto"/>
        </w:rPr>
        <w:t>. Initially, Deutsche Bank Trust Company Americas will act as Paying Agent, Registrar and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Agent. The Company may change any Paying Agent, Transfer Agent or Registrar without notice to any Holder. The Company or any of its Subsidiaries may act as Paying Agent and Registrar.</w:t>
      </w:r>
    </w:p>
    <w:p>
      <w:pPr>
        <w:spacing w:after="0" w:line="75" w:lineRule="exact"/>
        <w:rPr>
          <w:rFonts w:ascii="Arial" w:cs="Arial" w:eastAsia="Arial" w:hAnsi="Arial"/>
          <w:sz w:val="18"/>
          <w:szCs w:val="18"/>
          <w:color w:val="auto"/>
        </w:rPr>
      </w:pPr>
    </w:p>
    <w:p>
      <w:pPr>
        <w:ind w:right="80" w:firstLine="419"/>
        <w:spacing w:after="0" w:line="296" w:lineRule="auto"/>
        <w:tabs>
          <w:tab w:leader="none" w:pos="813" w:val="left"/>
        </w:tabs>
        <w:numPr>
          <w:ilvl w:val="0"/>
          <w:numId w:val="539"/>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2"/>
          <w:szCs w:val="12"/>
          <w:i w:val="1"/>
          <w:iCs w:val="1"/>
          <w:color w:val="auto"/>
        </w:rPr>
        <w:t>NDENTURE</w:t>
      </w:r>
      <w:r>
        <w:rPr>
          <w:rFonts w:ascii="Arial" w:cs="Arial" w:eastAsia="Arial" w:hAnsi="Arial"/>
          <w:sz w:val="16"/>
          <w:szCs w:val="16"/>
          <w:color w:val="auto"/>
        </w:rPr>
        <w:t>. The Company issued the Notes under an Indenture dated as of July 15, 2020 (the “</w:t>
      </w:r>
      <w:r>
        <w:rPr>
          <w:rFonts w:ascii="Arial" w:cs="Arial" w:eastAsia="Arial" w:hAnsi="Arial"/>
          <w:sz w:val="16"/>
          <w:szCs w:val="16"/>
          <w:i w:val="1"/>
          <w:iCs w:val="1"/>
          <w:color w:val="auto"/>
        </w:rPr>
        <w:t>Indenture</w:t>
      </w:r>
      <w:r>
        <w:rPr>
          <w:rFonts w:ascii="Arial" w:cs="Arial" w:eastAsia="Arial" w:hAnsi="Arial"/>
          <w:sz w:val="16"/>
          <w:szCs w:val="16"/>
          <w:color w:val="auto"/>
        </w:rPr>
        <w:t>”) among the Company, each</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Guarantor, the Trustee, the Paying Agent, the Registrar and other persons from time to time party thereto.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Indenture does not limit the aggregate principal amount of Notes that may be issued thereunder.</w:t>
      </w:r>
    </w:p>
    <w:p>
      <w:pPr>
        <w:spacing w:after="0" w:line="9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540"/>
          </w:cols>
          <w:pgMar w:left="880" w:top="274" w:right="479" w:bottom="1440" w:gutter="0" w:footer="0" w:header="0"/>
        </w:sectPr>
      </w:pPr>
    </w:p>
    <w:bookmarkStart w:id="450" w:name="page451"/>
    <w:bookmarkEnd w:id="450"/>
    <w:p>
      <w:pPr>
        <w:ind w:left="800" w:hanging="381"/>
        <w:spacing w:after="0"/>
        <w:tabs>
          <w:tab w:leader="none" w:pos="800" w:val="left"/>
        </w:tabs>
        <w:numPr>
          <w:ilvl w:val="0"/>
          <w:numId w:val="54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Arial" w:cs="Arial" w:eastAsia="Arial" w:hAnsi="Arial"/>
          <w:sz w:val="14"/>
          <w:szCs w:val="14"/>
          <w:i w:val="1"/>
          <w:iCs w:val="1"/>
          <w:color w:val="auto"/>
        </w:rPr>
        <w:t>PTIONAL</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EDEMPTION</w:t>
      </w:r>
      <w:r>
        <w:rPr>
          <w:rFonts w:ascii="Arial" w:cs="Arial" w:eastAsia="Arial" w:hAnsi="Arial"/>
          <w:sz w:val="18"/>
          <w:szCs w:val="18"/>
          <w:i w:val="1"/>
          <w:iCs w:val="1"/>
          <w:color w:val="auto"/>
        </w:rPr>
        <w:t>.</w:t>
      </w:r>
    </w:p>
    <w:p>
      <w:pPr>
        <w:spacing w:after="0" w:line="117" w:lineRule="exact"/>
        <w:rPr>
          <w:sz w:val="20"/>
          <w:szCs w:val="20"/>
          <w:color w:val="auto"/>
        </w:rPr>
      </w:pPr>
    </w:p>
    <w:p>
      <w:pPr>
        <w:ind w:right="180" w:firstLine="419"/>
        <w:spacing w:after="0" w:line="259" w:lineRule="auto"/>
        <w:tabs>
          <w:tab w:leader="none" w:pos="803" w:val="left"/>
        </w:tabs>
        <w:numPr>
          <w:ilvl w:val="0"/>
          <w:numId w:val="541"/>
        </w:numPr>
        <w:rPr>
          <w:rFonts w:ascii="Arial" w:cs="Arial" w:eastAsia="Arial" w:hAnsi="Arial"/>
          <w:sz w:val="18"/>
          <w:szCs w:val="18"/>
          <w:color w:val="auto"/>
        </w:rPr>
      </w:pPr>
      <w:r>
        <w:rPr>
          <w:rFonts w:ascii="Arial" w:cs="Arial" w:eastAsia="Arial" w:hAnsi="Arial"/>
          <w:sz w:val="18"/>
          <w:szCs w:val="18"/>
          <w:color w:val="auto"/>
        </w:rPr>
        <w:t>On or after July 15, 2023, the Company may redeem all or a part of the Notes upon not less than 30 nor more than 60 days’ notice, at the redemption prices (expressed as percentages of principal amount) set forth below plus accrued and unpaid interest, if any, on the Notes redeemed, to the applicable redemption date, if redeemed during the periods indicated below, subject to the rights of Holders on the relevant record date to receive interest on the relevant interest payment date:</w:t>
      </w:r>
    </w:p>
    <w:p>
      <w:pPr>
        <w:spacing w:after="0" w:line="19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6100" w:type="dxa"/>
            <w:vAlign w:val="bottom"/>
            <w:vMerge w:val="restart"/>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6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Twelve-month period on or after July 15, 2023</w:t>
            </w: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gridSpan w:val="2"/>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103.250%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Twelve-month period on or after July 15, 2024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101.625%</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July 15, 2025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19"/>
        <w:spacing w:after="0" w:line="254" w:lineRule="auto"/>
        <w:tabs>
          <w:tab w:leader="none" w:pos="813" w:val="left"/>
        </w:tabs>
        <w:numPr>
          <w:ilvl w:val="0"/>
          <w:numId w:val="542"/>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subparagraph (a) of this Paragraph (5), at any time prior to July 15, 2023, the Company may on any one or more occasions redeem up to 35% of the aggregate principal amount of Notes at a redemption price equal to 106.500% of the principal amount thereof, plus accrued and unpaid interest and Additional Amounts,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at least 65% in aggregate principal amount of the Notes originally issued under the Indenture (excluding Notes held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Subsidiaries) remains outstanding immediately after the occurrence of such redemption and that such redemption occurs within 45 days of the date of the closing of such Equity Offering.</w:t>
      </w:r>
    </w:p>
    <w:p>
      <w:pPr>
        <w:spacing w:after="0" w:line="86" w:lineRule="exact"/>
        <w:rPr>
          <w:rFonts w:ascii="Arial" w:cs="Arial" w:eastAsia="Arial" w:hAnsi="Arial"/>
          <w:sz w:val="18"/>
          <w:szCs w:val="18"/>
          <w:color w:val="auto"/>
        </w:rPr>
      </w:pPr>
    </w:p>
    <w:p>
      <w:pPr>
        <w:ind w:right="240" w:firstLine="419"/>
        <w:spacing w:after="0" w:line="301" w:lineRule="auto"/>
        <w:tabs>
          <w:tab w:leader="none" w:pos="793" w:val="left"/>
        </w:tabs>
        <w:numPr>
          <w:ilvl w:val="0"/>
          <w:numId w:val="542"/>
        </w:numPr>
        <w:rPr>
          <w:rFonts w:ascii="Arial" w:cs="Arial" w:eastAsia="Arial" w:hAnsi="Arial"/>
          <w:sz w:val="16"/>
          <w:szCs w:val="16"/>
          <w:color w:val="auto"/>
        </w:rPr>
      </w:pPr>
      <w:r>
        <w:rPr>
          <w:rFonts w:ascii="Arial" w:cs="Arial" w:eastAsia="Arial" w:hAnsi="Arial"/>
          <w:sz w:val="16"/>
          <w:szCs w:val="16"/>
          <w:color w:val="auto"/>
        </w:rPr>
        <w:t>At any time prior to July 15, 2023, the Company may also redeem all or a part of the Notes, upon not less than 30 nor more than 60 days’ prior notice mailed by first-class mail to each Holder’s registered address, at a redemption price equal to 100% of the principal amount of the Notes redeemed plus the Applicable Premium as of, and accrued and unpaid interest and Additional Amounts, if any, to the date of redemption, subject to the rights of Holders on the relevant record date to receive interest due on the relevant interest payment date.</w:t>
      </w:r>
    </w:p>
    <w:p>
      <w:pPr>
        <w:spacing w:after="0" w:line="49" w:lineRule="exact"/>
        <w:rPr>
          <w:rFonts w:ascii="Arial" w:cs="Arial" w:eastAsia="Arial" w:hAnsi="Arial"/>
          <w:sz w:val="16"/>
          <w:szCs w:val="16"/>
          <w:color w:val="auto"/>
        </w:rPr>
      </w:pPr>
    </w:p>
    <w:p>
      <w:pPr>
        <w:ind w:firstLine="419"/>
        <w:spacing w:after="0" w:line="271" w:lineRule="auto"/>
        <w:tabs>
          <w:tab w:leader="none" w:pos="803" w:val="left"/>
        </w:tabs>
        <w:numPr>
          <w:ilvl w:val="0"/>
          <w:numId w:val="542"/>
        </w:numPr>
        <w:rPr>
          <w:rFonts w:ascii="Arial" w:cs="Arial" w:eastAsia="Arial" w:hAnsi="Arial"/>
          <w:sz w:val="17"/>
          <w:szCs w:val="17"/>
          <w:color w:val="auto"/>
        </w:rPr>
      </w:pPr>
      <w:r>
        <w:rPr>
          <w:rFonts w:ascii="Arial" w:cs="Arial" w:eastAsia="Arial" w:hAnsi="Arial"/>
          <w:sz w:val="17"/>
          <w:szCs w:val="17"/>
          <w:color w:val="auto"/>
        </w:rPr>
        <w:t>Any redemption pursuant to subparagraphs (a), (b) and (c) of this Paragraph (5) 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with respect to such redemption may be performed by another Person.</w:t>
      </w:r>
    </w:p>
    <w:p>
      <w:pPr>
        <w:spacing w:after="0" w:line="70" w:lineRule="exact"/>
        <w:rPr>
          <w:rFonts w:ascii="Arial" w:cs="Arial" w:eastAsia="Arial" w:hAnsi="Arial"/>
          <w:sz w:val="17"/>
          <w:szCs w:val="17"/>
          <w:color w:val="auto"/>
        </w:rPr>
      </w:pPr>
    </w:p>
    <w:p>
      <w:pPr>
        <w:ind w:right="380" w:firstLine="419"/>
        <w:spacing w:after="0" w:line="277" w:lineRule="auto"/>
        <w:tabs>
          <w:tab w:leader="none" w:pos="803" w:val="left"/>
        </w:tabs>
        <w:numPr>
          <w:ilvl w:val="0"/>
          <w:numId w:val="542"/>
        </w:numPr>
        <w:rPr>
          <w:rFonts w:ascii="Arial" w:cs="Arial" w:eastAsia="Arial" w:hAnsi="Arial"/>
          <w:sz w:val="18"/>
          <w:szCs w:val="18"/>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560"/>
          </w:cols>
          <w:pgMar w:left="880" w:top="274" w:right="459" w:bottom="1440" w:gutter="0" w:footer="0" w:header="0"/>
        </w:sectPr>
      </w:pPr>
    </w:p>
    <w:bookmarkStart w:id="451" w:name="page452"/>
    <w:bookmarkEnd w:id="451"/>
    <w:p>
      <w:pPr>
        <w:ind w:left="420"/>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sz w:val="20"/>
          <w:szCs w:val="20"/>
          <w:color w:val="auto"/>
        </w:rPr>
        <w:tab/>
      </w:r>
      <w:r>
        <w:rPr>
          <w:rFonts w:ascii="Arial" w:cs="Arial" w:eastAsia="Arial" w:hAnsi="Arial"/>
          <w:sz w:val="16"/>
          <w:szCs w:val="16"/>
          <w:color w:val="auto"/>
        </w:rPr>
        <w:t>The Notes may also be redeemed in the circumstances described in Sections 3.10 and 3.11 of the Indenture.</w:t>
      </w:r>
    </w:p>
    <w:p>
      <w:pPr>
        <w:spacing w:after="0" w:line="117" w:lineRule="exact"/>
        <w:rPr>
          <w:sz w:val="20"/>
          <w:szCs w:val="20"/>
          <w:color w:val="auto"/>
        </w:rPr>
      </w:pPr>
    </w:p>
    <w:p>
      <w:pPr>
        <w:ind w:left="800" w:hanging="381"/>
        <w:spacing w:after="0"/>
        <w:tabs>
          <w:tab w:leader="none" w:pos="800" w:val="left"/>
        </w:tabs>
        <w:numPr>
          <w:ilvl w:val="0"/>
          <w:numId w:val="543"/>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2"/>
          <w:szCs w:val="12"/>
          <w:i w:val="1"/>
          <w:iCs w:val="1"/>
          <w:color w:val="auto"/>
        </w:rPr>
        <w:t>ANDATORY</w:t>
      </w:r>
      <w:r>
        <w:rPr>
          <w:rFonts w:ascii="Arial" w:cs="Arial" w:eastAsia="Arial" w:hAnsi="Arial"/>
          <w:sz w:val="16"/>
          <w:szCs w:val="16"/>
          <w:i w:val="1"/>
          <w:iCs w:val="1"/>
          <w:color w:val="auto"/>
        </w:rPr>
        <w:t xml:space="preserve"> R</w:t>
      </w:r>
      <w:r>
        <w:rPr>
          <w:rFonts w:ascii="Arial" w:cs="Arial" w:eastAsia="Arial" w:hAnsi="Arial"/>
          <w:sz w:val="12"/>
          <w:szCs w:val="12"/>
          <w:i w:val="1"/>
          <w:iCs w:val="1"/>
          <w:color w:val="auto"/>
        </w:rPr>
        <w:t>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not required to make mandatory redemption or sinking fund payments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102" w:lineRule="exact"/>
        <w:rPr>
          <w:rFonts w:ascii="Arial" w:cs="Arial" w:eastAsia="Arial" w:hAnsi="Arial"/>
          <w:sz w:val="16"/>
          <w:szCs w:val="16"/>
          <w:color w:val="auto"/>
        </w:rPr>
      </w:pPr>
    </w:p>
    <w:p>
      <w:pPr>
        <w:ind w:right="240" w:firstLine="419"/>
        <w:spacing w:after="0" w:line="277" w:lineRule="auto"/>
        <w:tabs>
          <w:tab w:leader="none" w:pos="813" w:val="left"/>
        </w:tabs>
        <w:numPr>
          <w:ilvl w:val="0"/>
          <w:numId w:val="543"/>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EPURCHASE AT THE</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4"/>
          <w:szCs w:val="14"/>
          <w:i w:val="1"/>
          <w:iCs w:val="1"/>
          <w:color w:val="auto"/>
        </w:rPr>
        <w:t>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may be subject to a Change of Control Offer, a Special Put Option or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Sale Offer, as further described in Sections 3.09, 4.10, 4.15 and 4.21 of the Indenture.</w:t>
      </w:r>
    </w:p>
    <w:p>
      <w:pPr>
        <w:spacing w:after="0" w:line="62" w:lineRule="exact"/>
        <w:rPr>
          <w:rFonts w:ascii="Arial" w:cs="Arial" w:eastAsia="Arial" w:hAnsi="Arial"/>
          <w:sz w:val="18"/>
          <w:szCs w:val="18"/>
          <w:color w:val="auto"/>
        </w:rPr>
      </w:pPr>
    </w:p>
    <w:p>
      <w:pPr>
        <w:ind w:right="20" w:firstLine="419"/>
        <w:spacing w:after="0" w:line="275" w:lineRule="auto"/>
        <w:tabs>
          <w:tab w:leader="none" w:pos="813" w:val="left"/>
        </w:tabs>
        <w:numPr>
          <w:ilvl w:val="0"/>
          <w:numId w:val="543"/>
        </w:numPr>
        <w:rPr>
          <w:rFonts w:ascii="Arial" w:cs="Arial" w:eastAsia="Arial" w:hAnsi="Arial"/>
          <w:sz w:val="17"/>
          <w:szCs w:val="17"/>
          <w:color w:val="auto"/>
        </w:rPr>
      </w:pPr>
      <w:r>
        <w:rPr>
          <w:rFonts w:ascii="Arial" w:cs="Arial" w:eastAsia="Arial" w:hAnsi="Arial"/>
          <w:sz w:val="17"/>
          <w:szCs w:val="17"/>
          <w:i w:val="1"/>
          <w:iCs w:val="1"/>
          <w:color w:val="auto"/>
        </w:rPr>
        <w:t>N</w:t>
      </w:r>
      <w:r>
        <w:rPr>
          <w:rFonts w:ascii="Arial" w:cs="Arial" w:eastAsia="Arial" w:hAnsi="Arial"/>
          <w:sz w:val="13"/>
          <w:szCs w:val="13"/>
          <w:i w:val="1"/>
          <w:iCs w:val="1"/>
          <w:color w:val="auto"/>
        </w:rPr>
        <w:t>OTICE OF</w:t>
      </w:r>
      <w:r>
        <w:rPr>
          <w:rFonts w:ascii="Arial" w:cs="Arial" w:eastAsia="Arial" w:hAnsi="Arial"/>
          <w:sz w:val="17"/>
          <w:szCs w:val="17"/>
          <w:i w:val="1"/>
          <w:iCs w:val="1"/>
          <w:color w:val="auto"/>
        </w:rPr>
        <w:t xml:space="preserve"> R</w:t>
      </w:r>
      <w:r>
        <w:rPr>
          <w:rFonts w:ascii="Arial" w:cs="Arial" w:eastAsia="Arial" w:hAnsi="Arial"/>
          <w:sz w:val="13"/>
          <w:szCs w:val="13"/>
          <w:i w:val="1"/>
          <w:iCs w:val="1"/>
          <w:color w:val="auto"/>
        </w:rPr>
        <w:t>EDEMPTION</w:t>
      </w:r>
      <w:r>
        <w:rPr>
          <w:rFonts w:ascii="Arial" w:cs="Arial" w:eastAsia="Arial" w:hAnsi="Arial"/>
          <w:sz w:val="17"/>
          <w:szCs w:val="17"/>
          <w:color w:val="auto"/>
        </w:rPr>
        <w:t>. Notice of redemption will be mailed at least 30 days but not more than 60 days before the redemption date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US$200,000 may be redeemed in part but only in integral multiples of US$1,000 provided that the unredeemed part has a minimum denomination of US$200,000, unless all of the Notes held by a Holder are to be redeemed.</w:t>
      </w:r>
    </w:p>
    <w:p>
      <w:pPr>
        <w:spacing w:after="0" w:line="68" w:lineRule="exact"/>
        <w:rPr>
          <w:rFonts w:ascii="Arial" w:cs="Arial" w:eastAsia="Arial" w:hAnsi="Arial"/>
          <w:sz w:val="17"/>
          <w:szCs w:val="17"/>
          <w:color w:val="auto"/>
        </w:rPr>
      </w:pPr>
    </w:p>
    <w:p>
      <w:pPr>
        <w:ind w:firstLine="419"/>
        <w:spacing w:after="0" w:line="291" w:lineRule="auto"/>
        <w:tabs>
          <w:tab w:leader="none" w:pos="813" w:val="left"/>
        </w:tabs>
        <w:numPr>
          <w:ilvl w:val="0"/>
          <w:numId w:val="543"/>
        </w:numPr>
        <w:rPr>
          <w:rFonts w:ascii="Arial" w:cs="Arial" w:eastAsia="Arial" w:hAnsi="Arial"/>
          <w:sz w:val="16"/>
          <w:szCs w:val="16"/>
          <w:color w:val="auto"/>
        </w:rPr>
      </w:pPr>
      <w:r>
        <w:rPr>
          <w:rFonts w:ascii="Arial" w:cs="Arial" w:eastAsia="Arial" w:hAnsi="Arial"/>
          <w:sz w:val="16"/>
          <w:szCs w:val="16"/>
          <w:i w:val="1"/>
          <w:iCs w:val="1"/>
          <w:color w:val="auto"/>
        </w:rPr>
        <w:t>D</w:t>
      </w:r>
      <w:r>
        <w:rPr>
          <w:rFonts w:ascii="Arial" w:cs="Arial" w:eastAsia="Arial" w:hAnsi="Arial"/>
          <w:sz w:val="12"/>
          <w:szCs w:val="12"/>
          <w:i w:val="1"/>
          <w:iCs w:val="1"/>
          <w:color w:val="auto"/>
        </w:rPr>
        <w:t>ENOMINATIONS</w:t>
      </w:r>
      <w:r>
        <w:rPr>
          <w:rFonts w:ascii="Arial" w:cs="Arial" w:eastAsia="Arial" w:hAnsi="Arial"/>
          <w:sz w:val="16"/>
          <w:szCs w:val="16"/>
          <w:i w:val="1"/>
          <w:iCs w:val="1"/>
          <w:color w:val="auto"/>
        </w:rPr>
        <w:t>, T</w:t>
      </w:r>
      <w:r>
        <w:rPr>
          <w:rFonts w:ascii="Arial" w:cs="Arial" w:eastAsia="Arial" w:hAnsi="Arial"/>
          <w:sz w:val="12"/>
          <w:szCs w:val="12"/>
          <w:i w:val="1"/>
          <w:iCs w:val="1"/>
          <w:color w:val="auto"/>
        </w:rPr>
        <w:t>RANSFER</w:t>
      </w:r>
      <w:r>
        <w:rPr>
          <w:rFonts w:ascii="Arial" w:cs="Arial" w:eastAsia="Arial" w:hAnsi="Arial"/>
          <w:sz w:val="16"/>
          <w:szCs w:val="16"/>
          <w:i w:val="1"/>
          <w:iCs w:val="1"/>
          <w:color w:val="auto"/>
        </w:rPr>
        <w:t>, E</w:t>
      </w:r>
      <w:r>
        <w:rPr>
          <w:rFonts w:ascii="Arial" w:cs="Arial" w:eastAsia="Arial" w:hAnsi="Arial"/>
          <w:sz w:val="12"/>
          <w:szCs w:val="12"/>
          <w:i w:val="1"/>
          <w:iCs w:val="1"/>
          <w:color w:val="auto"/>
        </w:rPr>
        <w:t>XCHANGE</w:t>
      </w:r>
      <w:r>
        <w:rPr>
          <w:rFonts w:ascii="Arial" w:cs="Arial" w:eastAsia="Arial" w:hAnsi="Arial"/>
          <w:sz w:val="16"/>
          <w:szCs w:val="16"/>
          <w:color w:val="auto"/>
        </w:rPr>
        <w:t>. The Notes are in registered form without coupons in denominations of US$200,000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integral multiples of US$1,000 in excess thereof. The transfer of Notes may be registered and Notes may be exchanged as provided in the Indenture. The Registrar, the Transfer Agent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58" w:lineRule="exact"/>
        <w:rPr>
          <w:rFonts w:ascii="Arial" w:cs="Arial" w:eastAsia="Arial" w:hAnsi="Arial"/>
          <w:sz w:val="16"/>
          <w:szCs w:val="16"/>
          <w:color w:val="auto"/>
        </w:rPr>
      </w:pPr>
    </w:p>
    <w:p>
      <w:pPr>
        <w:ind w:left="900" w:hanging="481"/>
        <w:spacing w:after="0"/>
        <w:tabs>
          <w:tab w:leader="none" w:pos="900" w:val="left"/>
        </w:tabs>
        <w:numPr>
          <w:ilvl w:val="0"/>
          <w:numId w:val="543"/>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4"/>
          <w:szCs w:val="14"/>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WNERS</w:t>
      </w:r>
      <w:r>
        <w:rPr>
          <w:rFonts w:ascii="Arial" w:cs="Arial" w:eastAsia="Arial" w:hAnsi="Arial"/>
          <w:sz w:val="18"/>
          <w:szCs w:val="18"/>
          <w:color w:val="auto"/>
        </w:rPr>
        <w:t>. The registered Holder may be treated as its owner for all purposes.</w:t>
      </w:r>
    </w:p>
    <w:p>
      <w:pPr>
        <w:spacing w:after="0" w:line="117" w:lineRule="exact"/>
        <w:rPr>
          <w:rFonts w:ascii="Arial" w:cs="Arial" w:eastAsia="Arial" w:hAnsi="Arial"/>
          <w:sz w:val="18"/>
          <w:szCs w:val="18"/>
          <w:color w:val="auto"/>
        </w:rPr>
      </w:pPr>
    </w:p>
    <w:p>
      <w:pPr>
        <w:ind w:left="900" w:hanging="481"/>
        <w:spacing w:after="0"/>
        <w:tabs>
          <w:tab w:leader="none" w:pos="900" w:val="left"/>
        </w:tabs>
        <w:numPr>
          <w:ilvl w:val="0"/>
          <w:numId w:val="543"/>
        </w:numPr>
        <w:rPr>
          <w:rFonts w:ascii="Arial" w:cs="Arial" w:eastAsia="Arial" w:hAnsi="Arial"/>
          <w:sz w:val="17"/>
          <w:szCs w:val="17"/>
          <w:color w:val="auto"/>
        </w:rPr>
      </w:pPr>
      <w:r>
        <w:rPr>
          <w:rFonts w:ascii="Arial" w:cs="Arial" w:eastAsia="Arial" w:hAnsi="Arial"/>
          <w:sz w:val="17"/>
          <w:szCs w:val="17"/>
          <w:i w:val="1"/>
          <w:iCs w:val="1"/>
          <w:color w:val="auto"/>
        </w:rPr>
        <w:t>A</w:t>
      </w:r>
      <w:r>
        <w:rPr>
          <w:rFonts w:ascii="Arial" w:cs="Arial" w:eastAsia="Arial" w:hAnsi="Arial"/>
          <w:sz w:val="13"/>
          <w:szCs w:val="13"/>
          <w:i w:val="1"/>
          <w:iCs w:val="1"/>
          <w:color w:val="auto"/>
        </w:rPr>
        <w:t>MENDMENT</w:t>
      </w:r>
      <w:r>
        <w:rPr>
          <w:rFonts w:ascii="Arial" w:cs="Arial" w:eastAsia="Arial" w:hAnsi="Arial"/>
          <w:sz w:val="17"/>
          <w:szCs w:val="17"/>
          <w:i w:val="1"/>
          <w:iCs w:val="1"/>
          <w:color w:val="auto"/>
        </w:rPr>
        <w:t>, S</w:t>
      </w:r>
      <w:r>
        <w:rPr>
          <w:rFonts w:ascii="Arial" w:cs="Arial" w:eastAsia="Arial" w:hAnsi="Arial"/>
          <w:sz w:val="13"/>
          <w:szCs w:val="13"/>
          <w:i w:val="1"/>
          <w:iCs w:val="1"/>
          <w:color w:val="auto"/>
        </w:rPr>
        <w:t>UPPLEMENT AND</w:t>
      </w:r>
      <w:r>
        <w:rPr>
          <w:rFonts w:ascii="Arial" w:cs="Arial" w:eastAsia="Arial" w:hAnsi="Arial"/>
          <w:sz w:val="17"/>
          <w:szCs w:val="17"/>
          <w:i w:val="1"/>
          <w:iCs w:val="1"/>
          <w:color w:val="auto"/>
        </w:rPr>
        <w:t xml:space="preserve"> W</w:t>
      </w:r>
      <w:r>
        <w:rPr>
          <w:rFonts w:ascii="Arial" w:cs="Arial" w:eastAsia="Arial" w:hAnsi="Arial"/>
          <w:sz w:val="13"/>
          <w:szCs w:val="13"/>
          <w:i w:val="1"/>
          <w:iCs w:val="1"/>
          <w:color w:val="auto"/>
        </w:rPr>
        <w:t>AIVER</w:t>
      </w:r>
      <w:r>
        <w:rPr>
          <w:rFonts w:ascii="Arial" w:cs="Arial" w:eastAsia="Arial" w:hAnsi="Arial"/>
          <w:sz w:val="17"/>
          <w:szCs w:val="17"/>
          <w:color w:val="auto"/>
        </w:rPr>
        <w:t>. The Indenture, the Notes or the Note Guarantees may be amended as set forth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102" w:lineRule="exact"/>
        <w:rPr>
          <w:rFonts w:ascii="Arial" w:cs="Arial" w:eastAsia="Arial" w:hAnsi="Arial"/>
          <w:sz w:val="17"/>
          <w:szCs w:val="17"/>
          <w:color w:val="auto"/>
        </w:rPr>
      </w:pPr>
    </w:p>
    <w:p>
      <w:pPr>
        <w:ind w:left="900" w:hanging="481"/>
        <w:spacing w:after="0"/>
        <w:tabs>
          <w:tab w:leader="none" w:pos="900" w:val="left"/>
        </w:tabs>
        <w:numPr>
          <w:ilvl w:val="0"/>
          <w:numId w:val="543"/>
        </w:numPr>
        <w:rPr>
          <w:rFonts w:ascii="Arial" w:cs="Arial" w:eastAsia="Arial" w:hAnsi="Arial"/>
          <w:sz w:val="17"/>
          <w:szCs w:val="17"/>
          <w:color w:val="auto"/>
        </w:rPr>
      </w:pPr>
      <w:r>
        <w:rPr>
          <w:rFonts w:ascii="Arial" w:cs="Arial" w:eastAsia="Arial" w:hAnsi="Arial"/>
          <w:sz w:val="17"/>
          <w:szCs w:val="17"/>
          <w:i w:val="1"/>
          <w:iCs w:val="1"/>
          <w:color w:val="auto"/>
        </w:rPr>
        <w:t>D</w:t>
      </w:r>
      <w:r>
        <w:rPr>
          <w:rFonts w:ascii="Arial" w:cs="Arial" w:eastAsia="Arial" w:hAnsi="Arial"/>
          <w:sz w:val="13"/>
          <w:szCs w:val="13"/>
          <w:i w:val="1"/>
          <w:iCs w:val="1"/>
          <w:color w:val="auto"/>
        </w:rPr>
        <w:t>EFAULTS AND</w:t>
      </w:r>
      <w:r>
        <w:rPr>
          <w:rFonts w:ascii="Arial" w:cs="Arial" w:eastAsia="Arial" w:hAnsi="Arial"/>
          <w:sz w:val="17"/>
          <w:szCs w:val="17"/>
          <w:i w:val="1"/>
          <w:iCs w:val="1"/>
          <w:color w:val="auto"/>
        </w:rPr>
        <w:t xml:space="preserve"> R</w:t>
      </w:r>
      <w:r>
        <w:rPr>
          <w:rFonts w:ascii="Arial" w:cs="Arial" w:eastAsia="Arial" w:hAnsi="Arial"/>
          <w:sz w:val="13"/>
          <w:szCs w:val="13"/>
          <w:i w:val="1"/>
          <w:iCs w:val="1"/>
          <w:color w:val="auto"/>
        </w:rPr>
        <w:t>EMEDIES</w:t>
      </w:r>
      <w:r>
        <w:rPr>
          <w:rFonts w:ascii="Arial" w:cs="Arial" w:eastAsia="Arial" w:hAnsi="Arial"/>
          <w:sz w:val="17"/>
          <w:szCs w:val="17"/>
          <w:color w:val="auto"/>
        </w:rPr>
        <w:t>. The events listed in Section 6.01 of the Indenture shall constitute “</w:t>
      </w:r>
      <w:r>
        <w:rPr>
          <w:rFonts w:ascii="Arial" w:cs="Arial" w:eastAsia="Arial" w:hAnsi="Arial"/>
          <w:sz w:val="17"/>
          <w:szCs w:val="17"/>
          <w:i w:val="1"/>
          <w:iCs w:val="1"/>
          <w:color w:val="auto"/>
        </w:rPr>
        <w:t>Events of Default</w:t>
      </w:r>
      <w:r>
        <w:rPr>
          <w:rFonts w:ascii="Arial" w:cs="Arial" w:eastAsia="Arial" w:hAnsi="Arial"/>
          <w:sz w:val="17"/>
          <w:szCs w:val="17"/>
          <w:color w:val="auto"/>
        </w:rPr>
        <w:t>” for the purpose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this Note.</w:t>
      </w:r>
    </w:p>
    <w:p>
      <w:pPr>
        <w:spacing w:after="0" w:line="102" w:lineRule="exact"/>
        <w:rPr>
          <w:rFonts w:ascii="Arial" w:cs="Arial" w:eastAsia="Arial" w:hAnsi="Arial"/>
          <w:sz w:val="17"/>
          <w:szCs w:val="17"/>
          <w:color w:val="auto"/>
        </w:rPr>
      </w:pPr>
    </w:p>
    <w:p>
      <w:pPr>
        <w:ind w:firstLine="419"/>
        <w:spacing w:after="0" w:line="342" w:lineRule="auto"/>
        <w:tabs>
          <w:tab w:leader="none" w:pos="903" w:val="left"/>
        </w:tabs>
        <w:numPr>
          <w:ilvl w:val="0"/>
          <w:numId w:val="543"/>
        </w:numPr>
        <w:rPr>
          <w:rFonts w:ascii="Arial" w:cs="Arial" w:eastAsia="Arial" w:hAnsi="Arial"/>
          <w:sz w:val="16"/>
          <w:szCs w:val="16"/>
          <w:color w:val="auto"/>
        </w:rPr>
      </w:pPr>
      <w:r>
        <w:rPr>
          <w:rFonts w:ascii="Arial" w:cs="Arial" w:eastAsia="Arial" w:hAnsi="Arial"/>
          <w:sz w:val="16"/>
          <w:szCs w:val="16"/>
          <w:i w:val="1"/>
          <w:iCs w:val="1"/>
          <w:color w:val="auto"/>
        </w:rPr>
        <w:t>T</w:t>
      </w:r>
      <w:r>
        <w:rPr>
          <w:rFonts w:ascii="Arial" w:cs="Arial" w:eastAsia="Arial" w:hAnsi="Arial"/>
          <w:sz w:val="12"/>
          <w:szCs w:val="12"/>
          <w:i w:val="1"/>
          <w:iCs w:val="1"/>
          <w:color w:val="auto"/>
        </w:rPr>
        <w:t>RUSTEE</w:t>
      </w:r>
      <w:r>
        <w:rPr>
          <w:rFonts w:ascii="Arial" w:cs="Arial" w:eastAsia="Arial" w:hAnsi="Arial"/>
          <w:sz w:val="16"/>
          <w:szCs w:val="16"/>
          <w:i w:val="1"/>
          <w:iCs w:val="1"/>
          <w:color w:val="auto"/>
        </w:rPr>
        <w:t xml:space="preserve"> D</w:t>
      </w:r>
      <w:r>
        <w:rPr>
          <w:rFonts w:ascii="Arial" w:cs="Arial" w:eastAsia="Arial" w:hAnsi="Arial"/>
          <w:sz w:val="12"/>
          <w:szCs w:val="12"/>
          <w:i w:val="1"/>
          <w:iCs w:val="1"/>
          <w:color w:val="auto"/>
        </w:rPr>
        <w:t>EALINGS WITH</w:t>
      </w:r>
      <w:r>
        <w:rPr>
          <w:rFonts w:ascii="Arial" w:cs="Arial" w:eastAsia="Arial" w:hAnsi="Arial"/>
          <w:sz w:val="16"/>
          <w:szCs w:val="16"/>
          <w:i w:val="1"/>
          <w:iCs w:val="1"/>
          <w:color w:val="auto"/>
        </w:rPr>
        <w:t xml:space="preserve"> C</w:t>
      </w:r>
      <w:r>
        <w:rPr>
          <w:rFonts w:ascii="Arial" w:cs="Arial" w:eastAsia="Arial" w:hAnsi="Arial"/>
          <w:sz w:val="12"/>
          <w:szCs w:val="12"/>
          <w:i w:val="1"/>
          <w:iCs w:val="1"/>
          <w:color w:val="auto"/>
        </w:rPr>
        <w:t>OMPANY</w:t>
      </w:r>
      <w:r>
        <w:rPr>
          <w:rFonts w:ascii="Arial" w:cs="Arial" w:eastAsia="Arial" w:hAnsi="Arial"/>
          <w:sz w:val="16"/>
          <w:szCs w:val="16"/>
          <w:color w:val="auto"/>
        </w:rPr>
        <w:t>. The Trustee, in its individual or any other capacity, may make loans to, accept deposits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services for the Company or its Affiliates, and may otherwise deal with the Company or its Affiliates, as if it were not the Trustee.</w:t>
      </w:r>
    </w:p>
    <w:p>
      <w:pPr>
        <w:spacing w:after="0" w:line="15" w:lineRule="exact"/>
        <w:rPr>
          <w:rFonts w:ascii="Arial" w:cs="Arial" w:eastAsia="Arial" w:hAnsi="Arial"/>
          <w:sz w:val="16"/>
          <w:szCs w:val="16"/>
          <w:color w:val="auto"/>
        </w:rPr>
      </w:pPr>
    </w:p>
    <w:p>
      <w:pPr>
        <w:jc w:val="both"/>
        <w:ind w:right="260" w:firstLine="419"/>
        <w:spacing w:after="0" w:line="259" w:lineRule="auto"/>
        <w:tabs>
          <w:tab w:leader="none" w:pos="903" w:val="left"/>
        </w:tabs>
        <w:numPr>
          <w:ilvl w:val="0"/>
          <w:numId w:val="543"/>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THERS</w:t>
      </w:r>
      <w:r>
        <w:rPr>
          <w:rFonts w:ascii="Arial" w:cs="Arial" w:eastAsia="Arial" w:hAnsi="Arial"/>
          <w:sz w:val="18"/>
          <w:szCs w:val="18"/>
          <w:color w:val="auto"/>
        </w:rPr>
        <w:t>. A director, officer, employee, incorporator or stockholder of the Company, as such, will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78" w:lineRule="exact"/>
        <w:rPr>
          <w:rFonts w:ascii="Arial" w:cs="Arial" w:eastAsia="Arial" w:hAnsi="Arial"/>
          <w:sz w:val="18"/>
          <w:szCs w:val="18"/>
          <w:color w:val="auto"/>
        </w:rPr>
      </w:pPr>
    </w:p>
    <w:p>
      <w:pPr>
        <w:ind w:right="820" w:firstLine="419"/>
        <w:spacing w:after="0" w:line="277" w:lineRule="auto"/>
        <w:tabs>
          <w:tab w:leader="none" w:pos="903" w:val="left"/>
        </w:tabs>
        <w:numPr>
          <w:ilvl w:val="0"/>
          <w:numId w:val="543"/>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UTHENTICATION</w:t>
      </w:r>
      <w:r>
        <w:rPr>
          <w:rFonts w:ascii="Arial" w:cs="Arial" w:eastAsia="Arial" w:hAnsi="Arial"/>
          <w:sz w:val="18"/>
          <w:szCs w:val="18"/>
          <w:color w:val="auto"/>
        </w:rPr>
        <w:t>. This Note will not be valid until authenticated by the manual or electronic signature of the Trustee or an</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authenticating agent.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560"/>
          </w:cols>
          <w:pgMar w:left="880" w:top="274" w:right="459" w:bottom="1440" w:gutter="0" w:footer="0" w:header="0"/>
        </w:sectPr>
      </w:pPr>
    </w:p>
    <w:bookmarkStart w:id="452" w:name="page453"/>
    <w:bookmarkEnd w:id="452"/>
    <w:p>
      <w:pPr>
        <w:ind w:left="440" w:right="260" w:firstLine="419"/>
        <w:spacing w:after="0" w:line="263" w:lineRule="auto"/>
        <w:tabs>
          <w:tab w:leader="none" w:pos="1343" w:val="left"/>
        </w:tabs>
        <w:numPr>
          <w:ilvl w:val="0"/>
          <w:numId w:val="54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i w:val="1"/>
          <w:iCs w:val="1"/>
          <w:color w:val="auto"/>
        </w:rPr>
        <w:t>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75" w:lineRule="exact"/>
        <w:rPr>
          <w:rFonts w:ascii="Arial" w:cs="Arial" w:eastAsia="Arial" w:hAnsi="Arial"/>
          <w:sz w:val="18"/>
          <w:szCs w:val="18"/>
          <w:color w:val="auto"/>
        </w:rPr>
      </w:pPr>
    </w:p>
    <w:p>
      <w:pPr>
        <w:ind w:left="440" w:firstLine="419"/>
        <w:spacing w:after="0" w:line="279" w:lineRule="auto"/>
        <w:tabs>
          <w:tab w:leader="none" w:pos="1343" w:val="left"/>
        </w:tabs>
        <w:numPr>
          <w:ilvl w:val="0"/>
          <w:numId w:val="544"/>
        </w:numPr>
        <w:rPr>
          <w:rFonts w:ascii="Arial" w:cs="Arial" w:eastAsia="Arial" w:hAnsi="Arial"/>
          <w:sz w:val="17"/>
          <w:szCs w:val="17"/>
          <w:color w:val="auto"/>
        </w:rPr>
      </w:pPr>
      <w:r>
        <w:rPr>
          <w:rFonts w:ascii="Arial" w:cs="Arial" w:eastAsia="Arial" w:hAnsi="Arial"/>
          <w:sz w:val="17"/>
          <w:szCs w:val="17"/>
          <w:i w:val="1"/>
          <w:iCs w:val="1"/>
          <w:color w:val="auto"/>
        </w:rPr>
        <w:t>C</w:t>
      </w:r>
      <w:r>
        <w:rPr>
          <w:rFonts w:ascii="Arial" w:cs="Arial" w:eastAsia="Arial" w:hAnsi="Arial"/>
          <w:sz w:val="13"/>
          <w:szCs w:val="13"/>
          <w:i w:val="1"/>
          <w:iCs w:val="1"/>
          <w:color w:val="auto"/>
        </w:rPr>
        <w:t>USIP</w:t>
      </w:r>
      <w:r>
        <w:rPr>
          <w:rFonts w:ascii="Arial" w:cs="Arial" w:eastAsia="Arial" w:hAnsi="Arial"/>
          <w:sz w:val="17"/>
          <w:szCs w:val="17"/>
          <w:i w:val="1"/>
          <w:iCs w:val="1"/>
          <w:color w:val="auto"/>
        </w:rPr>
        <w:t xml:space="preserve"> N</w:t>
      </w:r>
      <w:r>
        <w:rPr>
          <w:rFonts w:ascii="Arial" w:cs="Arial" w:eastAsia="Arial" w:hAnsi="Arial"/>
          <w:sz w:val="13"/>
          <w:szCs w:val="13"/>
          <w:i w:val="1"/>
          <w:iCs w:val="1"/>
          <w:color w:val="auto"/>
        </w:rPr>
        <w:t>UMBERS</w:t>
      </w:r>
      <w:r>
        <w:rPr>
          <w:rFonts w:ascii="Arial" w:cs="Arial" w:eastAsia="Arial" w:hAnsi="Arial"/>
          <w:sz w:val="17"/>
          <w:szCs w:val="17"/>
          <w:color w:val="auto"/>
        </w:rPr>
        <w:t>. Pursuant to a recommendation promulgated by the Committee on Uniform Security Identification Procedures,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63" w:lineRule="exact"/>
        <w:rPr>
          <w:rFonts w:ascii="Arial" w:cs="Arial" w:eastAsia="Arial" w:hAnsi="Arial"/>
          <w:sz w:val="17"/>
          <w:szCs w:val="17"/>
          <w:color w:val="auto"/>
        </w:rPr>
      </w:pPr>
    </w:p>
    <w:p>
      <w:pPr>
        <w:jc w:val="both"/>
        <w:ind w:left="440" w:right="640" w:firstLine="419"/>
        <w:spacing w:after="0" w:line="286" w:lineRule="auto"/>
        <w:tabs>
          <w:tab w:leader="none" w:pos="1343" w:val="left"/>
        </w:tabs>
        <w:numPr>
          <w:ilvl w:val="0"/>
          <w:numId w:val="544"/>
        </w:numPr>
        <w:rPr>
          <w:rFonts w:ascii="Arial" w:cs="Arial" w:eastAsia="Arial" w:hAnsi="Arial"/>
          <w:sz w:val="17"/>
          <w:szCs w:val="17"/>
          <w:color w:val="auto"/>
        </w:rPr>
      </w:pPr>
      <w:r>
        <w:rPr>
          <w:rFonts w:ascii="Arial" w:cs="Arial" w:eastAsia="Arial" w:hAnsi="Arial"/>
          <w:sz w:val="17"/>
          <w:szCs w:val="17"/>
          <w:i w:val="1"/>
          <w:iCs w:val="1"/>
          <w:color w:val="auto"/>
        </w:rPr>
        <w:t>G</w:t>
      </w:r>
      <w:r>
        <w:rPr>
          <w:rFonts w:ascii="Arial" w:cs="Arial" w:eastAsia="Arial" w:hAnsi="Arial"/>
          <w:sz w:val="13"/>
          <w:szCs w:val="13"/>
          <w:i w:val="1"/>
          <w:iCs w:val="1"/>
          <w:color w:val="auto"/>
        </w:rPr>
        <w:t>OVERNING</w:t>
      </w:r>
      <w:r>
        <w:rPr>
          <w:rFonts w:ascii="Arial" w:cs="Arial" w:eastAsia="Arial" w:hAnsi="Arial"/>
          <w:sz w:val="17"/>
          <w:szCs w:val="17"/>
          <w:i w:val="1"/>
          <w:iCs w:val="1"/>
          <w:color w:val="auto"/>
        </w:rPr>
        <w:t xml:space="preserve"> L</w:t>
      </w:r>
      <w:r>
        <w:rPr>
          <w:rFonts w:ascii="Arial" w:cs="Arial" w:eastAsia="Arial" w:hAnsi="Arial"/>
          <w:sz w:val="13"/>
          <w:szCs w:val="13"/>
          <w:i w:val="1"/>
          <w:iCs w:val="1"/>
          <w:color w:val="auto"/>
        </w:rPr>
        <w:t>AW</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 OF THE STATE OF NEW YORK WILL GOVERN AND BE USED TO CONSTRUE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AND THIS NOTE WITHOUT GIVING EFFECT TO APPLICABLE PRINCIPLES OF CONFLICTS OF LAW TO THE EXTENT THAT THE APPLICATION OF THE LAWS OF ANOTHER JURISDICTION WOULD BE REQUIRED THEREBY.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will furnish to any Holder upon written request and without charge a copy of the Indenture. Requests may be made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Studio City Finance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Jayla Place, 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u w:val="single" w:color="auto"/>
          <w:color w:val="auto"/>
        </w:rPr>
        <w:t>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Studio City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40"/>
          </w:cols>
          <w:pgMar w:left="440" w:top="274" w:right="519" w:bottom="1440" w:gutter="0" w:footer="0" w:header="0"/>
        </w:sectPr>
      </w:pPr>
    </w:p>
    <w:bookmarkStart w:id="453" w:name="page454"/>
    <w:bookmarkEnd w:id="45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color w:val="auto"/>
        </w:rPr>
        <w:t>SSIGNMENT</w:t>
      </w:r>
      <w:r>
        <w:rPr>
          <w:rFonts w:ascii="Arial" w:cs="Arial" w:eastAsia="Arial" w:hAnsi="Arial"/>
          <w:sz w:val="18"/>
          <w:szCs w:val="18"/>
          <w:color w:val="auto"/>
        </w:rPr>
        <w:t xml:space="preserve"> F</w:t>
      </w:r>
      <w:r>
        <w:rPr>
          <w:rFonts w:ascii="Arial" w:cs="Arial" w:eastAsia="Arial" w:hAnsi="Arial"/>
          <w:sz w:val="14"/>
          <w:szCs w:val="14"/>
          <w:color w:val="auto"/>
        </w:rPr>
        <w:t>ORM</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assign this Note, fill in the form below:</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14605</wp:posOffset>
            </wp:positionV>
            <wp:extent cx="498030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5">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16"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306070</wp:posOffset>
            </wp:positionV>
            <wp:extent cx="699516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460375</wp:posOffset>
            </wp:positionV>
            <wp:extent cx="699516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614680</wp:posOffset>
            </wp:positionV>
            <wp:extent cx="69951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14605</wp:posOffset>
            </wp:positionV>
            <wp:extent cx="584644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1">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-10160</wp:posOffset>
            </wp:positionV>
            <wp:extent cx="5715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14605</wp:posOffset>
            </wp:positionV>
            <wp:extent cx="192024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-10160</wp:posOffset>
            </wp:positionV>
            <wp:extent cx="139954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4">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32" w:lineRule="exact"/>
        <w:rPr>
          <w:sz w:val="20"/>
          <w:szCs w:val="20"/>
          <w:color w:val="auto"/>
        </w:rPr>
      </w:pPr>
    </w:p>
    <w:p>
      <w:pPr>
        <w:ind w:left="5364" w:right="1720" w:hanging="5364"/>
        <w:spacing w:after="0" w:line="449" w:lineRule="auto"/>
        <w:tabs>
          <w:tab w:leader="none" w:pos="21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ectPr>
          <w:pgSz w:w="11900" w:h="16838" w:orient="portrait"/>
          <w:cols w:equalWidth="0" w:num="1">
            <w:col w:w="10864"/>
          </w:cols>
          <w:pgMar w:left="436" w:top="274" w:right="599" w:bottom="1440" w:gutter="0" w:footer="0" w:header="0"/>
        </w:sectPr>
      </w:pPr>
    </w:p>
    <w:bookmarkStart w:id="454" w:name="page455"/>
    <w:bookmarkEnd w:id="454"/>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117"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If you want to elect to have this Note purchased by the Company pursuant to Section 4.10, Section 4.15 or Section 4.21 of the Indenture, check the appropriate box below:</w:t>
      </w:r>
    </w:p>
    <w:p>
      <w:pPr>
        <w:spacing w:after="0" w:line="165" w:lineRule="exact"/>
        <w:rPr>
          <w:sz w:val="20"/>
          <w:szCs w:val="20"/>
          <w:color w:val="auto"/>
        </w:rPr>
      </w:pPr>
    </w:p>
    <w:p>
      <w:pPr>
        <w:ind w:left="1764"/>
        <w:spacing w:after="0" w:line="207" w:lineRule="exact"/>
        <w:tabs>
          <w:tab w:leader="none" w:pos="5564" w:val="left"/>
          <w:tab w:leader="none" w:pos="794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4.10</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Section 4.15</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Section 4.21</w:t>
      </w:r>
    </w:p>
    <w:p>
      <w:pPr>
        <w:spacing w:after="0" w:line="25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If you want to elect to have only part of the Note purchased by the Company pursuant to Section 4.10, Section 4.15 or Section 4.21 of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Indenture, state the amount you elect to have purchased:</w:t>
      </w:r>
    </w:p>
    <w:p>
      <w:pPr>
        <w:spacing w:after="0" w:line="103" w:lineRule="exact"/>
        <w:rPr>
          <w:sz w:val="20"/>
          <w:szCs w:val="20"/>
          <w:color w:val="auto"/>
        </w:rPr>
      </w:pPr>
    </w:p>
    <w:p>
      <w:pPr>
        <w:jc w:val="center"/>
        <w:ind w:right="256"/>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-10160</wp:posOffset>
            </wp:positionV>
            <wp:extent cx="2286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6">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-10160</wp:posOffset>
            </wp:positionV>
            <wp:extent cx="5715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4963160</wp:posOffset>
            </wp:positionH>
            <wp:positionV relativeFrom="paragraph">
              <wp:posOffset>14605</wp:posOffset>
            </wp:positionV>
            <wp:extent cx="203136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6" w:lineRule="exact"/>
        <w:rPr>
          <w:sz w:val="20"/>
          <w:szCs w:val="20"/>
          <w:color w:val="auto"/>
        </w:rPr>
      </w:pPr>
    </w:p>
    <w:p>
      <w:pPr>
        <w:ind w:left="7344"/>
        <w:spacing w:after="0"/>
        <w:rPr>
          <w:sz w:val="20"/>
          <w:szCs w:val="20"/>
          <w:color w:val="auto"/>
        </w:rPr>
      </w:pPr>
      <w:r>
        <w:rPr>
          <w:rFonts w:ascii="Arial" w:cs="Arial" w:eastAsia="Arial" w:hAnsi="Arial"/>
          <w:sz w:val="16"/>
          <w:szCs w:val="16"/>
          <w:color w:val="auto"/>
        </w:rPr>
        <w:t>(Sign exactly as your name appears on the face of</w:t>
      </w:r>
    </w:p>
    <w:p>
      <w:pPr>
        <w:spacing w:after="0" w:line="46" w:lineRule="exact"/>
        <w:rPr>
          <w:sz w:val="20"/>
          <w:szCs w:val="20"/>
          <w:color w:val="auto"/>
        </w:rPr>
      </w:pPr>
    </w:p>
    <w:p>
      <w:pPr>
        <w:ind w:left="7344"/>
        <w:spacing w:after="0"/>
        <w:rPr>
          <w:sz w:val="20"/>
          <w:szCs w:val="20"/>
          <w:color w:val="auto"/>
        </w:rPr>
      </w:pPr>
      <w:r>
        <w:rPr>
          <w:rFonts w:ascii="Arial" w:cs="Arial" w:eastAsia="Arial" w:hAnsi="Arial"/>
          <w:sz w:val="18"/>
          <w:szCs w:val="18"/>
          <w:color w:val="auto"/>
        </w:rPr>
        <w:t>this Note)</w:t>
      </w:r>
    </w:p>
    <w:p>
      <w:pPr>
        <w:spacing w:after="0" w:line="23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5280660</wp:posOffset>
            </wp:positionH>
            <wp:positionV relativeFrom="paragraph">
              <wp:posOffset>14605</wp:posOffset>
            </wp:positionV>
            <wp:extent cx="17145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-10160</wp:posOffset>
            </wp:positionV>
            <wp:extent cx="5715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5364" w:right="1780" w:hanging="5364"/>
        <w:spacing w:after="0" w:line="449" w:lineRule="auto"/>
        <w:tabs>
          <w:tab w:leader="none" w:pos="212" w:val="left"/>
        </w:tabs>
        <w:numPr>
          <w:ilvl w:val="0"/>
          <w:numId w:val="546"/>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0924"/>
          </w:cols>
          <w:pgMar w:left="436" w:top="274" w:right="539" w:bottom="1440" w:gutter="0" w:footer="0" w:header="0"/>
        </w:sectPr>
      </w:pPr>
    </w:p>
    <w:bookmarkStart w:id="455" w:name="page456"/>
    <w:bookmarkEnd w:id="455"/>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8"/>
          <w:szCs w:val="18"/>
          <w:color w:val="auto"/>
        </w:rPr>
        <w:t xml:space="preserve"> E</w:t>
      </w:r>
      <w:r>
        <w:rPr>
          <w:rFonts w:ascii="Arial" w:cs="Arial" w:eastAsia="Arial" w:hAnsi="Arial"/>
          <w:sz w:val="14"/>
          <w:szCs w:val="14"/>
          <w:color w:val="auto"/>
        </w:rPr>
        <w:t>XCHANGES OF</w:t>
      </w:r>
      <w:r>
        <w:rPr>
          <w:rFonts w:ascii="Arial" w:cs="Arial" w:eastAsia="Arial" w:hAnsi="Arial"/>
          <w:sz w:val="18"/>
          <w:szCs w:val="18"/>
          <w:color w:val="auto"/>
        </w:rPr>
        <w:t xml:space="preserve"> I</w:t>
      </w:r>
      <w:r>
        <w:rPr>
          <w:rFonts w:ascii="Arial" w:cs="Arial" w:eastAsia="Arial" w:hAnsi="Arial"/>
          <w:sz w:val="14"/>
          <w:szCs w:val="14"/>
          <w:color w:val="auto"/>
        </w:rPr>
        <w:t>NTERESTS IN THE</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N</w:t>
      </w:r>
      <w:r>
        <w:rPr>
          <w:rFonts w:ascii="Arial" w:cs="Arial" w:eastAsia="Arial" w:hAnsi="Arial"/>
          <w:sz w:val="14"/>
          <w:szCs w:val="14"/>
          <w:color w:val="auto"/>
        </w:rPr>
        <w:t>OTE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40" w:type="dxa"/>
            <w:vAlign w:val="bottom"/>
            <w:gridSpan w:val="2"/>
          </w:tcPr>
          <w:p>
            <w:pPr>
              <w:jc w:val="center"/>
              <w:ind w:right="1100"/>
              <w:spacing w:after="0"/>
              <w:rPr>
                <w:sz w:val="20"/>
                <w:szCs w:val="20"/>
                <w:color w:val="auto"/>
              </w:rPr>
            </w:pPr>
            <w:r>
              <w:rPr>
                <w:rFonts w:ascii="Arial" w:cs="Arial" w:eastAsia="Arial" w:hAnsi="Arial"/>
                <w:sz w:val="14"/>
                <w:szCs w:val="14"/>
                <w:color w:val="auto"/>
              </w:rPr>
              <w:t>Amount of</w:t>
            </w:r>
          </w:p>
        </w:tc>
        <w:tc>
          <w:tcPr>
            <w:tcW w:w="2160" w:type="dxa"/>
            <w:vAlign w:val="bottom"/>
            <w:gridSpan w:val="2"/>
          </w:tcPr>
          <w:p>
            <w:pPr>
              <w:jc w:val="center"/>
              <w:ind w:right="1100"/>
              <w:spacing w:after="0"/>
              <w:rPr>
                <w:sz w:val="20"/>
                <w:szCs w:val="20"/>
                <w:color w:val="auto"/>
              </w:rPr>
            </w:pPr>
            <w:r>
              <w:rPr>
                <w:rFonts w:ascii="Arial" w:cs="Arial" w:eastAsia="Arial" w:hAnsi="Arial"/>
                <w:sz w:val="14"/>
                <w:szCs w:val="14"/>
                <w:color w:val="auto"/>
                <w:w w:val="97"/>
              </w:rPr>
              <w:t>Amount of</w:t>
            </w:r>
          </w:p>
        </w:tc>
        <w:tc>
          <w:tcPr>
            <w:tcW w:w="2140" w:type="dxa"/>
            <w:vAlign w:val="bottom"/>
            <w:gridSpan w:val="2"/>
          </w:tcPr>
          <w:p>
            <w:pPr>
              <w:jc w:val="center"/>
              <w:ind w:right="1120"/>
              <w:spacing w:after="0"/>
              <w:rPr>
                <w:sz w:val="20"/>
                <w:szCs w:val="20"/>
                <w:color w:val="auto"/>
              </w:rPr>
            </w:pPr>
            <w:r>
              <w:rPr>
                <w:rFonts w:ascii="Arial" w:cs="Arial" w:eastAsia="Arial" w:hAnsi="Arial"/>
                <w:sz w:val="14"/>
                <w:szCs w:val="14"/>
                <w:color w:val="auto"/>
                <w:w w:val="96"/>
              </w:rPr>
              <w:t>Principal Amount</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4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88"/>
              </w:rPr>
              <w:t>decrease in</w:t>
            </w:r>
          </w:p>
        </w:tc>
        <w:tc>
          <w:tcPr>
            <w:tcW w:w="216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91"/>
              </w:rPr>
              <w:t>increase in</w:t>
            </w:r>
          </w:p>
        </w:tc>
        <w:tc>
          <w:tcPr>
            <w:tcW w:w="214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95"/>
              </w:rPr>
              <w:t>of this Global</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Signature of</w:t>
            </w:r>
          </w:p>
        </w:tc>
        <w:tc>
          <w:tcPr>
            <w:tcW w:w="0" w:type="dxa"/>
            <w:vAlign w:val="bottom"/>
          </w:tcPr>
          <w:p>
            <w:pPr>
              <w:spacing w:after="0"/>
              <w:rPr>
                <w:sz w:val="1"/>
                <w:szCs w:val="1"/>
                <w:color w:val="auto"/>
              </w:rPr>
            </w:pPr>
          </w:p>
        </w:tc>
      </w:tr>
      <w:tr>
        <w:trPr>
          <w:trHeight w:val="148"/>
        </w:trPr>
        <w:tc>
          <w:tcPr>
            <w:tcW w:w="2620" w:type="dxa"/>
            <w:vAlign w:val="bottom"/>
            <w:gridSpan w:val="2"/>
            <w:vMerge w:val="restart"/>
          </w:tcPr>
          <w:p>
            <w:pPr>
              <w:jc w:val="center"/>
              <w:ind w:right="1060"/>
              <w:spacing w:after="0"/>
              <w:rPr>
                <w:sz w:val="20"/>
                <w:szCs w:val="20"/>
                <w:color w:val="auto"/>
              </w:rPr>
            </w:pPr>
            <w:r>
              <w:rPr>
                <w:rFonts w:ascii="Arial" w:cs="Arial" w:eastAsia="Arial" w:hAnsi="Arial"/>
                <w:sz w:val="14"/>
                <w:szCs w:val="14"/>
                <w:color w:val="auto"/>
                <w:w w:val="97"/>
              </w:rPr>
              <w:t>Date of</w:t>
            </w:r>
          </w:p>
        </w:tc>
        <w:tc>
          <w:tcPr>
            <w:tcW w:w="214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98"/>
              </w:rPr>
              <w:t>Principal Amount</w:t>
            </w:r>
          </w:p>
        </w:tc>
        <w:tc>
          <w:tcPr>
            <w:tcW w:w="216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96"/>
              </w:rPr>
              <w:t>Principal Amount</w:t>
            </w:r>
          </w:p>
        </w:tc>
        <w:tc>
          <w:tcPr>
            <w:tcW w:w="214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rPr>
              <w:t>Note following</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authorized officer</w:t>
            </w:r>
          </w:p>
        </w:tc>
        <w:tc>
          <w:tcPr>
            <w:tcW w:w="0" w:type="dxa"/>
            <w:vAlign w:val="bottom"/>
          </w:tcPr>
          <w:p>
            <w:pPr>
              <w:spacing w:after="0"/>
              <w:rPr>
                <w:sz w:val="1"/>
                <w:szCs w:val="1"/>
                <w:color w:val="auto"/>
              </w:rPr>
            </w:pPr>
          </w:p>
        </w:tc>
      </w:tr>
      <w:tr>
        <w:trPr>
          <w:trHeight w:val="140"/>
        </w:trPr>
        <w:tc>
          <w:tcPr>
            <w:tcW w:w="2620" w:type="dxa"/>
            <w:vAlign w:val="bottom"/>
            <w:gridSpan w:val="2"/>
            <w:vMerge w:val="continue"/>
          </w:tcPr>
          <w:p>
            <w:pPr>
              <w:spacing w:after="0"/>
              <w:rPr>
                <w:sz w:val="12"/>
                <w:szCs w:val="12"/>
                <w:color w:val="auto"/>
              </w:rPr>
            </w:pPr>
          </w:p>
        </w:tc>
        <w:tc>
          <w:tcPr>
            <w:tcW w:w="2140" w:type="dxa"/>
            <w:vAlign w:val="bottom"/>
            <w:gridSpan w:val="2"/>
          </w:tcPr>
          <w:p>
            <w:pPr>
              <w:jc w:val="center"/>
              <w:ind w:right="1100"/>
              <w:spacing w:after="0" w:line="141" w:lineRule="exact"/>
              <w:rPr>
                <w:sz w:val="20"/>
                <w:szCs w:val="20"/>
                <w:color w:val="auto"/>
              </w:rPr>
            </w:pPr>
            <w:r>
              <w:rPr>
                <w:rFonts w:ascii="Arial" w:cs="Arial" w:eastAsia="Arial" w:hAnsi="Arial"/>
                <w:sz w:val="14"/>
                <w:szCs w:val="14"/>
                <w:color w:val="auto"/>
              </w:rPr>
              <w:t>of</w:t>
            </w:r>
          </w:p>
        </w:tc>
        <w:tc>
          <w:tcPr>
            <w:tcW w:w="2160" w:type="dxa"/>
            <w:vAlign w:val="bottom"/>
            <w:gridSpan w:val="2"/>
          </w:tcPr>
          <w:p>
            <w:pPr>
              <w:jc w:val="center"/>
              <w:ind w:right="1120"/>
              <w:spacing w:after="0" w:line="141" w:lineRule="exact"/>
              <w:rPr>
                <w:sz w:val="20"/>
                <w:szCs w:val="20"/>
                <w:color w:val="auto"/>
              </w:rPr>
            </w:pPr>
            <w:r>
              <w:rPr>
                <w:rFonts w:ascii="Arial" w:cs="Arial" w:eastAsia="Arial" w:hAnsi="Arial"/>
                <w:sz w:val="14"/>
                <w:szCs w:val="14"/>
                <w:color w:val="auto"/>
              </w:rPr>
              <w:t>of</w:t>
            </w:r>
          </w:p>
        </w:tc>
        <w:tc>
          <w:tcPr>
            <w:tcW w:w="2140" w:type="dxa"/>
            <w:vAlign w:val="bottom"/>
            <w:gridSpan w:val="2"/>
          </w:tcPr>
          <w:p>
            <w:pPr>
              <w:jc w:val="center"/>
              <w:ind w:right="1100"/>
              <w:spacing w:after="0" w:line="141" w:lineRule="exact"/>
              <w:rPr>
                <w:sz w:val="20"/>
                <w:szCs w:val="20"/>
                <w:color w:val="auto"/>
              </w:rPr>
            </w:pPr>
            <w:r>
              <w:rPr>
                <w:rFonts w:ascii="Arial" w:cs="Arial" w:eastAsia="Arial" w:hAnsi="Arial"/>
                <w:sz w:val="14"/>
                <w:szCs w:val="14"/>
                <w:color w:val="auto"/>
                <w:w w:val="87"/>
              </w:rPr>
              <w:t>such decrease</w:t>
            </w:r>
          </w:p>
        </w:tc>
        <w:tc>
          <w:tcPr>
            <w:tcW w:w="1060" w:type="dxa"/>
            <w:vAlign w:val="bottom"/>
            <w:gridSpan w:val="2"/>
          </w:tcPr>
          <w:p>
            <w:pPr>
              <w:jc w:val="center"/>
              <w:ind w:right="40"/>
              <w:spacing w:after="0" w:line="141" w:lineRule="exact"/>
              <w:rPr>
                <w:sz w:val="20"/>
                <w:szCs w:val="20"/>
                <w:color w:val="auto"/>
              </w:rPr>
            </w:pPr>
            <w:r>
              <w:rPr>
                <w:rFonts w:ascii="Arial" w:cs="Arial" w:eastAsia="Arial" w:hAnsi="Arial"/>
                <w:sz w:val="14"/>
                <w:szCs w:val="14"/>
                <w:color w:val="auto"/>
                <w:w w:val="93"/>
              </w:rPr>
              <w:t>of Trustee or</w:t>
            </w:r>
          </w:p>
        </w:tc>
        <w:tc>
          <w:tcPr>
            <w:tcW w:w="0" w:type="dxa"/>
            <w:vAlign w:val="bottom"/>
          </w:tcPr>
          <w:p>
            <w:pPr>
              <w:spacing w:after="0"/>
              <w:rPr>
                <w:sz w:val="1"/>
                <w:szCs w:val="1"/>
                <w:color w:val="auto"/>
              </w:rPr>
            </w:pPr>
          </w:p>
        </w:tc>
      </w:tr>
      <w:tr>
        <w:trPr>
          <w:trHeight w:val="176"/>
        </w:trPr>
        <w:tc>
          <w:tcPr>
            <w:tcW w:w="2620" w:type="dxa"/>
            <w:vAlign w:val="bottom"/>
            <w:gridSpan w:val="2"/>
          </w:tcPr>
          <w:p>
            <w:pPr>
              <w:jc w:val="center"/>
              <w:ind w:right="1060"/>
              <w:spacing w:after="0"/>
              <w:rPr>
                <w:sz w:val="20"/>
                <w:szCs w:val="20"/>
                <w:color w:val="auto"/>
              </w:rPr>
            </w:pPr>
            <w:r>
              <w:rPr>
                <w:rFonts w:ascii="Arial" w:cs="Arial" w:eastAsia="Arial" w:hAnsi="Arial"/>
                <w:sz w:val="14"/>
                <w:szCs w:val="14"/>
                <w:color w:val="auto"/>
                <w:w w:val="89"/>
              </w:rPr>
              <w:t>Exchange</w:t>
            </w:r>
          </w:p>
        </w:tc>
        <w:tc>
          <w:tcPr>
            <w:tcW w:w="2140" w:type="dxa"/>
            <w:vAlign w:val="bottom"/>
            <w:gridSpan w:val="2"/>
          </w:tcPr>
          <w:p>
            <w:pPr>
              <w:jc w:val="center"/>
              <w:ind w:right="1100"/>
              <w:spacing w:after="0"/>
              <w:rPr>
                <w:sz w:val="20"/>
                <w:szCs w:val="20"/>
                <w:color w:val="auto"/>
              </w:rPr>
            </w:pPr>
            <w:r>
              <w:rPr>
                <w:rFonts w:ascii="Arial" w:cs="Arial" w:eastAsia="Arial" w:hAnsi="Arial"/>
                <w:sz w:val="14"/>
                <w:szCs w:val="14"/>
                <w:color w:val="auto"/>
                <w:w w:val="96"/>
              </w:rPr>
              <w:t>this Global Note</w:t>
            </w:r>
          </w:p>
        </w:tc>
        <w:tc>
          <w:tcPr>
            <w:tcW w:w="2160" w:type="dxa"/>
            <w:vAlign w:val="bottom"/>
            <w:gridSpan w:val="2"/>
          </w:tcPr>
          <w:p>
            <w:pPr>
              <w:jc w:val="center"/>
              <w:ind w:right="1100"/>
              <w:spacing w:after="0"/>
              <w:rPr>
                <w:sz w:val="20"/>
                <w:szCs w:val="20"/>
                <w:color w:val="auto"/>
              </w:rPr>
            </w:pPr>
            <w:r>
              <w:rPr>
                <w:rFonts w:ascii="Arial" w:cs="Arial" w:eastAsia="Arial" w:hAnsi="Arial"/>
                <w:sz w:val="14"/>
                <w:szCs w:val="14"/>
                <w:color w:val="auto"/>
                <w:w w:val="94"/>
              </w:rPr>
              <w:t>this Global Note</w:t>
            </w:r>
          </w:p>
        </w:tc>
        <w:tc>
          <w:tcPr>
            <w:tcW w:w="2140" w:type="dxa"/>
            <w:vAlign w:val="bottom"/>
            <w:gridSpan w:val="2"/>
          </w:tcPr>
          <w:p>
            <w:pPr>
              <w:jc w:val="center"/>
              <w:ind w:right="1100"/>
              <w:spacing w:after="0"/>
              <w:rPr>
                <w:sz w:val="20"/>
                <w:szCs w:val="20"/>
                <w:color w:val="auto"/>
              </w:rPr>
            </w:pPr>
            <w:r>
              <w:rPr>
                <w:rFonts w:ascii="Arial" w:cs="Arial" w:eastAsia="Arial" w:hAnsi="Arial"/>
                <w:sz w:val="14"/>
                <w:szCs w:val="14"/>
                <w:color w:val="auto"/>
                <w:w w:val="91"/>
              </w:rPr>
              <w:t>(or increase)</w:t>
            </w:r>
          </w:p>
        </w:tc>
        <w:tc>
          <w:tcPr>
            <w:tcW w:w="106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Custodian</w:t>
            </w:r>
          </w:p>
        </w:tc>
        <w:tc>
          <w:tcPr>
            <w:tcW w:w="0" w:type="dxa"/>
            <w:vAlign w:val="bottom"/>
          </w:tcPr>
          <w:p>
            <w:pPr>
              <w:spacing w:after="0"/>
              <w:rPr>
                <w:sz w:val="1"/>
                <w:szCs w:val="1"/>
                <w:color w:val="auto"/>
              </w:rPr>
            </w:pPr>
          </w:p>
        </w:tc>
      </w:tr>
      <w:tr>
        <w:trPr>
          <w:trHeight w:val="196"/>
        </w:trPr>
        <w:tc>
          <w:tcPr>
            <w:tcW w:w="15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680"/>
          </w:cols>
          <w:pgMar w:left="440" w:top="274" w:right="779" w:bottom="1440" w:gutter="0" w:footer="0" w:header="0"/>
        </w:sectPr>
      </w:pPr>
    </w:p>
    <w:bookmarkStart w:id="456" w:name="page457"/>
    <w:bookmarkEnd w:id="4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 address block</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6.500% Senior Notes due 2028 of Studio City Finance Limited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Reference is hereby made to the Indenture, dated as of July 15,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Studio City Finance Limited,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each Subsidiary Guarantor and Deutsche Bank Trust Company Americas, as trustee. Capitalized terms used but not defined herein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meanings given to them in the Indenture.</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 the principal</w:t>
      </w:r>
    </w:p>
    <w:p>
      <w:pPr>
        <w:spacing w:after="0" w:line="46" w:lineRule="exact"/>
        <w:rPr>
          <w:sz w:val="20"/>
          <w:szCs w:val="20"/>
          <w:color w:val="auto"/>
        </w:rPr>
      </w:pPr>
    </w:p>
    <w:p>
      <w:pPr>
        <w:ind w:right="760"/>
        <w:spacing w:after="0" w:line="260" w:lineRule="auto"/>
        <w:rPr>
          <w:sz w:val="20"/>
          <w:szCs w:val="20"/>
          <w:color w:val="auto"/>
        </w:rPr>
      </w:pPr>
      <w:r>
        <w:rPr>
          <w:rFonts w:ascii="Arial" w:cs="Arial" w:eastAsia="Arial" w:hAnsi="Arial"/>
          <w:sz w:val="18"/>
          <w:szCs w:val="18"/>
          <w:color w:val="auto"/>
        </w:rPr>
        <w:t>amount of US$ 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 (the “</w:t>
      </w:r>
      <w:r>
        <w:rPr>
          <w:rFonts w:ascii="Arial" w:cs="Arial" w:eastAsia="Arial" w:hAnsi="Arial"/>
          <w:sz w:val="18"/>
          <w:szCs w:val="18"/>
          <w:i w:val="1"/>
          <w:iCs w:val="1"/>
          <w:color w:val="auto"/>
        </w:rPr>
        <w:t>Transferee</w:t>
      </w:r>
      <w:r>
        <w:rPr>
          <w:rFonts w:ascii="Arial" w:cs="Arial" w:eastAsia="Arial" w:hAnsi="Arial"/>
          <w:sz w:val="18"/>
          <w:szCs w:val="18"/>
          <w:color w:val="auto"/>
        </w:rPr>
        <w:t>”), as further specified in Annex A hereto. In connection with the Transfer, the Transferor hereby certifies that: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ind w:right="60" w:firstLine="436"/>
        <w:spacing w:after="0" w:line="221" w:lineRule="exact"/>
        <w:tabs>
          <w:tab w:leader="none" w:pos="755" w:val="left"/>
        </w:tabs>
        <w:numPr>
          <w:ilvl w:val="0"/>
          <w:numId w:val="54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144A Global Note or a Restricted Definitive Note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Rule 144A.</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144A under the Securities Act of 1933, as amended (the “</w:t>
      </w:r>
      <w:r>
        <w:rPr>
          <w:rFonts w:ascii="Arial" w:cs="Arial" w:eastAsia="Arial" w:hAnsi="Arial"/>
          <w:sz w:val="16"/>
          <w:szCs w:val="16"/>
          <w:i w:val="1"/>
          <w:iCs w:val="1"/>
          <w:color w:val="auto"/>
        </w:rPr>
        <w:t>Securities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and, accordingly, the Transferor hereby further certifies that the beneficial interest or Definitive Note is being transferred to a Person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2" w:lineRule="exact"/>
        <w:rPr>
          <w:rFonts w:ascii="Arial" w:cs="Arial" w:eastAsia="Arial" w:hAnsi="Arial"/>
          <w:sz w:val="16"/>
          <w:szCs w:val="16"/>
          <w:color w:val="auto"/>
        </w:rPr>
      </w:pPr>
    </w:p>
    <w:p>
      <w:pPr>
        <w:ind w:right="40" w:firstLine="436"/>
        <w:spacing w:after="0" w:line="220" w:lineRule="exact"/>
        <w:tabs>
          <w:tab w:leader="none" w:pos="755" w:val="left"/>
        </w:tabs>
        <w:numPr>
          <w:ilvl w:val="0"/>
          <w:numId w:val="547"/>
        </w:numPr>
        <w:rPr>
          <w:rFonts w:ascii="Arial" w:cs="Arial" w:eastAsia="Arial" w:hAnsi="Arial"/>
          <w:sz w:val="16"/>
          <w:szCs w:val="16"/>
          <w:color w:val="auto"/>
        </w:rPr>
      </w:pPr>
      <w:r>
        <w:rPr>
          <w:rFonts w:ascii="MS PGothic" w:cs="MS PGothic" w:eastAsia="MS PGothic" w:hAnsi="MS PGothic"/>
          <w:sz w:val="16"/>
          <w:szCs w:val="16"/>
          <w:u w:val="single" w:color="auto"/>
          <w:color w:val="auto"/>
        </w:rPr>
        <w:t>☐</w:t>
      </w:r>
      <w:r>
        <w:rPr>
          <w:rFonts w:ascii="Arial" w:cs="Arial" w:eastAsia="Arial" w:hAnsi="Arial"/>
          <w:sz w:val="16"/>
          <w:szCs w:val="16"/>
          <w:b w:val="1"/>
          <w:bCs w:val="1"/>
          <w:u w:val="single" w:color="auto"/>
          <w:color w:val="auto"/>
        </w:rPr>
        <w:t>Check if Transferee will take delivery of a beneficial interest in the Regulation S Global Note or a Restricted Definitive Note pursuant to Regulation S</w:t>
      </w:r>
      <w:r>
        <w:rPr>
          <w:rFonts w:ascii="Arial" w:cs="Arial" w:eastAsia="Arial" w:hAnsi="Arial"/>
          <w:sz w:val="16"/>
          <w:szCs w:val="16"/>
          <w:color w:val="auto"/>
        </w:rPr>
        <w:t>. The Transfer is being effected pursuant to and in accordance with Rule 903 or Rule 904 under the Securities Act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457" w:name="page458"/>
    <w:bookmarkEnd w:id="457"/>
    <w:p>
      <w:pPr>
        <w:ind w:left="440" w:hanging="4"/>
        <w:spacing w:after="0" w:line="226" w:lineRule="exact"/>
        <w:tabs>
          <w:tab w:leader="none" w:pos="755" w:val="left"/>
        </w:tabs>
        <w:numPr>
          <w:ilvl w:val="0"/>
          <w:numId w:val="548"/>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Check and complete if Transferee will take delivery of a beneficial interest in a Restricted Definitive Note pursuant to 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provision of the Securities Act other than Rule 144A or Regulation S</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Transfer is being effected in compliance with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62" w:lineRule="exact"/>
        <w:rPr>
          <w:rFonts w:ascii="Arial" w:cs="Arial" w:eastAsia="Arial" w:hAnsi="Arial"/>
          <w:sz w:val="18"/>
          <w:szCs w:val="18"/>
          <w:color w:val="auto"/>
        </w:rPr>
      </w:pPr>
    </w:p>
    <w:p>
      <w:pPr>
        <w:ind w:left="1240" w:hanging="381"/>
        <w:spacing w:after="0" w:line="207" w:lineRule="exact"/>
        <w:tabs>
          <w:tab w:leader="none" w:pos="1240" w:val="left"/>
        </w:tabs>
        <w:numPr>
          <w:ilvl w:val="1"/>
          <w:numId w:val="5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2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860"/>
        <w:spacing w:after="0" w:line="207" w:lineRule="exact"/>
        <w:tabs>
          <w:tab w:leader="none" w:pos="122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such Transfer is being effected to the Company or a subsidiary thereof;</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440" w:right="240" w:firstLine="419"/>
        <w:spacing w:after="0" w:line="239" w:lineRule="exact"/>
        <w:tabs>
          <w:tab w:leader="none" w:pos="1243" w:val="left"/>
        </w:tabs>
        <w:numPr>
          <w:ilvl w:val="1"/>
          <w:numId w:val="5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70" w:lineRule="exact"/>
        <w:rPr>
          <w:rFonts w:ascii="Arial" w:cs="Arial" w:eastAsia="Arial" w:hAnsi="Arial"/>
          <w:sz w:val="18"/>
          <w:szCs w:val="18"/>
          <w:color w:val="auto"/>
        </w:rPr>
      </w:pPr>
    </w:p>
    <w:p>
      <w:pPr>
        <w:ind w:left="760" w:hanging="324"/>
        <w:spacing w:after="0" w:line="184" w:lineRule="exact"/>
        <w:tabs>
          <w:tab w:leader="none" w:pos="760" w:val="left"/>
        </w:tabs>
        <w:numPr>
          <w:ilvl w:val="0"/>
          <w:numId w:val="55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b w:val="1"/>
          <w:bCs w:val="1"/>
          <w:color w:val="auto"/>
        </w:rPr>
        <w:t>.</w:t>
      </w:r>
    </w:p>
    <w:p>
      <w:pPr>
        <w:spacing w:after="0" w:line="248" w:lineRule="exact"/>
        <w:rPr>
          <w:sz w:val="20"/>
          <w:szCs w:val="20"/>
          <w:color w:val="auto"/>
        </w:rPr>
      </w:pPr>
    </w:p>
    <w:p>
      <w:pPr>
        <w:ind w:right="100" w:firstLine="436"/>
        <w:spacing w:after="0" w:line="224" w:lineRule="exact"/>
        <w:tabs>
          <w:tab w:leader="none" w:pos="865" w:val="left"/>
        </w:tabs>
        <w:numPr>
          <w:ilvl w:val="0"/>
          <w:numId w:val="55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Rule 144</w:t>
      </w:r>
      <w:r>
        <w:rPr>
          <w:rFonts w:ascii="Arial" w:cs="Arial" w:eastAsia="Arial" w:hAnsi="Arial"/>
          <w:sz w:val="17"/>
          <w:szCs w:val="17"/>
          <w:color w:val="auto"/>
        </w:rPr>
        <w:t>. (i) The Transfer is being effected pursuant to and in accordance with Rule 144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7"/>
          <w:szCs w:val="17"/>
          <w:color w:val="auto"/>
        </w:rPr>
      </w:pPr>
    </w:p>
    <w:p>
      <w:pPr>
        <w:ind w:firstLine="436"/>
        <w:spacing w:after="0" w:line="224" w:lineRule="exact"/>
        <w:tabs>
          <w:tab w:leader="none" w:pos="875" w:val="left"/>
        </w:tabs>
        <w:numPr>
          <w:ilvl w:val="0"/>
          <w:numId w:val="55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w:t>
      </w:r>
      <w:r>
        <w:rPr>
          <w:rFonts w:ascii="Arial" w:cs="Arial" w:eastAsia="Arial" w:hAnsi="Arial"/>
          <w:sz w:val="17"/>
          <w:szCs w:val="17"/>
          <w:color w:val="auto"/>
        </w:rPr>
        <w:t>. (i) The Transfer is being effected pursuant to and in accordance with Rule 903 or Rule</w:t>
      </w:r>
      <w:r>
        <w:rPr>
          <w:rFonts w:ascii="Arial" w:cs="Arial" w:eastAsia="Arial" w:hAnsi="Arial"/>
          <w:sz w:val="17"/>
          <w:szCs w:val="17"/>
          <w:b w:val="1"/>
          <w:bCs w:val="1"/>
          <w:color w:val="auto"/>
        </w:rPr>
        <w:t xml:space="preserve"> </w:t>
      </w:r>
      <w:r>
        <w:rPr>
          <w:rFonts w:ascii="Arial" w:cs="Arial" w:eastAsia="Arial" w:hAnsi="Arial"/>
          <w:sz w:val="17"/>
          <w:szCs w:val="17"/>
          <w:color w:val="auto"/>
        </w:rPr>
        <w:t>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7"/>
          <w:szCs w:val="17"/>
          <w:color w:val="auto"/>
        </w:rPr>
      </w:pPr>
    </w:p>
    <w:p>
      <w:pPr>
        <w:ind w:right="20" w:firstLine="436"/>
        <w:spacing w:after="0" w:line="223" w:lineRule="exact"/>
        <w:tabs>
          <w:tab w:leader="none" w:pos="865" w:val="left"/>
        </w:tabs>
        <w:numPr>
          <w:ilvl w:val="0"/>
          <w:numId w:val="5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Other Exemption</w:t>
      </w:r>
      <w:r>
        <w:rPr>
          <w:rFonts w:ascii="Arial" w:cs="Arial" w:eastAsia="Arial" w:hAnsi="Arial"/>
          <w:sz w:val="18"/>
          <w:szCs w:val="18"/>
          <w:color w:val="auto"/>
        </w:rPr>
        <w:t>. (i) The Transfer is being effected pursuant to and in compliance with an exemption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41" w:right="459" w:bottom="1440" w:gutter="0" w:footer="0" w:header="0"/>
        </w:sectPr>
      </w:pPr>
    </w:p>
    <w:bookmarkStart w:id="458" w:name="page459"/>
    <w:bookmarkEnd w:id="458"/>
    <w:p>
      <w:pPr>
        <w:jc w:val="right"/>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474345</wp:posOffset>
            </wp:positionV>
            <wp:extent cx="279463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5">
                      <a:extLst>
                        <a:ext uri="{28A0092B-C50C-407E-A947-70E740481C1C}"/>
                      </a:extLst>
                    </a:blip>
                    <a:srcRect/>
                    <a:stretch>
                      <a:fillRect/>
                    </a:stretch>
                  </pic:blipFill>
                  <pic:spPr bwMode="auto">
                    <a:xfrm>
                      <a:off x="0" y="0"/>
                      <a:ext cx="2794635" cy="8890"/>
                    </a:xfrm>
                    <a:prstGeom prst="rect">
                      <a:avLst/>
                    </a:prstGeom>
                    <a:noFill/>
                  </pic:spPr>
                </pic:pic>
              </a:graphicData>
            </a:graphic>
          </wp:anchor>
        </w:drawing>
        <w:t>[Insert Name of Transferor]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019"/>
          </w:cols>
          <w:pgMar w:left="440" w:top="760" w:right="1440" w:bottom="1440" w:gutter="0" w:footer="0" w:header="0"/>
        </w:sectPr>
      </w:pPr>
    </w:p>
    <w:bookmarkStart w:id="459" w:name="page460"/>
    <w:bookmarkEnd w:id="459"/>
    <w:p>
      <w:pPr>
        <w:jc w:val="right"/>
        <w:ind w:right="2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 CERTIFICATE OF TRANSFER</w:t>
      </w:r>
    </w:p>
    <w:p>
      <w:pPr>
        <w:spacing w:after="0" w:line="256" w:lineRule="exact"/>
        <w:rPr>
          <w:sz w:val="20"/>
          <w:szCs w:val="20"/>
          <w:color w:val="auto"/>
        </w:rPr>
      </w:pPr>
    </w:p>
    <w:p>
      <w:pPr>
        <w:ind w:left="424" w:hanging="424"/>
        <w:spacing w:after="0"/>
        <w:tabs>
          <w:tab w:leader="none" w:pos="42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4404"/>
        <w:spacing w:after="0"/>
        <w:rPr>
          <w:sz w:val="20"/>
          <w:szCs w:val="20"/>
          <w:color w:val="auto"/>
        </w:rPr>
      </w:pPr>
      <w:r>
        <w:rPr>
          <w:rFonts w:ascii="Arial" w:cs="Arial" w:eastAsia="Arial" w:hAnsi="Arial"/>
          <w:sz w:val="18"/>
          <w:szCs w:val="18"/>
          <w:color w:val="auto"/>
        </w:rPr>
        <w:t>[CHECK ONE OF (a) OR (b)]</w:t>
      </w:r>
    </w:p>
    <w:p>
      <w:pPr>
        <w:spacing w:after="0" w:line="98" w:lineRule="exact"/>
        <w:rPr>
          <w:sz w:val="20"/>
          <w:szCs w:val="20"/>
          <w:color w:val="auto"/>
        </w:rPr>
      </w:pPr>
    </w:p>
    <w:p>
      <w:pPr>
        <w:ind w:left="964" w:hanging="532"/>
        <w:spacing w:after="0" w:line="207" w:lineRule="exact"/>
        <w:tabs>
          <w:tab w:leader="none" w:pos="964" w:val="left"/>
        </w:tabs>
        <w:numPr>
          <w:ilvl w:val="0"/>
          <w:numId w:val="55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ectPr>
          <w:pgSz w:w="11900" w:h="16838" w:orient="portrait"/>
          <w:cols w:equalWidth="0" w:num="1">
            <w:col w:w="10023"/>
          </w:cols>
          <w:pgMar w:left="436" w:top="270" w:right="1440" w:bottom="1440" w:gutter="0" w:footer="0" w:header="0"/>
        </w:sectPr>
      </w:pPr>
    </w:p>
    <w:p>
      <w:pPr>
        <w:spacing w:after="0" w:line="131" w:lineRule="exact"/>
        <w:rPr>
          <w:sz w:val="20"/>
          <w:szCs w:val="20"/>
          <w:color w:val="auto"/>
        </w:rPr>
      </w:pPr>
    </w:p>
    <w:p>
      <w:pPr>
        <w:ind w:left="984"/>
        <w:spacing w:after="0" w:line="207" w:lineRule="exact"/>
        <w:tabs>
          <w:tab w:leader="none" w:pos="1404" w:val="left"/>
        </w:tabs>
        <w:rPr>
          <w:sz w:val="20"/>
          <w:szCs w:val="20"/>
          <w:color w:val="auto"/>
        </w:rPr>
      </w:pPr>
      <w:r>
        <w:rPr>
          <w:rFonts w:ascii="Arial" w:cs="Arial" w:eastAsia="Arial" w:hAnsi="Arial"/>
          <w:sz w:val="18"/>
          <w:szCs w:val="18"/>
          <w:color w:val="auto"/>
        </w:rPr>
        <w:t>(i)</w:t>
        <w:tab/>
      </w: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w:t>
      </w:r>
    </w:p>
    <w:p>
      <w:pPr>
        <w:spacing w:after="0" w:line="137" w:lineRule="exact"/>
        <w:rPr>
          <w:sz w:val="20"/>
          <w:szCs w:val="20"/>
          <w:color w:val="auto"/>
        </w:rPr>
      </w:pPr>
    </w:p>
    <w:p>
      <w:pPr>
        <w:ind w:left="984"/>
        <w:spacing w:after="0" w:line="184" w:lineRule="exact"/>
        <w:tabs>
          <w:tab w:leader="none" w:pos="1404" w:val="left"/>
        </w:tabs>
        <w:rPr>
          <w:sz w:val="20"/>
          <w:szCs w:val="20"/>
          <w:color w:val="auto"/>
        </w:rPr>
      </w:pPr>
      <w:r>
        <w:rPr>
          <w:rFonts w:ascii="Arial" w:cs="Arial" w:eastAsia="Arial" w:hAnsi="Arial"/>
          <w:sz w:val="16"/>
          <w:szCs w:val="16"/>
          <w:color w:val="auto"/>
        </w:rPr>
        <w:t>(ii)</w:t>
        <w:tab/>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(CUSIP</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121" w:lineRule="exact"/>
        <w:rPr>
          <w:sz w:val="20"/>
          <w:szCs w:val="20"/>
          <w:color w:val="auto"/>
        </w:rPr>
      </w:pPr>
    </w:p>
    <w:p>
      <w:pPr>
        <w:sectPr>
          <w:pgSz w:w="11900" w:h="16838" w:orient="portrait"/>
          <w:cols w:equalWidth="0" w:num="3">
            <w:col w:w="4104" w:space="400"/>
            <w:col w:w="300" w:space="240"/>
            <w:col w:w="4979"/>
          </w:cols>
          <w:pgMar w:left="436" w:top="270" w:right="1440" w:bottom="1440" w:gutter="0" w:footer="0" w:header="0"/>
          <w:type w:val="continuous"/>
        </w:sectPr>
      </w:pPr>
    </w:p>
    <w:p>
      <w:pPr>
        <w:ind w:left="964" w:hanging="532"/>
        <w:spacing w:after="0" w:line="207" w:lineRule="exact"/>
        <w:tabs>
          <w:tab w:leader="none" w:pos="964" w:val="left"/>
        </w:tabs>
        <w:numPr>
          <w:ilvl w:val="1"/>
          <w:numId w:val="55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163" w:lineRule="exact"/>
        <w:rPr>
          <w:rFonts w:ascii="Arial" w:cs="Arial" w:eastAsia="Arial" w:hAnsi="Arial"/>
          <w:sz w:val="18"/>
          <w:szCs w:val="18"/>
          <w:color w:val="auto"/>
        </w:rPr>
      </w:pPr>
    </w:p>
    <w:p>
      <w:pPr>
        <w:ind w:left="424" w:hanging="424"/>
        <w:spacing w:after="0"/>
        <w:tabs>
          <w:tab w:leader="none" w:pos="424"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4944"/>
        <w:spacing w:after="0"/>
        <w:rPr>
          <w:sz w:val="20"/>
          <w:szCs w:val="20"/>
          <w:color w:val="auto"/>
        </w:rPr>
      </w:pPr>
      <w:r>
        <w:rPr>
          <w:rFonts w:ascii="Arial" w:cs="Arial" w:eastAsia="Arial" w:hAnsi="Arial"/>
          <w:sz w:val="17"/>
          <w:szCs w:val="17"/>
          <w:color w:val="auto"/>
        </w:rPr>
        <w:t>[CHECK ONE]</w:t>
      </w:r>
    </w:p>
    <w:p>
      <w:pPr>
        <w:spacing w:after="0" w:line="109" w:lineRule="exact"/>
        <w:rPr>
          <w:sz w:val="20"/>
          <w:szCs w:val="20"/>
          <w:color w:val="auto"/>
        </w:rPr>
      </w:pPr>
    </w:p>
    <w:p>
      <w:pPr>
        <w:ind w:left="964" w:hanging="532"/>
        <w:spacing w:after="0" w:line="207" w:lineRule="exact"/>
        <w:tabs>
          <w:tab w:leader="none" w:pos="964" w:val="left"/>
        </w:tabs>
        <w:numPr>
          <w:ilvl w:val="0"/>
          <w:numId w:val="55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31" w:lineRule="exact"/>
        <w:rPr>
          <w:sz w:val="20"/>
          <w:szCs w:val="20"/>
          <w:color w:val="auto"/>
        </w:rPr>
      </w:pPr>
    </w:p>
    <w:tbl>
      <w:tblPr>
        <w:tblLayout w:type="fixed"/>
        <w:tblInd w:w="984" w:type="dxa"/>
        <w:tblCellMar>
          <w:top w:w="0" w:type="dxa"/>
          <w:left w:w="0" w:type="dxa"/>
          <w:bottom w:w="0" w:type="dxa"/>
          <w:right w:w="0" w:type="dxa"/>
        </w:tblCellMar>
      </w:tblPr>
      <w:tr>
        <w:trPr>
          <w:trHeight w:val="283"/>
        </w:trPr>
        <w:tc>
          <w:tcPr>
            <w:tcW w:w="360" w:type="dxa"/>
            <w:vAlign w:val="bottom"/>
          </w:tcPr>
          <w:p>
            <w:pPr>
              <w:spacing w:after="0"/>
              <w:rPr>
                <w:sz w:val="20"/>
                <w:szCs w:val="20"/>
                <w:color w:val="auto"/>
              </w:rPr>
            </w:pPr>
            <w:r>
              <w:rPr>
                <w:rFonts w:ascii="Arial" w:cs="Arial" w:eastAsia="Arial" w:hAnsi="Arial"/>
                <w:sz w:val="18"/>
                <w:szCs w:val="18"/>
                <w:color w:val="auto"/>
              </w:rPr>
              <w:t>(i)</w:t>
            </w:r>
          </w:p>
        </w:tc>
        <w:tc>
          <w:tcPr>
            <w:tcW w:w="296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w:t>
            </w:r>
          </w:p>
        </w:tc>
        <w:tc>
          <w:tcPr>
            <w:tcW w:w="1040" w:type="dxa"/>
            <w:vAlign w:val="bottom"/>
          </w:tcPr>
          <w:p>
            <w:pPr>
              <w:ind w:left="200"/>
              <w:spacing w:after="0"/>
              <w:rPr>
                <w:sz w:val="20"/>
                <w:szCs w:val="20"/>
                <w:color w:val="auto"/>
              </w:rPr>
            </w:pPr>
            <w:r>
              <w:rPr>
                <w:rFonts w:ascii="Arial" w:cs="Arial" w:eastAsia="Arial" w:hAnsi="Arial"/>
                <w:sz w:val="18"/>
                <w:szCs w:val="18"/>
                <w:color w:val="auto"/>
              </w:rPr>
              <w:t>), or</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rPr>
              <w:t>(ii)</w:t>
            </w:r>
          </w:p>
        </w:tc>
        <w:tc>
          <w:tcPr>
            <w:tcW w:w="2960" w:type="dxa"/>
            <w:vAlign w:val="bottom"/>
          </w:tcPr>
          <w:p>
            <w:pPr>
              <w:ind w:left="80"/>
              <w:spacing w:after="0" w:line="207" w:lineRule="exact"/>
              <w:rPr>
                <w:sz w:val="20"/>
                <w:szCs w:val="20"/>
                <w:color w:val="auto"/>
              </w:rPr>
            </w:pP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Regulation S Global Note (CUSIP</w:t>
            </w:r>
          </w:p>
        </w:tc>
        <w:tc>
          <w:tcPr>
            <w:tcW w:w="1040" w:type="dxa"/>
            <w:vAlign w:val="bottom"/>
          </w:tcPr>
          <w:p>
            <w:pPr>
              <w:ind w:left="740"/>
              <w:spacing w:after="0"/>
              <w:rPr>
                <w:sz w:val="20"/>
                <w:szCs w:val="20"/>
                <w:color w:val="auto"/>
              </w:rPr>
            </w:pPr>
            <w:r>
              <w:rPr>
                <w:rFonts w:ascii="Arial" w:cs="Arial" w:eastAsia="Arial" w:hAnsi="Arial"/>
                <w:sz w:val="18"/>
                <w:szCs w:val="18"/>
                <w:color w:val="auto"/>
                <w:w w:val="87"/>
              </w:rPr>
              <w:t>), or</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rPr>
              <w:t>(iii)</w:t>
            </w:r>
          </w:p>
        </w:tc>
        <w:tc>
          <w:tcPr>
            <w:tcW w:w="2960" w:type="dxa"/>
            <w:vAlign w:val="bottom"/>
          </w:tcPr>
          <w:p>
            <w:pPr>
              <w:ind w:left="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Unrestricted Global Note (CUSIP</w:t>
            </w:r>
          </w:p>
        </w:tc>
        <w:tc>
          <w:tcPr>
            <w:tcW w:w="1040" w:type="dxa"/>
            <w:vAlign w:val="bottom"/>
          </w:tcPr>
          <w:p>
            <w:pPr>
              <w:ind w:left="700"/>
              <w:spacing w:after="0"/>
              <w:rPr>
                <w:sz w:val="20"/>
                <w:szCs w:val="20"/>
                <w:color w:val="auto"/>
              </w:rPr>
            </w:pPr>
            <w:r>
              <w:rPr>
                <w:rFonts w:ascii="Arial" w:cs="Arial" w:eastAsia="Arial" w:hAnsi="Arial"/>
                <w:sz w:val="18"/>
                <w:szCs w:val="18"/>
                <w:color w:val="auto"/>
                <w:w w:val="99"/>
              </w:rPr>
              <w:t>); or</w:t>
            </w:r>
          </w:p>
        </w:tc>
      </w:tr>
    </w:tbl>
    <w:p>
      <w:pPr>
        <w:spacing w:after="0" w:line="55" w:lineRule="exact"/>
        <w:rPr>
          <w:sz w:val="20"/>
          <w:szCs w:val="20"/>
          <w:color w:val="auto"/>
        </w:rPr>
      </w:pPr>
    </w:p>
    <w:p>
      <w:pPr>
        <w:ind w:left="964" w:hanging="532"/>
        <w:spacing w:after="0" w:line="207" w:lineRule="exact"/>
        <w:tabs>
          <w:tab w:leader="none" w:pos="964" w:val="left"/>
        </w:tabs>
        <w:numPr>
          <w:ilvl w:val="0"/>
          <w:numId w:val="55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55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15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accordance with the terms of the Indenture.</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023"/>
          </w:cols>
          <w:pgMar w:left="436" w:top="270" w:right="1440" w:bottom="1440" w:gutter="0" w:footer="0" w:header="0"/>
          <w:type w:val="continuous"/>
        </w:sectPr>
      </w:pPr>
    </w:p>
    <w:bookmarkStart w:id="460" w:name="page461"/>
    <w:bookmarkEnd w:id="4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 address block</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6.500% Senior Notes due 2028 of Studio City Finance Limited</w:t>
      </w:r>
    </w:p>
    <w:p>
      <w:pPr>
        <w:spacing w:after="0" w:line="225" w:lineRule="exact"/>
        <w:rPr>
          <w:sz w:val="20"/>
          <w:szCs w:val="20"/>
          <w:color w:val="auto"/>
        </w:rPr>
      </w:pPr>
    </w:p>
    <w:p>
      <w:pPr>
        <w:ind w:left="4720"/>
        <w:spacing w:after="0"/>
        <w:tabs>
          <w:tab w:leader="none" w:pos="622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Reference is hereby made to the Indenture, dated as of July 15,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Studio City Finance Limited,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each Subsidiary Guarantor and Deutsche Bank Trust Company Americas, as trustee. Capitalized terms used but not defined herein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meanings given to them in the Indenture.</w:t>
      </w:r>
    </w:p>
    <w:p>
      <w:pPr>
        <w:spacing w:after="0" w:line="211" w:lineRule="exact"/>
        <w:rPr>
          <w:sz w:val="20"/>
          <w:szCs w:val="20"/>
          <w:color w:val="auto"/>
        </w:rPr>
      </w:pPr>
    </w:p>
    <w:p>
      <w:pPr>
        <w:ind w:left="1420" w:hanging="84"/>
        <w:spacing w:after="0"/>
        <w:tabs>
          <w:tab w:leader="none" w:pos="1420" w:val="left"/>
        </w:tabs>
        <w:numPr>
          <w:ilvl w:val="1"/>
          <w:numId w:val="558"/>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i w:val="1"/>
          <w:iCs w:val="1"/>
          <w:color w:val="auto"/>
        </w:rPr>
        <w:t>Owner</w:t>
      </w:r>
      <w:r>
        <w:rPr>
          <w:rFonts w:ascii="Arial" w:cs="Arial" w:eastAsia="Arial" w:hAnsi="Arial"/>
          <w:sz w:val="17"/>
          <w:szCs w:val="17"/>
          <w:color w:val="auto"/>
        </w:rPr>
        <w:t>”) owns and proposes to exchange the Note[s] or interest in such Note[s] specified herein, in the principal amount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US$</w:t>
      </w:r>
      <w:r>
        <w:rPr>
          <w:rFonts w:ascii="Arial" w:cs="Arial" w:eastAsia="Arial" w:hAnsi="Arial"/>
          <w:sz w:val="16"/>
          <w:szCs w:val="16"/>
          <w:color w:val="auto"/>
        </w:rPr>
        <w:t>in such Note[s] or interests (the “</w:t>
      </w:r>
      <w:r>
        <w:rPr>
          <w:rFonts w:ascii="Arial" w:cs="Arial" w:eastAsia="Arial" w:hAnsi="Arial"/>
          <w:sz w:val="16"/>
          <w:szCs w:val="16"/>
          <w:i w:val="1"/>
          <w:iCs w:val="1"/>
          <w:color w:val="auto"/>
        </w:rPr>
        <w:t>Exchange</w:t>
      </w:r>
      <w:r>
        <w:rPr>
          <w:rFonts w:ascii="Arial" w:cs="Arial" w:eastAsia="Arial" w:hAnsi="Arial"/>
          <w:sz w:val="16"/>
          <w:szCs w:val="16"/>
          <w:color w:val="auto"/>
        </w:rPr>
        <w:t>”). In connection with the Exchange, the Owner hereby certifies that:</w:t>
      </w:r>
    </w:p>
    <w:p>
      <w:pPr>
        <w:spacing w:after="0" w:line="206" w:lineRule="exact"/>
        <w:rPr>
          <w:rFonts w:ascii="Arial" w:cs="Arial" w:eastAsia="Arial" w:hAnsi="Arial"/>
          <w:sz w:val="17"/>
          <w:szCs w:val="17"/>
          <w:color w:val="auto"/>
        </w:rPr>
      </w:pPr>
    </w:p>
    <w:p>
      <w:pPr>
        <w:ind w:right="540" w:firstLine="436"/>
        <w:spacing w:after="0" w:line="282" w:lineRule="auto"/>
        <w:tabs>
          <w:tab w:leader="none" w:pos="800" w:val="left"/>
        </w:tabs>
        <w:numPr>
          <w:ilvl w:val="0"/>
          <w:numId w:val="558"/>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3" w:lineRule="exact"/>
        <w:rPr>
          <w:sz w:val="20"/>
          <w:szCs w:val="20"/>
          <w:color w:val="auto"/>
        </w:rPr>
      </w:pPr>
    </w:p>
    <w:p>
      <w:pPr>
        <w:ind w:right="20" w:firstLine="436"/>
        <w:spacing w:after="0" w:line="223" w:lineRule="exact"/>
        <w:tabs>
          <w:tab w:leader="none" w:pos="865" w:val="left"/>
        </w:tabs>
        <w:numPr>
          <w:ilvl w:val="0"/>
          <w:numId w:val="55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beneficial interest in an Unrestricted Global Note</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1" w:lineRule="exact"/>
        <w:rPr>
          <w:rFonts w:ascii="Arial" w:cs="Arial" w:eastAsia="Arial" w:hAnsi="Arial"/>
          <w:sz w:val="17"/>
          <w:szCs w:val="17"/>
          <w:color w:val="auto"/>
        </w:rPr>
      </w:pPr>
    </w:p>
    <w:p>
      <w:pPr>
        <w:ind w:right="20" w:firstLine="436"/>
        <w:spacing w:after="0" w:line="224" w:lineRule="exact"/>
        <w:tabs>
          <w:tab w:leader="none" w:pos="875" w:val="left"/>
        </w:tabs>
        <w:numPr>
          <w:ilvl w:val="0"/>
          <w:numId w:val="55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Unrestricted Definitive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73" w:lineRule="exact"/>
        <w:rPr>
          <w:rFonts w:ascii="Arial" w:cs="Arial" w:eastAsia="Arial" w:hAnsi="Arial"/>
          <w:sz w:val="17"/>
          <w:szCs w:val="17"/>
          <w:color w:val="auto"/>
        </w:rPr>
      </w:pPr>
    </w:p>
    <w:p>
      <w:pPr>
        <w:ind w:right="40" w:firstLine="436"/>
        <w:spacing w:after="0" w:line="224" w:lineRule="exact"/>
        <w:tabs>
          <w:tab w:leader="none" w:pos="865" w:val="left"/>
        </w:tabs>
        <w:numPr>
          <w:ilvl w:val="0"/>
          <w:numId w:val="55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an Unrestricted Global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461" w:name="page462"/>
    <w:bookmarkEnd w:id="461"/>
    <w:p>
      <w:pPr>
        <w:ind w:left="4" w:right="20" w:firstLine="436"/>
        <w:spacing w:after="0" w:line="224" w:lineRule="exact"/>
        <w:tabs>
          <w:tab w:leader="none" w:pos="834" w:val="left"/>
        </w:tabs>
        <w:numPr>
          <w:ilvl w:val="0"/>
          <w:numId w:val="560"/>
        </w:numPr>
        <w:rPr>
          <w:rFonts w:ascii="Arial" w:cs="Arial" w:eastAsia="Arial" w:hAnsi="Arial"/>
          <w:sz w:val="17"/>
          <w:szCs w:val="17"/>
          <w:color w:val="auto"/>
        </w:rPr>
      </w:pPr>
      <w:r>
        <w:rPr>
          <w:rFonts w:ascii="MS PGothic" w:cs="MS PGothic" w:eastAsia="MS PGothic" w:hAnsi="MS PGothic"/>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 xml:space="preserve"> Check if Exchange is from Restricted Definitive Note to Unrestricted Definitive Note</w:t>
      </w:r>
      <w:r>
        <w:rPr>
          <w:rFonts w:ascii="Arial" w:cs="Arial" w:eastAsia="Arial" w:hAnsi="Arial"/>
          <w:sz w:val="17"/>
          <w:szCs w:val="17"/>
          <w:color w:val="auto"/>
        </w:rPr>
        <w:t>. In connection with the Owner’s Exchange of a</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2" w:lineRule="exact"/>
        <w:rPr>
          <w:sz w:val="20"/>
          <w:szCs w:val="20"/>
          <w:color w:val="auto"/>
        </w:rPr>
      </w:pPr>
    </w:p>
    <w:p>
      <w:pPr>
        <w:ind w:left="4" w:firstLine="436"/>
        <w:spacing w:after="0" w:line="282" w:lineRule="auto"/>
        <w:tabs>
          <w:tab w:leader="none" w:pos="759" w:val="left"/>
        </w:tabs>
        <w:numPr>
          <w:ilvl w:val="0"/>
          <w:numId w:val="561"/>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3" w:lineRule="exact"/>
        <w:rPr>
          <w:sz w:val="20"/>
          <w:szCs w:val="20"/>
          <w:color w:val="auto"/>
        </w:rPr>
      </w:pPr>
    </w:p>
    <w:p>
      <w:pPr>
        <w:ind w:left="4" w:right="20" w:firstLine="436"/>
        <w:spacing w:after="0" w:line="226" w:lineRule="exact"/>
        <w:tabs>
          <w:tab w:leader="none" w:pos="869" w:val="left"/>
        </w:tabs>
        <w:numPr>
          <w:ilvl w:val="1"/>
          <w:numId w:val="56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Restricted Definitive Note. </w:t>
      </w:r>
      <w:r>
        <w:rPr>
          <w:rFonts w:ascii="Arial" w:cs="Arial" w:eastAsia="Arial" w:hAnsi="Arial"/>
          <w:sz w:val="16"/>
          <w:szCs w:val="16"/>
          <w:color w:val="auto"/>
        </w:rPr>
        <w:t>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69" w:lineRule="exact"/>
        <w:rPr>
          <w:rFonts w:ascii="Arial" w:cs="Arial" w:eastAsia="Arial" w:hAnsi="Arial"/>
          <w:sz w:val="16"/>
          <w:szCs w:val="16"/>
          <w:color w:val="auto"/>
        </w:rPr>
      </w:pPr>
    </w:p>
    <w:p>
      <w:pPr>
        <w:ind w:left="4" w:right="40" w:firstLine="436"/>
        <w:spacing w:after="0" w:line="232" w:lineRule="exact"/>
        <w:tabs>
          <w:tab w:leader="none" w:pos="879" w:val="left"/>
        </w:tabs>
        <w:numPr>
          <w:ilvl w:val="1"/>
          <w:numId w:val="56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of the Owner’s 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with an equal principal amount, the Owner hereby certifies (i) the beneficial interest is being acquired for the Owner’s own account without transfer and</w:t>
      </w:r>
    </w:p>
    <w:p>
      <w:pPr>
        <w:ind w:left="4" w:right="200" w:hanging="4"/>
        <w:spacing w:after="0" w:line="295" w:lineRule="auto"/>
        <w:tabs>
          <w:tab w:leader="none" w:pos="269" w:val="left"/>
        </w:tabs>
        <w:numPr>
          <w:ilvl w:val="0"/>
          <w:numId w:val="563"/>
        </w:numPr>
        <w:rPr>
          <w:rFonts w:ascii="Arial" w:cs="Arial" w:eastAsia="Arial" w:hAnsi="Arial"/>
          <w:sz w:val="16"/>
          <w:szCs w:val="16"/>
          <w:color w:val="auto"/>
        </w:rPr>
      </w:pPr>
      <w:r>
        <w:rPr>
          <w:rFonts w:ascii="Arial" w:cs="Arial" w:eastAsia="Arial" w:hAnsi="Arial"/>
          <w:sz w:val="16"/>
          <w:szCs w:val="16"/>
          <w:color w:val="auto"/>
        </w:rPr>
        <w:t>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383540</wp:posOffset>
            </wp:positionV>
            <wp:extent cx="27946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7824"/>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734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14605</wp:posOffset>
            </wp:positionV>
            <wp:extent cx="192024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04"/>
          </w:cols>
          <w:pgMar w:left="436" w:top="241" w:right="459" w:bottom="1440" w:gutter="0" w:footer="0" w:header="0"/>
        </w:sectPr>
      </w:pPr>
    </w:p>
    <w:bookmarkStart w:id="462" w:name="page463"/>
    <w:bookmarkEnd w:id="462"/>
    <w:tbl>
      <w:tblPr>
        <w:tblLayout w:type="fixed"/>
        <w:tblInd w:w="44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80" w:type="dxa"/>
            <w:vAlign w:val="bottom"/>
          </w:tcPr>
          <w:p>
            <w:pPr>
              <w:ind w:left="2920"/>
              <w:spacing w:after="0"/>
              <w:rPr>
                <w:sz w:val="20"/>
                <w:szCs w:val="20"/>
                <w:color w:val="auto"/>
              </w:rPr>
            </w:pPr>
            <w:r>
              <w:rPr>
                <w:rFonts w:ascii="Arial" w:cs="Arial" w:eastAsia="Arial" w:hAnsi="Arial"/>
                <w:sz w:val="18"/>
                <w:szCs w:val="18"/>
                <w:b w:val="1"/>
                <w:bCs w:val="1"/>
                <w:color w:val="auto"/>
              </w:rPr>
              <w:t>EXHIBIT D</w:t>
            </w:r>
          </w:p>
        </w:tc>
      </w:tr>
      <w:tr>
        <w:trPr>
          <w:trHeight w:val="392"/>
        </w:trPr>
        <w:tc>
          <w:tcPr>
            <w:tcW w:w="342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FORM OF SUPPLEMENTAL INDENTURE</w:t>
            </w:r>
          </w:p>
        </w:tc>
      </w:tr>
      <w:tr>
        <w:trPr>
          <w:trHeight w:val="20"/>
        </w:trPr>
        <w:tc>
          <w:tcPr>
            <w:tcW w:w="34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53"/>
        </w:trPr>
        <w:tc>
          <w:tcPr>
            <w:tcW w:w="6100" w:type="dxa"/>
            <w:vAlign w:val="bottom"/>
            <w:gridSpan w:val="2"/>
          </w:tcPr>
          <w:p>
            <w:pPr>
              <w:spacing w:after="0"/>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w:t>
            </w:r>
          </w:p>
        </w:tc>
        <w:tc>
          <w:tcPr>
            <w:tcW w:w="4480" w:type="dxa"/>
            <w:vAlign w:val="bottom"/>
            <w:gridSpan w:val="2"/>
          </w:tcPr>
          <w:p>
            <w:pPr>
              <w:ind w:left="480"/>
              <w:spacing w:after="0"/>
              <w:rPr>
                <w:sz w:val="20"/>
                <w:szCs w:val="20"/>
                <w:color w:val="auto"/>
              </w:rPr>
            </w:pPr>
            <w:r>
              <w:rPr>
                <w:rFonts w:ascii="Arial" w:cs="Arial" w:eastAsia="Arial" w:hAnsi="Arial"/>
                <w:sz w:val="18"/>
                <w:szCs w:val="18"/>
                <w:color w:val="auto"/>
                <w:w w:val="95"/>
              </w:rPr>
              <w:t>, among [name of New Subsidiary Guarantor[s]] (the</w:t>
            </w:r>
          </w:p>
        </w:tc>
      </w:tr>
    </w:tbl>
    <w:p>
      <w:pPr>
        <w:jc w:val="both"/>
        <w:ind w:right="2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New Subsidiary Guarantor</w:t>
      </w:r>
      <w:r>
        <w:rPr>
          <w:rFonts w:ascii="Arial" w:cs="Arial" w:eastAsia="Arial" w:hAnsi="Arial"/>
          <w:sz w:val="18"/>
          <w:szCs w:val="18"/>
          <w:color w:val="auto"/>
        </w:rPr>
        <w:t>”), Studio City Finance Limited, a BVI business company with limited liability incorporated under the laws of British Virgin Islands (the “</w:t>
      </w:r>
      <w:r>
        <w:rPr>
          <w:rFonts w:ascii="Arial" w:cs="Arial" w:eastAsia="Arial" w:hAnsi="Arial"/>
          <w:sz w:val="18"/>
          <w:szCs w:val="18"/>
          <w:i w:val="1"/>
          <w:iCs w:val="1"/>
          <w:color w:val="auto"/>
        </w:rPr>
        <w:t>Company</w:t>
      </w:r>
      <w:r>
        <w:rPr>
          <w:rFonts w:ascii="Arial" w:cs="Arial" w:eastAsia="Arial" w:hAnsi="Arial"/>
          <w:sz w:val="18"/>
          <w:szCs w:val="18"/>
          <w:color w:val="auto"/>
        </w:rPr>
        <w:t>”) and Deutsche Bank Trust Company Americas, as Trustee (in such role,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WHEREAS the Company, the Trustee and each of the parties described above are parties to an Indenture, dated as of July 15, 2020, as amended (as amended, supplemented, waived or otherwise modified, the “</w:t>
      </w:r>
      <w:r>
        <w:rPr>
          <w:rFonts w:ascii="Arial" w:cs="Arial" w:eastAsia="Arial" w:hAnsi="Arial"/>
          <w:sz w:val="18"/>
          <w:szCs w:val="18"/>
          <w:i w:val="1"/>
          <w:iCs w:val="1"/>
          <w:color w:val="auto"/>
        </w:rPr>
        <w:t>Indenture</w:t>
      </w:r>
      <w:r>
        <w:rPr>
          <w:rFonts w:ascii="Arial" w:cs="Arial" w:eastAsia="Arial" w:hAnsi="Arial"/>
          <w:sz w:val="18"/>
          <w:szCs w:val="18"/>
          <w:color w:val="auto"/>
        </w:rPr>
        <w:t>”), providing for the issuance of the Company’s 6.500% Senior Notes due 2028;</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9.03 of the Indenture, each New Subsidiary Guarantor is required to execute a supplemental Indenture;</w:t>
      </w:r>
    </w:p>
    <w:p>
      <w:pPr>
        <w:spacing w:after="0" w:line="237"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Subsidiary Guarantor, the Company, the Trustee and the other parties hereto mutually covenant and agree for the equal and ratable benefit of the Holders as follows:</w:t>
      </w:r>
    </w:p>
    <w:p>
      <w:pPr>
        <w:spacing w:after="0" w:line="184" w:lineRule="exact"/>
        <w:rPr>
          <w:sz w:val="20"/>
          <w:szCs w:val="20"/>
          <w:color w:val="auto"/>
        </w:rPr>
      </w:pPr>
    </w:p>
    <w:p>
      <w:pPr>
        <w:ind w:left="760" w:hanging="324"/>
        <w:spacing w:after="0"/>
        <w:tabs>
          <w:tab w:leader="none" w:pos="760" w:val="left"/>
        </w:tabs>
        <w:numPr>
          <w:ilvl w:val="0"/>
          <w:numId w:val="56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but not defined herein shall have the meanings assigned to them in the Indenture.</w:t>
      </w:r>
    </w:p>
    <w:p>
      <w:pPr>
        <w:spacing w:after="0" w:line="225" w:lineRule="exact"/>
        <w:rPr>
          <w:rFonts w:ascii="Arial" w:cs="Arial" w:eastAsia="Arial" w:hAnsi="Arial"/>
          <w:sz w:val="18"/>
          <w:szCs w:val="18"/>
          <w:color w:val="auto"/>
        </w:rPr>
      </w:pPr>
    </w:p>
    <w:p>
      <w:pPr>
        <w:ind w:right="60" w:firstLine="436"/>
        <w:spacing w:after="0" w:line="287" w:lineRule="auto"/>
        <w:tabs>
          <w:tab w:leader="none" w:pos="755" w:val="left"/>
        </w:tabs>
        <w:numPr>
          <w:ilvl w:val="0"/>
          <w:numId w:val="564"/>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xml:space="preserve"> Pursuant to, and subject to the provisions of, Article 11 of the Indenture, [each][the] New Subsidiary Guarantor (which term includes each other New Subsidiary Guarantor that hereinafter guarantees the Notes pursuant to the terms of the Indenture) hereby unconditionally and irrevocably guarantees, jointly and severally with each other New Subsidiary Guarantor and all Subsidiary Guarantors, to each Holder and to the Trustee and their successors and assigns to the extent set forth in the Indenture and subject to the provisions thereof (a) the full and punctual payment when due, whether at Stated Maturity, by acceleration, by redemption or otherwise, of all obligations of the Company under the Indenture (including obligations to the Trustee) and the Notes, whether for payment of principal of, or interest, premium, if any, on, the Notes and all other monetary obligations of the Company under the Indenture and the Notes and (b) the full and punctual performance within applicable grace periods of all other obligations of the Company whether for fees, expenses, indemnification or otherwise under the Indenture and the Notes (all the foregoing being hereinafter collectively called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[Each][The] New Subsidiary Guarantor further agrees that the Guaranteed Obligations may be extended or renewed, in whole or in part, without notice or further assent from such New Subsidiary Guarantor and that such New Subsidiary Guarantor[s] will remain bound under Article 11 of the Indenture, notwithstanding any extension or renewal of any Guaranteed Obligation.</w:t>
      </w:r>
    </w:p>
    <w:p>
      <w:pPr>
        <w:spacing w:after="0" w:line="172"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The Guaranteed Obligations of [each][the] New Subsidiary Guarantor to the Holders of Notes and to the Trustee pursuant to the Indenture as supplemented hereby, are expressly set forth in Article 11 of the Indenture and reference is hereby made to the Indenture for the precise terms of the Note Guarantee.</w:t>
      </w:r>
    </w:p>
    <w:p>
      <w:pPr>
        <w:spacing w:after="0" w:line="184" w:lineRule="exact"/>
        <w:rPr>
          <w:sz w:val="20"/>
          <w:szCs w:val="20"/>
          <w:color w:val="auto"/>
        </w:rPr>
      </w:pPr>
    </w:p>
    <w:p>
      <w:pPr>
        <w:ind w:left="5360" w:right="1640" w:hanging="4924"/>
        <w:spacing w:after="0" w:line="449" w:lineRule="auto"/>
        <w:tabs>
          <w:tab w:leader="none" w:pos="537" w:val="left"/>
        </w:tabs>
        <w:numPr>
          <w:ilvl w:val="0"/>
          <w:numId w:val="565"/>
        </w:numPr>
        <w:rPr>
          <w:rFonts w:ascii="Arial" w:cs="Arial" w:eastAsia="Arial" w:hAnsi="Arial"/>
          <w:sz w:val="18"/>
          <w:szCs w:val="18"/>
          <w:color w:val="auto"/>
        </w:rPr>
      </w:pPr>
      <w:r>
        <w:rPr>
          <w:rFonts w:ascii="Arial" w:cs="Arial" w:eastAsia="Arial" w:hAnsi="Arial"/>
          <w:sz w:val="18"/>
          <w:szCs w:val="18"/>
          <w:i w:val="1"/>
          <w:iCs w:val="1"/>
          <w:color w:val="auto"/>
        </w:rPr>
        <w:t>Relevant limitations imposed by local law analogous to Section 11.02 of the Indenture to be inserted, if and as applicable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D-1</w:t>
      </w:r>
    </w:p>
    <w:p>
      <w:pPr>
        <w:sectPr>
          <w:pgSz w:w="11900" w:h="16838" w:orient="portrait"/>
          <w:cols w:equalWidth="0" w:num="1">
            <w:col w:w="11020"/>
          </w:cols>
          <w:pgMar w:left="440" w:top="270" w:right="439" w:bottom="1440" w:gutter="0" w:footer="0" w:header="0"/>
        </w:sectPr>
      </w:pPr>
    </w:p>
    <w:bookmarkStart w:id="463" w:name="page464"/>
    <w:bookmarkEnd w:id="463"/>
    <w:p>
      <w:pPr>
        <w:ind w:firstLine="436"/>
        <w:spacing w:after="0" w:line="271" w:lineRule="auto"/>
        <w:tabs>
          <w:tab w:leader="none" w:pos="755" w:val="left"/>
        </w:tabs>
        <w:numPr>
          <w:ilvl w:val="0"/>
          <w:numId w:val="56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Ratification of Indenture: Supplemental Indentures Part of Indenture.</w:t>
      </w:r>
      <w:r>
        <w:rPr>
          <w:rFonts w:ascii="Arial" w:cs="Arial" w:eastAsia="Arial" w:hAnsi="Arial"/>
          <w:sz w:val="17"/>
          <w:szCs w:val="17"/>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each Holder, by accepting the Notes whether heretofore or hereafter authenticated and delivered (a) 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[the][each] New Subsidiary Guarantor and each Subsidiary Guarantor shall be released from all its obligations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this Guarantee in accordance with the terms of the Indenture, including Section 11.08 of the Indenture and upon any defeasance of the Notes in accordance with Article 8 of the Indenture.</w:t>
      </w:r>
    </w:p>
    <w:p>
      <w:pPr>
        <w:spacing w:after="0" w:line="178" w:lineRule="exact"/>
        <w:rPr>
          <w:rFonts w:ascii="Arial" w:cs="Arial" w:eastAsia="Arial" w:hAnsi="Arial"/>
          <w:sz w:val="17"/>
          <w:szCs w:val="17"/>
          <w:color w:val="auto"/>
        </w:rPr>
      </w:pPr>
    </w:p>
    <w:p>
      <w:pPr>
        <w:ind w:left="760" w:hanging="324"/>
        <w:spacing w:after="0"/>
        <w:tabs>
          <w:tab w:leader="none" w:pos="760" w:val="left"/>
        </w:tabs>
        <w:numPr>
          <w:ilvl w:val="0"/>
          <w:numId w:val="56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SUPPLEMENTAL INDENTURE SHALL BE GOVERNED BY, AND CONSTRUED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LAWS OF THE STATE OF NEW YORK.</w:t>
      </w:r>
    </w:p>
    <w:p>
      <w:pPr>
        <w:spacing w:after="0" w:line="210" w:lineRule="exact"/>
        <w:rPr>
          <w:rFonts w:ascii="Arial" w:cs="Arial" w:eastAsia="Arial" w:hAnsi="Arial"/>
          <w:sz w:val="17"/>
          <w:szCs w:val="17"/>
          <w:color w:val="auto"/>
        </w:rPr>
      </w:pPr>
    </w:p>
    <w:p>
      <w:pPr>
        <w:ind w:right="140" w:firstLine="436"/>
        <w:spacing w:after="0" w:line="277" w:lineRule="auto"/>
        <w:tabs>
          <w:tab w:leader="none" w:pos="755" w:val="left"/>
        </w:tabs>
        <w:numPr>
          <w:ilvl w:val="0"/>
          <w:numId w:val="566"/>
        </w:numPr>
        <w:rPr>
          <w:rFonts w:ascii="Arial" w:cs="Arial" w:eastAsia="Arial" w:hAnsi="Arial"/>
          <w:sz w:val="18"/>
          <w:szCs w:val="18"/>
          <w:color w:val="auto"/>
        </w:rPr>
      </w:pPr>
      <w:r>
        <w:rPr>
          <w:rFonts w:ascii="Arial" w:cs="Arial" w:eastAsia="Arial" w:hAnsi="Arial"/>
          <w:sz w:val="18"/>
          <w:szCs w:val="18"/>
          <w:u w:val="single" w:color="auto"/>
          <w:color w:val="auto"/>
        </w:rPr>
        <w:t>Trustee Makes No Representation.</w:t>
      </w:r>
      <w:r>
        <w:rPr>
          <w:rFonts w:ascii="Arial" w:cs="Arial" w:eastAsia="Arial" w:hAnsi="Arial"/>
          <w:sz w:val="18"/>
          <w:szCs w:val="18"/>
          <w:color w:val="auto"/>
        </w:rPr>
        <w:t xml:space="preserve"> The Trustee makes no representation as to the validity or sufficiency of this Supplemental Indenture. The recitals of fact contained herein shall be treated as statements of the other parties hereto and not the Trustee.</w:t>
      </w:r>
    </w:p>
    <w:p>
      <w:pPr>
        <w:spacing w:after="0" w:line="170" w:lineRule="exact"/>
        <w:rPr>
          <w:rFonts w:ascii="Arial" w:cs="Arial" w:eastAsia="Arial" w:hAnsi="Arial"/>
          <w:sz w:val="18"/>
          <w:szCs w:val="18"/>
          <w:color w:val="auto"/>
        </w:rPr>
      </w:pPr>
    </w:p>
    <w:p>
      <w:pPr>
        <w:ind w:right="340" w:firstLine="436"/>
        <w:spacing w:after="0" w:line="277" w:lineRule="auto"/>
        <w:tabs>
          <w:tab w:leader="none" w:pos="755" w:val="left"/>
        </w:tabs>
        <w:numPr>
          <w:ilvl w:val="0"/>
          <w:numId w:val="5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566"/>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shall not affect the construction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000"/>
          </w:cols>
          <w:pgMar w:left="440" w:top="274" w:right="459" w:bottom="1440" w:gutter="0" w:footer="0" w:header="0"/>
        </w:sectPr>
      </w:pPr>
    </w:p>
    <w:bookmarkStart w:id="464" w:name="page465"/>
    <w:bookmarkEnd w:id="4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[NAME OF NEW SUBSIDIARY GUARANTOR], as New</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STUDIO CITY FINANCE LIMITED, as 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DEUTSCHE BANK TRUST COMPANY AMERICAS, as</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0460"/>
          </w:cols>
          <w:pgMar w:left="880" w:top="274" w:right="559" w:bottom="1440" w:gutter="0" w:footer="0" w:header="0"/>
        </w:sectPr>
      </w:pPr>
    </w:p>
    <w:bookmarkStart w:id="465" w:name="page466"/>
    <w:bookmarkEnd w:id="465"/>
    <w:p>
      <w:pPr>
        <w:jc w:val="right"/>
        <w:spacing w:after="0"/>
        <w:rPr>
          <w:sz w:val="20"/>
          <w:szCs w:val="20"/>
          <w:color w:val="auto"/>
        </w:rPr>
      </w:pPr>
      <w:r>
        <w:rPr>
          <w:rFonts w:ascii="Arial" w:cs="Arial" w:eastAsia="Arial" w:hAnsi="Arial"/>
          <w:sz w:val="18"/>
          <w:szCs w:val="18"/>
          <w:b w:val="1"/>
          <w:bCs w:val="1"/>
          <w:color w:val="auto"/>
        </w:rPr>
        <w:t>Exhibit 2.18</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STUDIO CITY FINANCE LIMITED,</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Company</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SUBSIDIARY GUARANTORS PARTIES HERETO,</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5.000%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January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 Paying Agent, Registrar and Transfer Agent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OTHER PERSONS FROM TIME TO TIME PARTY HERETO</w:t>
      </w:r>
    </w:p>
    <w:p>
      <w:pPr>
        <w:sectPr>
          <w:pgSz w:w="11900" w:h="16838" w:orient="portrait"/>
          <w:cols w:equalWidth="0" w:num="1">
            <w:col w:w="10020"/>
          </w:cols>
          <w:pgMar w:left="1440" w:top="121" w:right="439" w:bottom="1440" w:gutter="0" w:footer="0" w:header="0"/>
        </w:sectPr>
      </w:pPr>
    </w:p>
    <w:bookmarkStart w:id="466" w:name="page467"/>
    <w:bookmarkEnd w:id="466"/>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838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100" w:type="dxa"/>
            <w:vAlign w:val="bottom"/>
          </w:tcPr>
          <w:p>
            <w:pPr>
              <w:spacing w:after="0"/>
              <w:rPr>
                <w:sz w:val="24"/>
                <w:szCs w:val="24"/>
                <w:color w:val="auto"/>
              </w:rPr>
            </w:pPr>
          </w:p>
        </w:tc>
        <w:tc>
          <w:tcPr>
            <w:tcW w:w="8380" w:type="dxa"/>
            <w:vAlign w:val="bottom"/>
            <w:vMerge w:val="restart"/>
          </w:tcPr>
          <w:p>
            <w:pPr>
              <w:jc w:val="center"/>
              <w:ind w:left="290"/>
              <w:spacing w:after="0"/>
              <w:rPr>
                <w:sz w:val="20"/>
                <w:szCs w:val="20"/>
                <w:color w:val="auto"/>
              </w:rPr>
            </w:pPr>
            <w:r>
              <w:rPr>
                <w:rFonts w:ascii="Arial" w:cs="Arial" w:eastAsia="Arial" w:hAnsi="Arial"/>
                <w:sz w:val="18"/>
                <w:szCs w:val="18"/>
                <w:color w:val="auto"/>
                <w:w w:val="96"/>
              </w:rPr>
              <w:t>ARTICLE 1</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83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8380" w:type="dxa"/>
            <w:vAlign w:val="bottom"/>
          </w:tcPr>
          <w:p>
            <w:pPr>
              <w:jc w:val="center"/>
              <w:ind w:left="290"/>
              <w:spacing w:after="0"/>
              <w:rPr>
                <w:sz w:val="20"/>
                <w:szCs w:val="20"/>
                <w:color w:val="auto"/>
              </w:rPr>
            </w:pPr>
            <w:r>
              <w:rPr>
                <w:rFonts w:ascii="Arial" w:cs="Arial" w:eastAsia="Arial" w:hAnsi="Arial"/>
                <w:sz w:val="18"/>
                <w:szCs w:val="18"/>
                <w:color w:val="auto"/>
                <w:w w:val="98"/>
              </w:rPr>
              <w:t>DEFINITIONS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1.01</w:t>
            </w:r>
          </w:p>
        </w:tc>
        <w:tc>
          <w:tcPr>
            <w:tcW w:w="838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1.02</w:t>
            </w:r>
          </w:p>
        </w:tc>
        <w:tc>
          <w:tcPr>
            <w:tcW w:w="8380" w:type="dxa"/>
            <w:vAlign w:val="bottom"/>
          </w:tcPr>
          <w:p>
            <w:pPr>
              <w:ind w:left="200"/>
              <w:spacing w:after="0"/>
              <w:rPr>
                <w:sz w:val="20"/>
                <w:szCs w:val="20"/>
                <w:color w:val="auto"/>
              </w:rPr>
            </w:pPr>
            <w:r>
              <w:rPr>
                <w:rFonts w:ascii="Arial" w:cs="Arial" w:eastAsia="Arial" w:hAnsi="Arial"/>
                <w:sz w:val="18"/>
                <w:szCs w:val="18"/>
                <w:color w:val="auto"/>
              </w:rPr>
              <w:t>Other Definitions</w:t>
            </w: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1.03</w:t>
            </w:r>
          </w:p>
        </w:tc>
        <w:tc>
          <w:tcPr>
            <w:tcW w:w="8380" w:type="dxa"/>
            <w:vAlign w:val="bottom"/>
          </w:tcPr>
          <w:p>
            <w:pPr>
              <w:ind w:left="200"/>
              <w:spacing w:after="0"/>
              <w:rPr>
                <w:sz w:val="20"/>
                <w:szCs w:val="20"/>
                <w:color w:val="auto"/>
              </w:rPr>
            </w:pPr>
            <w:r>
              <w:rPr>
                <w:rFonts w:ascii="Arial" w:cs="Arial" w:eastAsia="Arial" w:hAnsi="Arial"/>
                <w:sz w:val="18"/>
                <w:szCs w:val="18"/>
                <w:color w:val="auto"/>
              </w:rPr>
              <w:t>Rules of Construction</w:t>
            </w: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380" w:type="dxa"/>
            <w:vAlign w:val="bottom"/>
          </w:tcPr>
          <w:p>
            <w:pPr>
              <w:jc w:val="center"/>
              <w:ind w:left="290"/>
              <w:spacing w:after="0"/>
              <w:rPr>
                <w:sz w:val="20"/>
                <w:szCs w:val="20"/>
                <w:color w:val="auto"/>
              </w:rPr>
            </w:pPr>
            <w:r>
              <w:rPr>
                <w:rFonts w:ascii="Arial" w:cs="Arial" w:eastAsia="Arial" w:hAnsi="Arial"/>
                <w:sz w:val="18"/>
                <w:szCs w:val="18"/>
                <w:color w:val="auto"/>
                <w:w w:val="96"/>
              </w:rPr>
              <w:t>ARTICLE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8380" w:type="dxa"/>
            <w:vAlign w:val="bottom"/>
          </w:tcPr>
          <w:p>
            <w:pPr>
              <w:jc w:val="center"/>
              <w:ind w:left="270"/>
              <w:spacing w:after="0"/>
              <w:rPr>
                <w:sz w:val="20"/>
                <w:szCs w:val="20"/>
                <w:color w:val="auto"/>
              </w:rPr>
            </w:pPr>
            <w:r>
              <w:rPr>
                <w:rFonts w:ascii="Arial" w:cs="Arial" w:eastAsia="Arial" w:hAnsi="Arial"/>
                <w:sz w:val="18"/>
                <w:szCs w:val="18"/>
                <w:color w:val="auto"/>
                <w:w w:val="95"/>
              </w:rPr>
              <w:t>THE NOTES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2.01</w:t>
            </w:r>
          </w:p>
        </w:tc>
        <w:tc>
          <w:tcPr>
            <w:tcW w:w="8380" w:type="dxa"/>
            <w:vAlign w:val="bottom"/>
          </w:tcPr>
          <w:p>
            <w:pPr>
              <w:ind w:left="200"/>
              <w:spacing w:after="0"/>
              <w:rPr>
                <w:sz w:val="20"/>
                <w:szCs w:val="20"/>
                <w:color w:val="auto"/>
              </w:rPr>
            </w:pPr>
            <w:r>
              <w:rPr>
                <w:rFonts w:ascii="Arial" w:cs="Arial" w:eastAsia="Arial" w:hAnsi="Arial"/>
                <w:sz w:val="18"/>
                <w:szCs w:val="18"/>
                <w:color w:val="auto"/>
              </w:rPr>
              <w:t>Form and Dating</w:t>
            </w:r>
          </w:p>
        </w:tc>
        <w:tc>
          <w:tcPr>
            <w:tcW w:w="1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2.02</w:t>
            </w:r>
          </w:p>
        </w:tc>
        <w:tc>
          <w:tcPr>
            <w:tcW w:w="8380" w:type="dxa"/>
            <w:vAlign w:val="bottom"/>
          </w:tcPr>
          <w:p>
            <w:pPr>
              <w:ind w:left="200"/>
              <w:spacing w:after="0"/>
              <w:rPr>
                <w:sz w:val="20"/>
                <w:szCs w:val="20"/>
                <w:color w:val="auto"/>
              </w:rPr>
            </w:pPr>
            <w:r>
              <w:rPr>
                <w:rFonts w:ascii="Arial" w:cs="Arial" w:eastAsia="Arial" w:hAnsi="Arial"/>
                <w:sz w:val="18"/>
                <w:szCs w:val="18"/>
                <w:color w:val="auto"/>
              </w:rPr>
              <w:t>Execution and Authentication</w:t>
            </w:r>
          </w:p>
        </w:tc>
        <w:tc>
          <w:tcPr>
            <w:tcW w:w="1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2.03</w:t>
            </w:r>
          </w:p>
        </w:tc>
        <w:tc>
          <w:tcPr>
            <w:tcW w:w="8380" w:type="dxa"/>
            <w:vAlign w:val="bottom"/>
          </w:tcPr>
          <w:p>
            <w:pPr>
              <w:ind w:left="200"/>
              <w:spacing w:after="0"/>
              <w:rPr>
                <w:sz w:val="20"/>
                <w:szCs w:val="20"/>
                <w:color w:val="auto"/>
              </w:rPr>
            </w:pPr>
            <w:r>
              <w:rPr>
                <w:rFonts w:ascii="Arial" w:cs="Arial" w:eastAsia="Arial" w:hAnsi="Arial"/>
                <w:sz w:val="18"/>
                <w:szCs w:val="18"/>
                <w:color w:val="auto"/>
              </w:rPr>
              <w:t>Registrar, Paying Agent and Transfer Agent</w:t>
            </w: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2.04</w:t>
            </w:r>
          </w:p>
        </w:tc>
        <w:tc>
          <w:tcPr>
            <w:tcW w:w="8380" w:type="dxa"/>
            <w:vAlign w:val="bottom"/>
          </w:tcPr>
          <w:p>
            <w:pPr>
              <w:ind w:left="200"/>
              <w:spacing w:after="0"/>
              <w:rPr>
                <w:sz w:val="20"/>
                <w:szCs w:val="20"/>
                <w:color w:val="auto"/>
              </w:rPr>
            </w:pPr>
            <w:r>
              <w:rPr>
                <w:rFonts w:ascii="Arial" w:cs="Arial" w:eastAsia="Arial" w:hAnsi="Arial"/>
                <w:sz w:val="18"/>
                <w:szCs w:val="18"/>
                <w:color w:val="auto"/>
              </w:rPr>
              <w:t>Paying Agent to Hold Money in Trust</w:t>
            </w: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2.05</w:t>
            </w:r>
          </w:p>
        </w:tc>
        <w:tc>
          <w:tcPr>
            <w:tcW w:w="8380" w:type="dxa"/>
            <w:vAlign w:val="bottom"/>
          </w:tcPr>
          <w:p>
            <w:pPr>
              <w:ind w:left="200"/>
              <w:spacing w:after="0"/>
              <w:rPr>
                <w:sz w:val="20"/>
                <w:szCs w:val="20"/>
                <w:color w:val="auto"/>
              </w:rPr>
            </w:pPr>
            <w:r>
              <w:rPr>
                <w:rFonts w:ascii="Arial" w:cs="Arial" w:eastAsia="Arial" w:hAnsi="Arial"/>
                <w:sz w:val="18"/>
                <w:szCs w:val="18"/>
                <w:color w:val="auto"/>
              </w:rPr>
              <w:t>Holder Lists</w:t>
            </w: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2.06</w:t>
            </w:r>
          </w:p>
        </w:tc>
        <w:tc>
          <w:tcPr>
            <w:tcW w:w="8380" w:type="dxa"/>
            <w:vAlign w:val="bottom"/>
          </w:tcPr>
          <w:p>
            <w:pPr>
              <w:ind w:left="200"/>
              <w:spacing w:after="0"/>
              <w:rPr>
                <w:sz w:val="20"/>
                <w:szCs w:val="20"/>
                <w:color w:val="auto"/>
              </w:rPr>
            </w:pPr>
            <w:r>
              <w:rPr>
                <w:rFonts w:ascii="Arial" w:cs="Arial" w:eastAsia="Arial" w:hAnsi="Arial"/>
                <w:sz w:val="18"/>
                <w:szCs w:val="18"/>
                <w:color w:val="auto"/>
              </w:rPr>
              <w:t>Transfer and Exchange</w:t>
            </w: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2.07</w:t>
            </w:r>
          </w:p>
        </w:tc>
        <w:tc>
          <w:tcPr>
            <w:tcW w:w="8380" w:type="dxa"/>
            <w:vAlign w:val="bottom"/>
          </w:tcPr>
          <w:p>
            <w:pPr>
              <w:ind w:left="200"/>
              <w:spacing w:after="0"/>
              <w:rPr>
                <w:sz w:val="20"/>
                <w:szCs w:val="20"/>
                <w:color w:val="auto"/>
              </w:rPr>
            </w:pPr>
            <w:r>
              <w:rPr>
                <w:rFonts w:ascii="Arial" w:cs="Arial" w:eastAsia="Arial" w:hAnsi="Arial"/>
                <w:sz w:val="18"/>
                <w:szCs w:val="18"/>
                <w:color w:val="auto"/>
              </w:rPr>
              <w:t>Replacement Notes</w:t>
            </w: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2.08</w:t>
            </w:r>
          </w:p>
        </w:tc>
        <w:tc>
          <w:tcPr>
            <w:tcW w:w="8380" w:type="dxa"/>
            <w:vAlign w:val="bottom"/>
          </w:tcPr>
          <w:p>
            <w:pPr>
              <w:ind w:left="200"/>
              <w:spacing w:after="0"/>
              <w:rPr>
                <w:sz w:val="20"/>
                <w:szCs w:val="20"/>
                <w:color w:val="auto"/>
              </w:rPr>
            </w:pPr>
            <w:r>
              <w:rPr>
                <w:rFonts w:ascii="Arial" w:cs="Arial" w:eastAsia="Arial" w:hAnsi="Arial"/>
                <w:sz w:val="18"/>
                <w:szCs w:val="18"/>
                <w:color w:val="auto"/>
              </w:rPr>
              <w:t>Outstanding Notes</w:t>
            </w: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2.09</w:t>
            </w:r>
          </w:p>
        </w:tc>
        <w:tc>
          <w:tcPr>
            <w:tcW w:w="8380" w:type="dxa"/>
            <w:vAlign w:val="bottom"/>
          </w:tcPr>
          <w:p>
            <w:pPr>
              <w:ind w:left="200"/>
              <w:spacing w:after="0"/>
              <w:rPr>
                <w:sz w:val="20"/>
                <w:szCs w:val="20"/>
                <w:color w:val="auto"/>
              </w:rPr>
            </w:pPr>
            <w:r>
              <w:rPr>
                <w:rFonts w:ascii="Arial" w:cs="Arial" w:eastAsia="Arial" w:hAnsi="Arial"/>
                <w:sz w:val="18"/>
                <w:szCs w:val="18"/>
                <w:color w:val="auto"/>
              </w:rPr>
              <w:t>Treasury Notes</w:t>
            </w: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2.10</w:t>
            </w:r>
          </w:p>
        </w:tc>
        <w:tc>
          <w:tcPr>
            <w:tcW w:w="8380" w:type="dxa"/>
            <w:vAlign w:val="bottom"/>
          </w:tcPr>
          <w:p>
            <w:pPr>
              <w:ind w:left="200"/>
              <w:spacing w:after="0"/>
              <w:rPr>
                <w:sz w:val="20"/>
                <w:szCs w:val="20"/>
                <w:color w:val="auto"/>
              </w:rPr>
            </w:pPr>
            <w:r>
              <w:rPr>
                <w:rFonts w:ascii="Arial" w:cs="Arial" w:eastAsia="Arial" w:hAnsi="Arial"/>
                <w:sz w:val="18"/>
                <w:szCs w:val="18"/>
                <w:color w:val="auto"/>
              </w:rPr>
              <w:t>Temporary Notes</w:t>
            </w: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2.11</w:t>
            </w:r>
          </w:p>
        </w:tc>
        <w:tc>
          <w:tcPr>
            <w:tcW w:w="8380" w:type="dxa"/>
            <w:vAlign w:val="bottom"/>
          </w:tcPr>
          <w:p>
            <w:pPr>
              <w:ind w:left="200"/>
              <w:spacing w:after="0"/>
              <w:rPr>
                <w:sz w:val="20"/>
                <w:szCs w:val="20"/>
                <w:color w:val="auto"/>
              </w:rPr>
            </w:pPr>
            <w:r>
              <w:rPr>
                <w:rFonts w:ascii="Arial" w:cs="Arial" w:eastAsia="Arial" w:hAnsi="Arial"/>
                <w:sz w:val="18"/>
                <w:szCs w:val="18"/>
                <w:color w:val="auto"/>
              </w:rPr>
              <w:t>Cancellation</w:t>
            </w: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2.12</w:t>
            </w:r>
          </w:p>
        </w:tc>
        <w:tc>
          <w:tcPr>
            <w:tcW w:w="8380" w:type="dxa"/>
            <w:vAlign w:val="bottom"/>
          </w:tcPr>
          <w:p>
            <w:pPr>
              <w:ind w:left="200"/>
              <w:spacing w:after="0"/>
              <w:rPr>
                <w:sz w:val="20"/>
                <w:szCs w:val="20"/>
                <w:color w:val="auto"/>
              </w:rPr>
            </w:pPr>
            <w:r>
              <w:rPr>
                <w:rFonts w:ascii="Arial" w:cs="Arial" w:eastAsia="Arial" w:hAnsi="Arial"/>
                <w:sz w:val="18"/>
                <w:szCs w:val="18"/>
                <w:color w:val="auto"/>
              </w:rPr>
              <w:t>Defaulted Interest</w:t>
            </w: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2.13</w:t>
            </w:r>
          </w:p>
        </w:tc>
        <w:tc>
          <w:tcPr>
            <w:tcW w:w="8380" w:type="dxa"/>
            <w:vAlign w:val="bottom"/>
          </w:tcPr>
          <w:p>
            <w:pPr>
              <w:ind w:left="200"/>
              <w:spacing w:after="0"/>
              <w:rPr>
                <w:sz w:val="20"/>
                <w:szCs w:val="20"/>
                <w:color w:val="auto"/>
              </w:rPr>
            </w:pPr>
            <w:r>
              <w:rPr>
                <w:rFonts w:ascii="Arial" w:cs="Arial" w:eastAsia="Arial" w:hAnsi="Arial"/>
                <w:sz w:val="18"/>
                <w:szCs w:val="18"/>
                <w:color w:val="auto"/>
              </w:rPr>
              <w:t>Additional Amounts</w:t>
            </w: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2.14</w:t>
            </w:r>
          </w:p>
        </w:tc>
        <w:tc>
          <w:tcPr>
            <w:tcW w:w="8380" w:type="dxa"/>
            <w:vAlign w:val="bottom"/>
          </w:tcPr>
          <w:p>
            <w:pPr>
              <w:ind w:left="200"/>
              <w:spacing w:after="0"/>
              <w:rPr>
                <w:sz w:val="20"/>
                <w:szCs w:val="20"/>
                <w:color w:val="auto"/>
              </w:rPr>
            </w:pPr>
            <w:r>
              <w:rPr>
                <w:rFonts w:ascii="Arial" w:cs="Arial" w:eastAsia="Arial" w:hAnsi="Arial"/>
                <w:sz w:val="18"/>
                <w:szCs w:val="18"/>
                <w:color w:val="auto"/>
              </w:rPr>
              <w:t>Forced Sale or Redemption for Non-QIBs</w:t>
            </w:r>
          </w:p>
        </w:tc>
        <w:tc>
          <w:tcPr>
            <w:tcW w:w="14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380" w:type="dxa"/>
            <w:vAlign w:val="bottom"/>
          </w:tcPr>
          <w:p>
            <w:pPr>
              <w:jc w:val="center"/>
              <w:ind w:left="290"/>
              <w:spacing w:after="0"/>
              <w:rPr>
                <w:sz w:val="20"/>
                <w:szCs w:val="20"/>
                <w:color w:val="auto"/>
              </w:rPr>
            </w:pPr>
            <w:r>
              <w:rPr>
                <w:rFonts w:ascii="Arial" w:cs="Arial" w:eastAsia="Arial" w:hAnsi="Arial"/>
                <w:sz w:val="18"/>
                <w:szCs w:val="18"/>
                <w:color w:val="auto"/>
                <w:w w:val="96"/>
              </w:rPr>
              <w:t>ARTICLE 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8380" w:type="dxa"/>
            <w:vAlign w:val="bottom"/>
          </w:tcPr>
          <w:p>
            <w:pPr>
              <w:jc w:val="center"/>
              <w:ind w:left="290"/>
              <w:spacing w:after="0"/>
              <w:rPr>
                <w:sz w:val="20"/>
                <w:szCs w:val="20"/>
                <w:color w:val="auto"/>
              </w:rPr>
            </w:pPr>
            <w:r>
              <w:rPr>
                <w:rFonts w:ascii="Arial" w:cs="Arial" w:eastAsia="Arial" w:hAnsi="Arial"/>
                <w:sz w:val="18"/>
                <w:szCs w:val="18"/>
                <w:color w:val="auto"/>
                <w:w w:val="95"/>
              </w:rPr>
              <w:t>REDEMPTION AND PREPAYMENT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3.01</w:t>
            </w:r>
          </w:p>
        </w:tc>
        <w:tc>
          <w:tcPr>
            <w:tcW w:w="8380" w:type="dxa"/>
            <w:vAlign w:val="bottom"/>
          </w:tcPr>
          <w:p>
            <w:pPr>
              <w:ind w:left="200"/>
              <w:spacing w:after="0"/>
              <w:rPr>
                <w:sz w:val="20"/>
                <w:szCs w:val="20"/>
                <w:color w:val="auto"/>
              </w:rPr>
            </w:pPr>
            <w:r>
              <w:rPr>
                <w:rFonts w:ascii="Arial" w:cs="Arial" w:eastAsia="Arial" w:hAnsi="Arial"/>
                <w:sz w:val="18"/>
                <w:szCs w:val="18"/>
                <w:color w:val="auto"/>
              </w:rPr>
              <w:t>Notices to Trustee</w:t>
            </w: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3.02</w:t>
            </w:r>
          </w:p>
        </w:tc>
        <w:tc>
          <w:tcPr>
            <w:tcW w:w="8380" w:type="dxa"/>
            <w:vAlign w:val="bottom"/>
          </w:tcPr>
          <w:p>
            <w:pPr>
              <w:ind w:left="200"/>
              <w:spacing w:after="0"/>
              <w:rPr>
                <w:sz w:val="20"/>
                <w:szCs w:val="20"/>
                <w:color w:val="auto"/>
              </w:rPr>
            </w:pPr>
            <w:r>
              <w:rPr>
                <w:rFonts w:ascii="Arial" w:cs="Arial" w:eastAsia="Arial" w:hAnsi="Arial"/>
                <w:sz w:val="18"/>
                <w:szCs w:val="18"/>
                <w:color w:val="auto"/>
              </w:rPr>
              <w:t>Selection of Notes to Be Redeemed or Purchased</w:t>
            </w: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3.03</w:t>
            </w:r>
          </w:p>
        </w:tc>
        <w:tc>
          <w:tcPr>
            <w:tcW w:w="8380" w:type="dxa"/>
            <w:vAlign w:val="bottom"/>
          </w:tcPr>
          <w:p>
            <w:pPr>
              <w:ind w:left="200"/>
              <w:spacing w:after="0"/>
              <w:rPr>
                <w:sz w:val="20"/>
                <w:szCs w:val="20"/>
                <w:color w:val="auto"/>
              </w:rPr>
            </w:pPr>
            <w:r>
              <w:rPr>
                <w:rFonts w:ascii="Arial" w:cs="Arial" w:eastAsia="Arial" w:hAnsi="Arial"/>
                <w:sz w:val="18"/>
                <w:szCs w:val="18"/>
                <w:color w:val="auto"/>
              </w:rPr>
              <w:t>Notice of Redemption</w:t>
            </w: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3.04</w:t>
            </w:r>
          </w:p>
        </w:tc>
        <w:tc>
          <w:tcPr>
            <w:tcW w:w="8380" w:type="dxa"/>
            <w:vAlign w:val="bottom"/>
          </w:tcPr>
          <w:p>
            <w:pPr>
              <w:ind w:left="200"/>
              <w:spacing w:after="0"/>
              <w:rPr>
                <w:sz w:val="20"/>
                <w:szCs w:val="20"/>
                <w:color w:val="auto"/>
              </w:rPr>
            </w:pPr>
            <w:r>
              <w:rPr>
                <w:rFonts w:ascii="Arial" w:cs="Arial" w:eastAsia="Arial" w:hAnsi="Arial"/>
                <w:sz w:val="18"/>
                <w:szCs w:val="18"/>
                <w:color w:val="auto"/>
              </w:rPr>
              <w:t>Effect of Notice of Redemption</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3.05</w:t>
            </w:r>
          </w:p>
        </w:tc>
        <w:tc>
          <w:tcPr>
            <w:tcW w:w="8380" w:type="dxa"/>
            <w:vAlign w:val="bottom"/>
          </w:tcPr>
          <w:p>
            <w:pPr>
              <w:ind w:left="200"/>
              <w:spacing w:after="0"/>
              <w:rPr>
                <w:sz w:val="20"/>
                <w:szCs w:val="20"/>
                <w:color w:val="auto"/>
              </w:rPr>
            </w:pPr>
            <w:r>
              <w:rPr>
                <w:rFonts w:ascii="Arial" w:cs="Arial" w:eastAsia="Arial" w:hAnsi="Arial"/>
                <w:sz w:val="18"/>
                <w:szCs w:val="18"/>
                <w:color w:val="auto"/>
              </w:rPr>
              <w:t>Deposit of Redemption or Purchase Price</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3.06</w:t>
            </w:r>
          </w:p>
        </w:tc>
        <w:tc>
          <w:tcPr>
            <w:tcW w:w="8380" w:type="dxa"/>
            <w:vAlign w:val="bottom"/>
          </w:tcPr>
          <w:p>
            <w:pPr>
              <w:ind w:left="200"/>
              <w:spacing w:after="0"/>
              <w:rPr>
                <w:sz w:val="20"/>
                <w:szCs w:val="20"/>
                <w:color w:val="auto"/>
              </w:rPr>
            </w:pPr>
            <w:r>
              <w:rPr>
                <w:rFonts w:ascii="Arial" w:cs="Arial" w:eastAsia="Arial" w:hAnsi="Arial"/>
                <w:sz w:val="18"/>
                <w:szCs w:val="18"/>
                <w:color w:val="auto"/>
              </w:rPr>
              <w:t>Notes Redeemed or Purchased in Part</w:t>
            </w: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3.07</w:t>
            </w:r>
          </w:p>
        </w:tc>
        <w:tc>
          <w:tcPr>
            <w:tcW w:w="838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3.08</w:t>
            </w:r>
          </w:p>
        </w:tc>
        <w:tc>
          <w:tcPr>
            <w:tcW w:w="8380" w:type="dxa"/>
            <w:vAlign w:val="bottom"/>
          </w:tcPr>
          <w:p>
            <w:pPr>
              <w:ind w:left="200"/>
              <w:spacing w:after="0"/>
              <w:rPr>
                <w:sz w:val="20"/>
                <w:szCs w:val="20"/>
                <w:color w:val="auto"/>
              </w:rPr>
            </w:pPr>
            <w:r>
              <w:rPr>
                <w:rFonts w:ascii="Arial" w:cs="Arial" w:eastAsia="Arial" w:hAnsi="Arial"/>
                <w:sz w:val="18"/>
                <w:szCs w:val="18"/>
                <w:color w:val="auto"/>
              </w:rPr>
              <w:t>Mandatory Redemption</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3.09</w:t>
            </w:r>
          </w:p>
        </w:tc>
        <w:tc>
          <w:tcPr>
            <w:tcW w:w="8380" w:type="dxa"/>
            <w:vAlign w:val="bottom"/>
          </w:tcPr>
          <w:p>
            <w:pPr>
              <w:ind w:left="200"/>
              <w:spacing w:after="0"/>
              <w:rPr>
                <w:sz w:val="20"/>
                <w:szCs w:val="20"/>
                <w:color w:val="auto"/>
              </w:rPr>
            </w:pPr>
            <w:r>
              <w:rPr>
                <w:rFonts w:ascii="Arial" w:cs="Arial" w:eastAsia="Arial" w:hAnsi="Arial"/>
                <w:sz w:val="18"/>
                <w:szCs w:val="18"/>
                <w:color w:val="auto"/>
              </w:rPr>
              <w:t>Offer to Purchase by Application of Excess Proceeds</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3.10</w:t>
            </w:r>
          </w:p>
        </w:tc>
        <w:tc>
          <w:tcPr>
            <w:tcW w:w="8380" w:type="dxa"/>
            <w:vAlign w:val="bottom"/>
          </w:tcPr>
          <w:p>
            <w:pPr>
              <w:ind w:left="200"/>
              <w:spacing w:after="0"/>
              <w:rPr>
                <w:sz w:val="20"/>
                <w:szCs w:val="20"/>
                <w:color w:val="auto"/>
              </w:rPr>
            </w:pPr>
            <w:r>
              <w:rPr>
                <w:rFonts w:ascii="Arial" w:cs="Arial" w:eastAsia="Arial" w:hAnsi="Arial"/>
                <w:sz w:val="18"/>
                <w:szCs w:val="18"/>
                <w:color w:val="auto"/>
              </w:rPr>
              <w:t>Redemption for Taxation Reasons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3.11</w:t>
            </w:r>
          </w:p>
        </w:tc>
        <w:tc>
          <w:tcPr>
            <w:tcW w:w="8380" w:type="dxa"/>
            <w:vAlign w:val="bottom"/>
          </w:tcPr>
          <w:p>
            <w:pPr>
              <w:ind w:left="200"/>
              <w:spacing w:after="0"/>
              <w:rPr>
                <w:sz w:val="20"/>
                <w:szCs w:val="20"/>
                <w:color w:val="auto"/>
              </w:rPr>
            </w:pPr>
            <w:r>
              <w:rPr>
                <w:rFonts w:ascii="Arial" w:cs="Arial" w:eastAsia="Arial" w:hAnsi="Arial"/>
                <w:sz w:val="18"/>
                <w:szCs w:val="18"/>
                <w:color w:val="auto"/>
              </w:rPr>
              <w:t>Gaming Redemption</w:t>
            </w: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380" w:type="dxa"/>
            <w:vAlign w:val="bottom"/>
          </w:tcPr>
          <w:p>
            <w:pPr>
              <w:jc w:val="center"/>
              <w:ind w:left="290"/>
              <w:spacing w:after="0"/>
              <w:rPr>
                <w:sz w:val="20"/>
                <w:szCs w:val="20"/>
                <w:color w:val="auto"/>
              </w:rPr>
            </w:pPr>
            <w:r>
              <w:rPr>
                <w:rFonts w:ascii="Arial" w:cs="Arial" w:eastAsia="Arial" w:hAnsi="Arial"/>
                <w:sz w:val="18"/>
                <w:szCs w:val="18"/>
                <w:color w:val="auto"/>
                <w:w w:val="96"/>
              </w:rPr>
              <w:t>ARTICLE 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8380" w:type="dxa"/>
            <w:vAlign w:val="bottom"/>
          </w:tcPr>
          <w:p>
            <w:pPr>
              <w:jc w:val="center"/>
              <w:ind w:left="290"/>
              <w:spacing w:after="0"/>
              <w:rPr>
                <w:sz w:val="20"/>
                <w:szCs w:val="20"/>
                <w:color w:val="auto"/>
              </w:rPr>
            </w:pPr>
            <w:r>
              <w:rPr>
                <w:rFonts w:ascii="Arial" w:cs="Arial" w:eastAsia="Arial" w:hAnsi="Arial"/>
                <w:sz w:val="18"/>
                <w:szCs w:val="18"/>
                <w:color w:val="auto"/>
                <w:w w:val="96"/>
              </w:rPr>
              <w:t>COVENANTS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4.01</w:t>
            </w:r>
          </w:p>
        </w:tc>
        <w:tc>
          <w:tcPr>
            <w:tcW w:w="8380" w:type="dxa"/>
            <w:vAlign w:val="bottom"/>
          </w:tcPr>
          <w:p>
            <w:pPr>
              <w:ind w:left="200"/>
              <w:spacing w:after="0"/>
              <w:rPr>
                <w:sz w:val="20"/>
                <w:szCs w:val="20"/>
                <w:color w:val="auto"/>
              </w:rPr>
            </w:pPr>
            <w:r>
              <w:rPr>
                <w:rFonts w:ascii="Arial" w:cs="Arial" w:eastAsia="Arial" w:hAnsi="Arial"/>
                <w:sz w:val="18"/>
                <w:szCs w:val="18"/>
                <w:color w:val="auto"/>
              </w:rPr>
              <w:t>Payment of Notes</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4.02</w:t>
            </w:r>
          </w:p>
        </w:tc>
        <w:tc>
          <w:tcPr>
            <w:tcW w:w="8380" w:type="dxa"/>
            <w:vAlign w:val="bottom"/>
          </w:tcPr>
          <w:p>
            <w:pPr>
              <w:ind w:left="200"/>
              <w:spacing w:after="0"/>
              <w:rPr>
                <w:sz w:val="20"/>
                <w:szCs w:val="20"/>
                <w:color w:val="auto"/>
              </w:rPr>
            </w:pPr>
            <w:r>
              <w:rPr>
                <w:rFonts w:ascii="Arial" w:cs="Arial" w:eastAsia="Arial" w:hAnsi="Arial"/>
                <w:sz w:val="18"/>
                <w:szCs w:val="18"/>
                <w:color w:val="auto"/>
              </w:rPr>
              <w:t>Maintenance of Office or Agency</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4.03</w:t>
            </w:r>
          </w:p>
        </w:tc>
        <w:tc>
          <w:tcPr>
            <w:tcW w:w="8380" w:type="dxa"/>
            <w:vAlign w:val="bottom"/>
          </w:tcPr>
          <w:p>
            <w:pPr>
              <w:ind w:left="200"/>
              <w:spacing w:after="0"/>
              <w:rPr>
                <w:sz w:val="20"/>
                <w:szCs w:val="20"/>
                <w:color w:val="auto"/>
              </w:rPr>
            </w:pPr>
            <w:r>
              <w:rPr>
                <w:rFonts w:ascii="Arial" w:cs="Arial" w:eastAsia="Arial" w:hAnsi="Arial"/>
                <w:sz w:val="18"/>
                <w:szCs w:val="18"/>
                <w:color w:val="auto"/>
              </w:rPr>
              <w:t>Reports</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4.04</w:t>
            </w:r>
          </w:p>
        </w:tc>
        <w:tc>
          <w:tcPr>
            <w:tcW w:w="8380" w:type="dxa"/>
            <w:vAlign w:val="bottom"/>
          </w:tcPr>
          <w:p>
            <w:pPr>
              <w:ind w:left="200"/>
              <w:spacing w:after="0"/>
              <w:rPr>
                <w:sz w:val="20"/>
                <w:szCs w:val="20"/>
                <w:color w:val="auto"/>
              </w:rPr>
            </w:pPr>
            <w:r>
              <w:rPr>
                <w:rFonts w:ascii="Arial" w:cs="Arial" w:eastAsia="Arial" w:hAnsi="Arial"/>
                <w:sz w:val="18"/>
                <w:szCs w:val="18"/>
                <w:color w:val="auto"/>
              </w:rPr>
              <w:t>Compliance Certificate</w:t>
            </w: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4.05</w:t>
            </w:r>
          </w:p>
        </w:tc>
        <w:tc>
          <w:tcPr>
            <w:tcW w:w="8380" w:type="dxa"/>
            <w:vAlign w:val="bottom"/>
          </w:tcPr>
          <w:p>
            <w:pPr>
              <w:ind w:left="200"/>
              <w:spacing w:after="0"/>
              <w:rPr>
                <w:sz w:val="20"/>
                <w:szCs w:val="20"/>
                <w:color w:val="auto"/>
              </w:rPr>
            </w:pPr>
            <w:r>
              <w:rPr>
                <w:rFonts w:ascii="Arial" w:cs="Arial" w:eastAsia="Arial" w:hAnsi="Arial"/>
                <w:sz w:val="18"/>
                <w:szCs w:val="18"/>
                <w:color w:val="auto"/>
              </w:rPr>
              <w:t>Taxes</w:t>
            </w: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4.06</w:t>
            </w:r>
          </w:p>
        </w:tc>
        <w:tc>
          <w:tcPr>
            <w:tcW w:w="8380" w:type="dxa"/>
            <w:vAlign w:val="bottom"/>
          </w:tcPr>
          <w:p>
            <w:pPr>
              <w:ind w:left="200"/>
              <w:spacing w:after="0"/>
              <w:rPr>
                <w:sz w:val="20"/>
                <w:szCs w:val="20"/>
                <w:color w:val="auto"/>
              </w:rPr>
            </w:pPr>
            <w:r>
              <w:rPr>
                <w:rFonts w:ascii="Arial" w:cs="Arial" w:eastAsia="Arial" w:hAnsi="Arial"/>
                <w:sz w:val="18"/>
                <w:szCs w:val="18"/>
                <w:color w:val="auto"/>
              </w:rPr>
              <w:t>Stay, Extension and Usury Laws</w:t>
            </w: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4.07</w:t>
            </w:r>
          </w:p>
        </w:tc>
        <w:tc>
          <w:tcPr>
            <w:tcW w:w="8380" w:type="dxa"/>
            <w:vAlign w:val="bottom"/>
          </w:tcPr>
          <w:p>
            <w:pPr>
              <w:ind w:left="200"/>
              <w:spacing w:after="0"/>
              <w:rPr>
                <w:sz w:val="20"/>
                <w:szCs w:val="20"/>
                <w:color w:val="auto"/>
              </w:rPr>
            </w:pPr>
            <w:r>
              <w:rPr>
                <w:rFonts w:ascii="Arial" w:cs="Arial" w:eastAsia="Arial" w:hAnsi="Arial"/>
                <w:sz w:val="18"/>
                <w:szCs w:val="18"/>
                <w:color w:val="auto"/>
              </w:rPr>
              <w:t>Limitation on Restricted Payments</w:t>
            </w: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4.08</w:t>
            </w:r>
          </w:p>
        </w:tc>
        <w:tc>
          <w:tcPr>
            <w:tcW w:w="8380" w:type="dxa"/>
            <w:vAlign w:val="bottom"/>
          </w:tcPr>
          <w:p>
            <w:pPr>
              <w:ind w:left="200"/>
              <w:spacing w:after="0"/>
              <w:rPr>
                <w:sz w:val="20"/>
                <w:szCs w:val="20"/>
                <w:color w:val="auto"/>
              </w:rPr>
            </w:pPr>
            <w:r>
              <w:rPr>
                <w:rFonts w:ascii="Arial" w:cs="Arial" w:eastAsia="Arial" w:hAnsi="Arial"/>
                <w:sz w:val="18"/>
                <w:szCs w:val="18"/>
                <w:color w:val="auto"/>
              </w:rPr>
              <w:t>Dividend and Other Payment Restrictions Affecting Subsidiaries</w:t>
            </w: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4.09</w:t>
            </w:r>
          </w:p>
        </w:tc>
        <w:tc>
          <w:tcPr>
            <w:tcW w:w="8380" w:type="dxa"/>
            <w:vAlign w:val="bottom"/>
          </w:tcPr>
          <w:p>
            <w:pPr>
              <w:ind w:left="200"/>
              <w:spacing w:after="0"/>
              <w:rPr>
                <w:sz w:val="20"/>
                <w:szCs w:val="20"/>
                <w:color w:val="auto"/>
              </w:rPr>
            </w:pPr>
            <w:r>
              <w:rPr>
                <w:rFonts w:ascii="Arial" w:cs="Arial" w:eastAsia="Arial" w:hAnsi="Arial"/>
                <w:sz w:val="18"/>
                <w:szCs w:val="18"/>
                <w:color w:val="auto"/>
              </w:rPr>
              <w:t>Limitation on Incurrence of Indebtedness and Issuance of Disqualified Stock and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4.10</w:t>
            </w:r>
          </w:p>
        </w:tc>
        <w:tc>
          <w:tcPr>
            <w:tcW w:w="8380" w:type="dxa"/>
            <w:vAlign w:val="bottom"/>
          </w:tcPr>
          <w:p>
            <w:pPr>
              <w:ind w:left="200"/>
              <w:spacing w:after="0"/>
              <w:rPr>
                <w:sz w:val="20"/>
                <w:szCs w:val="20"/>
                <w:color w:val="auto"/>
              </w:rPr>
            </w:pPr>
            <w:r>
              <w:rPr>
                <w:rFonts w:ascii="Arial" w:cs="Arial" w:eastAsia="Arial" w:hAnsi="Arial"/>
                <w:sz w:val="18"/>
                <w:szCs w:val="18"/>
                <w:color w:val="auto"/>
              </w:rPr>
              <w:t>Asset Sales</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4.11</w:t>
            </w:r>
          </w:p>
        </w:tc>
        <w:tc>
          <w:tcPr>
            <w:tcW w:w="8380" w:type="dxa"/>
            <w:vAlign w:val="bottom"/>
          </w:tcPr>
          <w:p>
            <w:pPr>
              <w:ind w:left="200"/>
              <w:spacing w:after="0"/>
              <w:rPr>
                <w:sz w:val="20"/>
                <w:szCs w:val="20"/>
                <w:color w:val="auto"/>
              </w:rPr>
            </w:pPr>
            <w:r>
              <w:rPr>
                <w:rFonts w:ascii="Arial" w:cs="Arial" w:eastAsia="Arial" w:hAnsi="Arial"/>
                <w:sz w:val="18"/>
                <w:szCs w:val="18"/>
                <w:color w:val="auto"/>
              </w:rPr>
              <w:t>Transactions with Affiliates</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467" w:name="page468"/>
    <w:bookmarkEnd w:id="467"/>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4.12</w:t>
            </w:r>
          </w:p>
        </w:tc>
        <w:tc>
          <w:tcPr>
            <w:tcW w:w="8140" w:type="dxa"/>
            <w:vAlign w:val="bottom"/>
          </w:tcPr>
          <w:p>
            <w:pPr>
              <w:ind w:left="200"/>
              <w:spacing w:after="0"/>
              <w:rPr>
                <w:sz w:val="20"/>
                <w:szCs w:val="20"/>
                <w:color w:val="auto"/>
              </w:rPr>
            </w:pPr>
            <w:r>
              <w:rPr>
                <w:rFonts w:ascii="Arial" w:cs="Arial" w:eastAsia="Arial" w:hAnsi="Arial"/>
                <w:sz w:val="18"/>
                <w:szCs w:val="18"/>
                <w:color w:val="auto"/>
              </w:rPr>
              <w:t>Liens</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4.13</w:t>
            </w:r>
          </w:p>
        </w:tc>
        <w:tc>
          <w:tcPr>
            <w:tcW w:w="8140" w:type="dxa"/>
            <w:vAlign w:val="bottom"/>
          </w:tcPr>
          <w:p>
            <w:pPr>
              <w:ind w:left="200"/>
              <w:spacing w:after="0"/>
              <w:rPr>
                <w:sz w:val="20"/>
                <w:szCs w:val="20"/>
                <w:color w:val="auto"/>
              </w:rPr>
            </w:pPr>
            <w:r>
              <w:rPr>
                <w:rFonts w:ascii="Arial" w:cs="Arial" w:eastAsia="Arial" w:hAnsi="Arial"/>
                <w:sz w:val="18"/>
                <w:szCs w:val="18"/>
                <w:color w:val="auto"/>
              </w:rPr>
              <w:t>Business Activities</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4.14</w:t>
            </w:r>
          </w:p>
        </w:tc>
        <w:tc>
          <w:tcPr>
            <w:tcW w:w="8140" w:type="dxa"/>
            <w:vAlign w:val="bottom"/>
          </w:tcPr>
          <w:p>
            <w:pPr>
              <w:ind w:left="200"/>
              <w:spacing w:after="0"/>
              <w:rPr>
                <w:sz w:val="20"/>
                <w:szCs w:val="20"/>
                <w:color w:val="auto"/>
              </w:rPr>
            </w:pPr>
            <w:r>
              <w:rPr>
                <w:rFonts w:ascii="Arial" w:cs="Arial" w:eastAsia="Arial" w:hAnsi="Arial"/>
                <w:sz w:val="18"/>
                <w:szCs w:val="18"/>
                <w:color w:val="auto"/>
              </w:rPr>
              <w:t>Corporate Existence</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4.15</w:t>
            </w:r>
          </w:p>
        </w:tc>
        <w:tc>
          <w:tcPr>
            <w:tcW w:w="8140" w:type="dxa"/>
            <w:vAlign w:val="bottom"/>
          </w:tcPr>
          <w:p>
            <w:pPr>
              <w:ind w:left="200"/>
              <w:spacing w:after="0"/>
              <w:rPr>
                <w:sz w:val="20"/>
                <w:szCs w:val="20"/>
                <w:color w:val="auto"/>
              </w:rPr>
            </w:pPr>
            <w:r>
              <w:rPr>
                <w:rFonts w:ascii="Arial" w:cs="Arial" w:eastAsia="Arial" w:hAnsi="Arial"/>
                <w:sz w:val="18"/>
                <w:szCs w:val="18"/>
                <w:color w:val="auto"/>
              </w:rPr>
              <w:t>Offer to Repurchase upon Change of Control</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4.16</w:t>
            </w:r>
          </w:p>
        </w:tc>
        <w:tc>
          <w:tcPr>
            <w:tcW w:w="8140" w:type="dxa"/>
            <w:vAlign w:val="bottom"/>
          </w:tcPr>
          <w:p>
            <w:pPr>
              <w:ind w:left="200"/>
              <w:spacing w:after="0"/>
              <w:rPr>
                <w:sz w:val="20"/>
                <w:szCs w:val="20"/>
                <w:color w:val="auto"/>
              </w:rPr>
            </w:pPr>
            <w:r>
              <w:rPr>
                <w:rFonts w:ascii="Arial" w:cs="Arial" w:eastAsia="Arial" w:hAnsi="Arial"/>
                <w:sz w:val="18"/>
                <w:szCs w:val="18"/>
                <w:color w:val="auto"/>
              </w:rPr>
              <w:t>Payments for Consents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4.17</w:t>
            </w:r>
          </w:p>
        </w:tc>
        <w:tc>
          <w:tcPr>
            <w:tcW w:w="8140" w:type="dxa"/>
            <w:vAlign w:val="bottom"/>
          </w:tcPr>
          <w:p>
            <w:pPr>
              <w:ind w:left="200"/>
              <w:spacing w:after="0"/>
              <w:rPr>
                <w:sz w:val="20"/>
                <w:szCs w:val="20"/>
                <w:color w:val="auto"/>
              </w:rPr>
            </w:pPr>
            <w:r>
              <w:rPr>
                <w:rFonts w:ascii="Arial" w:cs="Arial" w:eastAsia="Arial" w:hAnsi="Arial"/>
                <w:sz w:val="18"/>
                <w:szCs w:val="18"/>
                <w:color w:val="auto"/>
              </w:rPr>
              <w:t>Future Subsidiary Guarantors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4.18</w:t>
            </w:r>
          </w:p>
        </w:tc>
        <w:tc>
          <w:tcPr>
            <w:tcW w:w="8140" w:type="dxa"/>
            <w:vAlign w:val="bottom"/>
          </w:tcPr>
          <w:p>
            <w:pPr>
              <w:ind w:left="200"/>
              <w:spacing w:after="0"/>
              <w:rPr>
                <w:sz w:val="20"/>
                <w:szCs w:val="20"/>
                <w:color w:val="auto"/>
              </w:rPr>
            </w:pPr>
            <w:r>
              <w:rPr>
                <w:rFonts w:ascii="Arial" w:cs="Arial" w:eastAsia="Arial" w:hAnsi="Arial"/>
                <w:sz w:val="18"/>
                <w:szCs w:val="18"/>
                <w:color w:val="auto"/>
              </w:rPr>
              <w:t>Designation of Restricted and Unrestricted Subsidiaries</w:t>
            </w:r>
          </w:p>
        </w:tc>
        <w:tc>
          <w:tcPr>
            <w:tcW w:w="1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4.19</w:t>
            </w:r>
          </w:p>
        </w:tc>
        <w:tc>
          <w:tcPr>
            <w:tcW w:w="8140" w:type="dxa"/>
            <w:vAlign w:val="bottom"/>
          </w:tcPr>
          <w:p>
            <w:pPr>
              <w:ind w:left="200"/>
              <w:spacing w:after="0"/>
              <w:rPr>
                <w:sz w:val="20"/>
                <w:szCs w:val="20"/>
                <w:color w:val="auto"/>
              </w:rPr>
            </w:pPr>
            <w:r>
              <w:rPr>
                <w:rFonts w:ascii="Arial" w:cs="Arial" w:eastAsia="Arial" w:hAnsi="Arial"/>
                <w:sz w:val="18"/>
                <w:szCs w:val="18"/>
                <w:color w:val="auto"/>
              </w:rPr>
              <w:t>Listing</w:t>
            </w: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4.20</w:t>
            </w:r>
          </w:p>
        </w:tc>
        <w:tc>
          <w:tcPr>
            <w:tcW w:w="8140" w:type="dxa"/>
            <w:vAlign w:val="bottom"/>
          </w:tcPr>
          <w:p>
            <w:pPr>
              <w:ind w:left="200"/>
              <w:spacing w:after="0"/>
              <w:rPr>
                <w:sz w:val="20"/>
                <w:szCs w:val="20"/>
                <w:color w:val="auto"/>
              </w:rPr>
            </w:pPr>
            <w:r>
              <w:rPr>
                <w:rFonts w:ascii="Arial" w:cs="Arial" w:eastAsia="Arial" w:hAnsi="Arial"/>
                <w:sz w:val="18"/>
                <w:szCs w:val="18"/>
                <w:color w:val="auto"/>
              </w:rPr>
              <w:t>Limitations on Use of Proceeds</w:t>
            </w: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4.21</w:t>
            </w:r>
          </w:p>
        </w:tc>
        <w:tc>
          <w:tcPr>
            <w:tcW w:w="8140" w:type="dxa"/>
            <w:vAlign w:val="bottom"/>
          </w:tcPr>
          <w:p>
            <w:pPr>
              <w:ind w:left="200"/>
              <w:spacing w:after="0"/>
              <w:rPr>
                <w:sz w:val="20"/>
                <w:szCs w:val="20"/>
                <w:color w:val="auto"/>
              </w:rPr>
            </w:pPr>
            <w:r>
              <w:rPr>
                <w:rFonts w:ascii="Arial" w:cs="Arial" w:eastAsia="Arial" w:hAnsi="Arial"/>
                <w:sz w:val="18"/>
                <w:szCs w:val="18"/>
                <w:color w:val="auto"/>
              </w:rPr>
              <w:t>Special Put Option</w:t>
            </w: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4.22</w:t>
            </w:r>
          </w:p>
        </w:tc>
        <w:tc>
          <w:tcPr>
            <w:tcW w:w="8140" w:type="dxa"/>
            <w:vAlign w:val="bottom"/>
          </w:tcPr>
          <w:p>
            <w:pPr>
              <w:ind w:left="200"/>
              <w:spacing w:after="0"/>
              <w:rPr>
                <w:sz w:val="20"/>
                <w:szCs w:val="20"/>
                <w:color w:val="auto"/>
              </w:rPr>
            </w:pPr>
            <w:r>
              <w:rPr>
                <w:rFonts w:ascii="Arial" w:cs="Arial" w:eastAsia="Arial" w:hAnsi="Arial"/>
                <w:sz w:val="18"/>
                <w:szCs w:val="18"/>
                <w:color w:val="auto"/>
              </w:rPr>
              <w:t>Intercompany Note Proceeds Loans</w:t>
            </w:r>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4.23</w:t>
            </w:r>
          </w:p>
        </w:tc>
        <w:tc>
          <w:tcPr>
            <w:tcW w:w="8140" w:type="dxa"/>
            <w:vAlign w:val="bottom"/>
          </w:tcPr>
          <w:p>
            <w:pPr>
              <w:ind w:left="200"/>
              <w:spacing w:after="0"/>
              <w:rPr>
                <w:sz w:val="20"/>
                <w:szCs w:val="20"/>
                <w:color w:val="auto"/>
              </w:rPr>
            </w:pPr>
            <w:r>
              <w:rPr>
                <w:rFonts w:ascii="Arial" w:cs="Arial" w:eastAsia="Arial" w:hAnsi="Arial"/>
                <w:sz w:val="18"/>
                <w:szCs w:val="18"/>
                <w:color w:val="auto"/>
              </w:rPr>
              <w:t>Suspension of Covenants</w:t>
            </w:r>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0"/>
        </w:trPr>
        <w:tc>
          <w:tcPr>
            <w:tcW w:w="1100" w:type="dxa"/>
            <w:vAlign w:val="bottom"/>
          </w:tcPr>
          <w:p>
            <w:pPr>
              <w:spacing w:after="0"/>
              <w:rPr>
                <w:sz w:val="24"/>
                <w:szCs w:val="24"/>
                <w:color w:val="auto"/>
              </w:rPr>
            </w:pPr>
          </w:p>
        </w:tc>
        <w:tc>
          <w:tcPr>
            <w:tcW w:w="8140" w:type="dxa"/>
            <w:vAlign w:val="bottom"/>
          </w:tcPr>
          <w:p>
            <w:pPr>
              <w:jc w:val="center"/>
              <w:ind w:left="530"/>
              <w:spacing w:after="0"/>
              <w:rPr>
                <w:sz w:val="20"/>
                <w:szCs w:val="20"/>
                <w:color w:val="auto"/>
              </w:rPr>
            </w:pPr>
            <w:r>
              <w:rPr>
                <w:rFonts w:ascii="Arial" w:cs="Arial" w:eastAsia="Arial" w:hAnsi="Arial"/>
                <w:sz w:val="18"/>
                <w:szCs w:val="18"/>
                <w:color w:val="auto"/>
                <w:w w:val="96"/>
              </w:rPr>
              <w:t>ARTICLE 5</w:t>
            </w:r>
          </w:p>
        </w:tc>
        <w:tc>
          <w:tcPr>
            <w:tcW w:w="17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140" w:type="dxa"/>
            <w:vAlign w:val="bottom"/>
          </w:tcPr>
          <w:p>
            <w:pPr>
              <w:jc w:val="center"/>
              <w:ind w:left="530"/>
              <w:spacing w:after="0"/>
              <w:rPr>
                <w:sz w:val="20"/>
                <w:szCs w:val="20"/>
                <w:color w:val="auto"/>
              </w:rPr>
            </w:pPr>
            <w:r>
              <w:rPr>
                <w:rFonts w:ascii="Arial" w:cs="Arial" w:eastAsia="Arial" w:hAnsi="Arial"/>
                <w:sz w:val="18"/>
                <w:szCs w:val="18"/>
                <w:color w:val="auto"/>
                <w:w w:val="88"/>
              </w:rPr>
              <w:t>SUCCESSORS</w:t>
            </w:r>
          </w:p>
        </w:tc>
        <w:tc>
          <w:tcPr>
            <w:tcW w:w="172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5.01</w:t>
            </w:r>
          </w:p>
        </w:tc>
        <w:tc>
          <w:tcPr>
            <w:tcW w:w="8140" w:type="dxa"/>
            <w:vAlign w:val="bottom"/>
          </w:tcPr>
          <w:p>
            <w:pPr>
              <w:ind w:left="200"/>
              <w:spacing w:after="0"/>
              <w:rPr>
                <w:sz w:val="20"/>
                <w:szCs w:val="20"/>
                <w:color w:val="auto"/>
              </w:rPr>
            </w:pPr>
            <w:r>
              <w:rPr>
                <w:rFonts w:ascii="Arial" w:cs="Arial" w:eastAsia="Arial" w:hAnsi="Arial"/>
                <w:sz w:val="18"/>
                <w:szCs w:val="18"/>
                <w:color w:val="auto"/>
              </w:rPr>
              <w:t>Merger, Consolidation, or Sale of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5.02</w:t>
            </w:r>
          </w:p>
        </w:tc>
        <w:tc>
          <w:tcPr>
            <w:tcW w:w="8140" w:type="dxa"/>
            <w:vAlign w:val="bottom"/>
          </w:tcPr>
          <w:p>
            <w:pPr>
              <w:ind w:left="200"/>
              <w:spacing w:after="0"/>
              <w:rPr>
                <w:sz w:val="20"/>
                <w:szCs w:val="20"/>
                <w:color w:val="auto"/>
              </w:rPr>
            </w:pPr>
            <w:r>
              <w:rPr>
                <w:rFonts w:ascii="Arial" w:cs="Arial" w:eastAsia="Arial" w:hAnsi="Arial"/>
                <w:sz w:val="18"/>
                <w:szCs w:val="18"/>
                <w:color w:val="auto"/>
              </w:rPr>
              <w:t>Successor Corporation Substituted</w:t>
            </w:r>
          </w:p>
        </w:tc>
        <w:tc>
          <w:tcPr>
            <w:tcW w:w="1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0"/>
        </w:trPr>
        <w:tc>
          <w:tcPr>
            <w:tcW w:w="1100" w:type="dxa"/>
            <w:vAlign w:val="bottom"/>
          </w:tcPr>
          <w:p>
            <w:pPr>
              <w:spacing w:after="0"/>
              <w:rPr>
                <w:sz w:val="24"/>
                <w:szCs w:val="24"/>
                <w:color w:val="auto"/>
              </w:rPr>
            </w:pPr>
          </w:p>
        </w:tc>
        <w:tc>
          <w:tcPr>
            <w:tcW w:w="8140" w:type="dxa"/>
            <w:vAlign w:val="bottom"/>
          </w:tcPr>
          <w:p>
            <w:pPr>
              <w:jc w:val="center"/>
              <w:ind w:left="530"/>
              <w:spacing w:after="0"/>
              <w:rPr>
                <w:sz w:val="20"/>
                <w:szCs w:val="20"/>
                <w:color w:val="auto"/>
              </w:rPr>
            </w:pPr>
            <w:r>
              <w:rPr>
                <w:rFonts w:ascii="Arial" w:cs="Arial" w:eastAsia="Arial" w:hAnsi="Arial"/>
                <w:sz w:val="18"/>
                <w:szCs w:val="18"/>
                <w:color w:val="auto"/>
                <w:w w:val="96"/>
              </w:rPr>
              <w:t>ARTICLE 6</w:t>
            </w:r>
          </w:p>
        </w:tc>
        <w:tc>
          <w:tcPr>
            <w:tcW w:w="17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140" w:type="dxa"/>
            <w:vAlign w:val="bottom"/>
          </w:tcPr>
          <w:p>
            <w:pPr>
              <w:jc w:val="center"/>
              <w:ind w:left="530"/>
              <w:spacing w:after="0"/>
              <w:rPr>
                <w:sz w:val="20"/>
                <w:szCs w:val="20"/>
                <w:color w:val="auto"/>
              </w:rPr>
            </w:pPr>
            <w:r>
              <w:rPr>
                <w:rFonts w:ascii="Arial" w:cs="Arial" w:eastAsia="Arial" w:hAnsi="Arial"/>
                <w:sz w:val="18"/>
                <w:szCs w:val="18"/>
                <w:color w:val="auto"/>
                <w:w w:val="96"/>
              </w:rPr>
              <w:t>DEFAULTS AND REMEDIES</w:t>
            </w:r>
          </w:p>
        </w:tc>
        <w:tc>
          <w:tcPr>
            <w:tcW w:w="172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6.01</w:t>
            </w:r>
          </w:p>
        </w:tc>
        <w:tc>
          <w:tcPr>
            <w:tcW w:w="814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1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6.02</w:t>
            </w:r>
          </w:p>
        </w:tc>
        <w:tc>
          <w:tcPr>
            <w:tcW w:w="8140" w:type="dxa"/>
            <w:vAlign w:val="bottom"/>
          </w:tcPr>
          <w:p>
            <w:pPr>
              <w:ind w:left="200"/>
              <w:spacing w:after="0"/>
              <w:rPr>
                <w:sz w:val="20"/>
                <w:szCs w:val="20"/>
                <w:color w:val="auto"/>
              </w:rPr>
            </w:pPr>
            <w:r>
              <w:rPr>
                <w:rFonts w:ascii="Arial" w:cs="Arial" w:eastAsia="Arial" w:hAnsi="Arial"/>
                <w:sz w:val="18"/>
                <w:szCs w:val="18"/>
                <w:color w:val="auto"/>
              </w:rPr>
              <w:t>Acceleration</w:t>
            </w: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6.03</w:t>
            </w:r>
          </w:p>
        </w:tc>
        <w:tc>
          <w:tcPr>
            <w:tcW w:w="8140" w:type="dxa"/>
            <w:vAlign w:val="bottom"/>
          </w:tcPr>
          <w:p>
            <w:pPr>
              <w:ind w:left="200"/>
              <w:spacing w:after="0"/>
              <w:rPr>
                <w:sz w:val="20"/>
                <w:szCs w:val="20"/>
                <w:color w:val="auto"/>
              </w:rPr>
            </w:pPr>
            <w:r>
              <w:rPr>
                <w:rFonts w:ascii="Arial" w:cs="Arial" w:eastAsia="Arial" w:hAnsi="Arial"/>
                <w:sz w:val="18"/>
                <w:szCs w:val="18"/>
                <w:color w:val="auto"/>
              </w:rPr>
              <w:t>Other Remedies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6.04</w:t>
            </w:r>
          </w:p>
        </w:tc>
        <w:tc>
          <w:tcPr>
            <w:tcW w:w="8140" w:type="dxa"/>
            <w:vAlign w:val="bottom"/>
          </w:tcPr>
          <w:p>
            <w:pPr>
              <w:ind w:left="200"/>
              <w:spacing w:after="0"/>
              <w:rPr>
                <w:sz w:val="20"/>
                <w:szCs w:val="20"/>
                <w:color w:val="auto"/>
              </w:rPr>
            </w:pPr>
            <w:r>
              <w:rPr>
                <w:rFonts w:ascii="Arial" w:cs="Arial" w:eastAsia="Arial" w:hAnsi="Arial"/>
                <w:sz w:val="18"/>
                <w:szCs w:val="18"/>
                <w:color w:val="auto"/>
              </w:rPr>
              <w:t>Waiver of Past Defaults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6.05</w:t>
            </w:r>
          </w:p>
        </w:tc>
        <w:tc>
          <w:tcPr>
            <w:tcW w:w="8140" w:type="dxa"/>
            <w:vAlign w:val="bottom"/>
          </w:tcPr>
          <w:p>
            <w:pPr>
              <w:ind w:left="200"/>
              <w:spacing w:after="0"/>
              <w:rPr>
                <w:sz w:val="20"/>
                <w:szCs w:val="20"/>
                <w:color w:val="auto"/>
              </w:rPr>
            </w:pPr>
            <w:r>
              <w:rPr>
                <w:rFonts w:ascii="Arial" w:cs="Arial" w:eastAsia="Arial" w:hAnsi="Arial"/>
                <w:sz w:val="18"/>
                <w:szCs w:val="18"/>
                <w:color w:val="auto"/>
              </w:rPr>
              <w:t>Control by Majority</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6.06</w:t>
            </w:r>
          </w:p>
        </w:tc>
        <w:tc>
          <w:tcPr>
            <w:tcW w:w="8140" w:type="dxa"/>
            <w:vAlign w:val="bottom"/>
          </w:tcPr>
          <w:p>
            <w:pPr>
              <w:ind w:left="200"/>
              <w:spacing w:after="0"/>
              <w:rPr>
                <w:sz w:val="20"/>
                <w:szCs w:val="20"/>
                <w:color w:val="auto"/>
              </w:rPr>
            </w:pPr>
            <w:r>
              <w:rPr>
                <w:rFonts w:ascii="Arial" w:cs="Arial" w:eastAsia="Arial" w:hAnsi="Arial"/>
                <w:sz w:val="18"/>
                <w:szCs w:val="18"/>
                <w:color w:val="auto"/>
              </w:rPr>
              <w:t>Limitation on Suits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6.07</w:t>
            </w:r>
          </w:p>
        </w:tc>
        <w:tc>
          <w:tcPr>
            <w:tcW w:w="8140" w:type="dxa"/>
            <w:vAlign w:val="bottom"/>
          </w:tcPr>
          <w:p>
            <w:pPr>
              <w:ind w:left="200"/>
              <w:spacing w:after="0"/>
              <w:rPr>
                <w:sz w:val="20"/>
                <w:szCs w:val="20"/>
                <w:color w:val="auto"/>
              </w:rPr>
            </w:pPr>
            <w:r>
              <w:rPr>
                <w:rFonts w:ascii="Arial" w:cs="Arial" w:eastAsia="Arial" w:hAnsi="Arial"/>
                <w:sz w:val="18"/>
                <w:szCs w:val="18"/>
                <w:color w:val="auto"/>
              </w:rPr>
              <w:t>Rights of Holders to Receive Payment</w:t>
            </w: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6.08</w:t>
            </w:r>
          </w:p>
        </w:tc>
        <w:tc>
          <w:tcPr>
            <w:tcW w:w="8140" w:type="dxa"/>
            <w:vAlign w:val="bottom"/>
          </w:tcPr>
          <w:p>
            <w:pPr>
              <w:ind w:left="200"/>
              <w:spacing w:after="0"/>
              <w:rPr>
                <w:sz w:val="20"/>
                <w:szCs w:val="20"/>
                <w:color w:val="auto"/>
              </w:rPr>
            </w:pPr>
            <w:r>
              <w:rPr>
                <w:rFonts w:ascii="Arial" w:cs="Arial" w:eastAsia="Arial" w:hAnsi="Arial"/>
                <w:sz w:val="18"/>
                <w:szCs w:val="18"/>
                <w:color w:val="auto"/>
              </w:rPr>
              <w:t>Collection Suit by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6.09</w:t>
            </w:r>
          </w:p>
        </w:tc>
        <w:tc>
          <w:tcPr>
            <w:tcW w:w="8140" w:type="dxa"/>
            <w:vAlign w:val="bottom"/>
          </w:tcPr>
          <w:p>
            <w:pPr>
              <w:ind w:left="200"/>
              <w:spacing w:after="0"/>
              <w:rPr>
                <w:sz w:val="20"/>
                <w:szCs w:val="20"/>
                <w:color w:val="auto"/>
              </w:rPr>
            </w:pPr>
            <w:r>
              <w:rPr>
                <w:rFonts w:ascii="Arial" w:cs="Arial" w:eastAsia="Arial" w:hAnsi="Arial"/>
                <w:sz w:val="18"/>
                <w:szCs w:val="18"/>
                <w:color w:val="auto"/>
              </w:rPr>
              <w:t>Trustee May File Proofs of Claim</w:t>
            </w: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6.10</w:t>
            </w:r>
          </w:p>
        </w:tc>
        <w:tc>
          <w:tcPr>
            <w:tcW w:w="8140" w:type="dxa"/>
            <w:vAlign w:val="bottom"/>
          </w:tcPr>
          <w:p>
            <w:pPr>
              <w:ind w:left="200"/>
              <w:spacing w:after="0"/>
              <w:rPr>
                <w:sz w:val="20"/>
                <w:szCs w:val="20"/>
                <w:color w:val="auto"/>
              </w:rPr>
            </w:pPr>
            <w:r>
              <w:rPr>
                <w:rFonts w:ascii="Arial" w:cs="Arial" w:eastAsia="Arial" w:hAnsi="Arial"/>
                <w:sz w:val="18"/>
                <w:szCs w:val="18"/>
                <w:color w:val="auto"/>
              </w:rPr>
              <w:t>Priorities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6.11</w:t>
            </w:r>
          </w:p>
        </w:tc>
        <w:tc>
          <w:tcPr>
            <w:tcW w:w="8140" w:type="dxa"/>
            <w:vAlign w:val="bottom"/>
          </w:tcPr>
          <w:p>
            <w:pPr>
              <w:ind w:left="200"/>
              <w:spacing w:after="0"/>
              <w:rPr>
                <w:sz w:val="20"/>
                <w:szCs w:val="20"/>
                <w:color w:val="auto"/>
              </w:rPr>
            </w:pPr>
            <w:r>
              <w:rPr>
                <w:rFonts w:ascii="Arial" w:cs="Arial" w:eastAsia="Arial" w:hAnsi="Arial"/>
                <w:sz w:val="18"/>
                <w:szCs w:val="18"/>
                <w:color w:val="auto"/>
              </w:rPr>
              <w:t>Undertaking for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0"/>
        </w:trPr>
        <w:tc>
          <w:tcPr>
            <w:tcW w:w="1100" w:type="dxa"/>
            <w:vAlign w:val="bottom"/>
          </w:tcPr>
          <w:p>
            <w:pPr>
              <w:spacing w:after="0"/>
              <w:rPr>
                <w:sz w:val="24"/>
                <w:szCs w:val="24"/>
                <w:color w:val="auto"/>
              </w:rPr>
            </w:pPr>
          </w:p>
        </w:tc>
        <w:tc>
          <w:tcPr>
            <w:tcW w:w="8140" w:type="dxa"/>
            <w:vAlign w:val="bottom"/>
          </w:tcPr>
          <w:p>
            <w:pPr>
              <w:jc w:val="center"/>
              <w:ind w:left="530"/>
              <w:spacing w:after="0"/>
              <w:rPr>
                <w:sz w:val="20"/>
                <w:szCs w:val="20"/>
                <w:color w:val="auto"/>
              </w:rPr>
            </w:pPr>
            <w:r>
              <w:rPr>
                <w:rFonts w:ascii="Arial" w:cs="Arial" w:eastAsia="Arial" w:hAnsi="Arial"/>
                <w:sz w:val="18"/>
                <w:szCs w:val="18"/>
                <w:color w:val="auto"/>
                <w:w w:val="96"/>
              </w:rPr>
              <w:t>ARTICLE 7</w:t>
            </w:r>
          </w:p>
        </w:tc>
        <w:tc>
          <w:tcPr>
            <w:tcW w:w="17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140" w:type="dxa"/>
            <w:vAlign w:val="bottom"/>
          </w:tcPr>
          <w:p>
            <w:pPr>
              <w:jc w:val="center"/>
              <w:ind w:left="530"/>
              <w:spacing w:after="0"/>
              <w:rPr>
                <w:sz w:val="20"/>
                <w:szCs w:val="20"/>
                <w:color w:val="auto"/>
              </w:rPr>
            </w:pPr>
            <w:r>
              <w:rPr>
                <w:rFonts w:ascii="Arial" w:cs="Arial" w:eastAsia="Arial" w:hAnsi="Arial"/>
                <w:sz w:val="18"/>
                <w:szCs w:val="18"/>
                <w:color w:val="auto"/>
                <w:w w:val="95"/>
              </w:rPr>
              <w:t>TRUSTEE</w:t>
            </w:r>
          </w:p>
        </w:tc>
        <w:tc>
          <w:tcPr>
            <w:tcW w:w="172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7.01</w:t>
            </w:r>
          </w:p>
        </w:tc>
        <w:tc>
          <w:tcPr>
            <w:tcW w:w="8140" w:type="dxa"/>
            <w:vAlign w:val="bottom"/>
          </w:tcPr>
          <w:p>
            <w:pPr>
              <w:ind w:left="200"/>
              <w:spacing w:after="0"/>
              <w:rPr>
                <w:sz w:val="20"/>
                <w:szCs w:val="20"/>
                <w:color w:val="auto"/>
              </w:rPr>
            </w:pPr>
            <w:r>
              <w:rPr>
                <w:rFonts w:ascii="Arial" w:cs="Arial" w:eastAsia="Arial" w:hAnsi="Arial"/>
                <w:sz w:val="18"/>
                <w:szCs w:val="18"/>
                <w:color w:val="auto"/>
              </w:rPr>
              <w:t>Duties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7.02</w:t>
            </w:r>
          </w:p>
        </w:tc>
        <w:tc>
          <w:tcPr>
            <w:tcW w:w="8140" w:type="dxa"/>
            <w:vAlign w:val="bottom"/>
          </w:tcPr>
          <w:p>
            <w:pPr>
              <w:ind w:left="200"/>
              <w:spacing w:after="0"/>
              <w:rPr>
                <w:sz w:val="20"/>
                <w:szCs w:val="20"/>
                <w:color w:val="auto"/>
              </w:rPr>
            </w:pPr>
            <w:r>
              <w:rPr>
                <w:rFonts w:ascii="Arial" w:cs="Arial" w:eastAsia="Arial" w:hAnsi="Arial"/>
                <w:sz w:val="18"/>
                <w:szCs w:val="18"/>
                <w:color w:val="auto"/>
              </w:rPr>
              <w:t>Rights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7.03</w:t>
            </w:r>
          </w:p>
        </w:tc>
        <w:tc>
          <w:tcPr>
            <w:tcW w:w="8140" w:type="dxa"/>
            <w:vAlign w:val="bottom"/>
          </w:tcPr>
          <w:p>
            <w:pPr>
              <w:ind w:left="200"/>
              <w:spacing w:after="0"/>
              <w:rPr>
                <w:sz w:val="20"/>
                <w:szCs w:val="20"/>
                <w:color w:val="auto"/>
              </w:rPr>
            </w:pPr>
            <w:r>
              <w:rPr>
                <w:rFonts w:ascii="Arial" w:cs="Arial" w:eastAsia="Arial" w:hAnsi="Arial"/>
                <w:sz w:val="18"/>
                <w:szCs w:val="18"/>
                <w:color w:val="auto"/>
              </w:rPr>
              <w:t>[Intentionally Omitted.]</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7.04</w:t>
            </w:r>
          </w:p>
        </w:tc>
        <w:tc>
          <w:tcPr>
            <w:tcW w:w="8140" w:type="dxa"/>
            <w:vAlign w:val="bottom"/>
          </w:tcPr>
          <w:p>
            <w:pPr>
              <w:ind w:left="200"/>
              <w:spacing w:after="0"/>
              <w:rPr>
                <w:sz w:val="20"/>
                <w:szCs w:val="20"/>
                <w:color w:val="auto"/>
              </w:rPr>
            </w:pPr>
            <w:r>
              <w:rPr>
                <w:rFonts w:ascii="Arial" w:cs="Arial" w:eastAsia="Arial" w:hAnsi="Arial"/>
                <w:sz w:val="18"/>
                <w:szCs w:val="18"/>
                <w:color w:val="auto"/>
              </w:rPr>
              <w:t>Individual Rights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7.05</w:t>
            </w:r>
          </w:p>
        </w:tc>
        <w:tc>
          <w:tcPr>
            <w:tcW w:w="8140" w:type="dxa"/>
            <w:vAlign w:val="bottom"/>
          </w:tcPr>
          <w:p>
            <w:pPr>
              <w:ind w:left="200"/>
              <w:spacing w:after="0"/>
              <w:rPr>
                <w:sz w:val="20"/>
                <w:szCs w:val="20"/>
                <w:color w:val="auto"/>
              </w:rPr>
            </w:pPr>
            <w:r>
              <w:rPr>
                <w:rFonts w:ascii="Arial" w:cs="Arial" w:eastAsia="Arial" w:hAnsi="Arial"/>
                <w:sz w:val="18"/>
                <w:szCs w:val="18"/>
                <w:color w:val="auto"/>
              </w:rPr>
              <w:t>Trustee’s Disclaimer</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7.06</w:t>
            </w:r>
          </w:p>
        </w:tc>
        <w:tc>
          <w:tcPr>
            <w:tcW w:w="8140" w:type="dxa"/>
            <w:vAlign w:val="bottom"/>
          </w:tcPr>
          <w:p>
            <w:pPr>
              <w:ind w:left="200"/>
              <w:spacing w:after="0"/>
              <w:rPr>
                <w:sz w:val="20"/>
                <w:szCs w:val="20"/>
                <w:color w:val="auto"/>
              </w:rPr>
            </w:pPr>
            <w:r>
              <w:rPr>
                <w:rFonts w:ascii="Arial" w:cs="Arial" w:eastAsia="Arial" w:hAnsi="Arial"/>
                <w:sz w:val="18"/>
                <w:szCs w:val="18"/>
                <w:color w:val="auto"/>
              </w:rPr>
              <w:t>Notice of Defaults</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7.07</w:t>
            </w:r>
          </w:p>
        </w:tc>
        <w:tc>
          <w:tcPr>
            <w:tcW w:w="8140" w:type="dxa"/>
            <w:vAlign w:val="bottom"/>
          </w:tcPr>
          <w:p>
            <w:pPr>
              <w:ind w:left="200"/>
              <w:spacing w:after="0"/>
              <w:rPr>
                <w:sz w:val="20"/>
                <w:szCs w:val="20"/>
                <w:color w:val="auto"/>
              </w:rPr>
            </w:pPr>
            <w:r>
              <w:rPr>
                <w:rFonts w:ascii="Arial" w:cs="Arial" w:eastAsia="Arial" w:hAnsi="Arial"/>
                <w:sz w:val="18"/>
                <w:szCs w:val="18"/>
                <w:color w:val="auto"/>
              </w:rPr>
              <w:t>[Intentionally Omitted.]</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7.08</w:t>
            </w:r>
          </w:p>
        </w:tc>
        <w:tc>
          <w:tcPr>
            <w:tcW w:w="8140" w:type="dxa"/>
            <w:vAlign w:val="bottom"/>
          </w:tcPr>
          <w:p>
            <w:pPr>
              <w:ind w:left="200"/>
              <w:spacing w:after="0"/>
              <w:rPr>
                <w:sz w:val="20"/>
                <w:szCs w:val="20"/>
                <w:color w:val="auto"/>
              </w:rPr>
            </w:pPr>
            <w:r>
              <w:rPr>
                <w:rFonts w:ascii="Arial" w:cs="Arial" w:eastAsia="Arial" w:hAnsi="Arial"/>
                <w:sz w:val="18"/>
                <w:szCs w:val="18"/>
                <w:color w:val="auto"/>
              </w:rPr>
              <w:t>Compensation and Indemnity</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7.09</w:t>
            </w:r>
          </w:p>
        </w:tc>
        <w:tc>
          <w:tcPr>
            <w:tcW w:w="8140" w:type="dxa"/>
            <w:vAlign w:val="bottom"/>
          </w:tcPr>
          <w:p>
            <w:pPr>
              <w:ind w:left="200"/>
              <w:spacing w:after="0"/>
              <w:rPr>
                <w:sz w:val="20"/>
                <w:szCs w:val="20"/>
                <w:color w:val="auto"/>
              </w:rPr>
            </w:pPr>
            <w:r>
              <w:rPr>
                <w:rFonts w:ascii="Arial" w:cs="Arial" w:eastAsia="Arial" w:hAnsi="Arial"/>
                <w:sz w:val="18"/>
                <w:szCs w:val="18"/>
                <w:color w:val="auto"/>
              </w:rPr>
              <w:t>Replacement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7.10</w:t>
            </w:r>
          </w:p>
        </w:tc>
        <w:tc>
          <w:tcPr>
            <w:tcW w:w="8140" w:type="dxa"/>
            <w:vAlign w:val="bottom"/>
          </w:tcPr>
          <w:p>
            <w:pPr>
              <w:ind w:left="200"/>
              <w:spacing w:after="0"/>
              <w:rPr>
                <w:sz w:val="20"/>
                <w:szCs w:val="20"/>
                <w:color w:val="auto"/>
              </w:rPr>
            </w:pPr>
            <w:r>
              <w:rPr>
                <w:rFonts w:ascii="Arial" w:cs="Arial" w:eastAsia="Arial" w:hAnsi="Arial"/>
                <w:sz w:val="18"/>
                <w:szCs w:val="18"/>
                <w:color w:val="auto"/>
              </w:rPr>
              <w:t>Successor Trustee by Merger, etc.</w:t>
            </w:r>
          </w:p>
        </w:tc>
        <w:tc>
          <w:tcPr>
            <w:tcW w:w="1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7.11</w:t>
            </w:r>
          </w:p>
        </w:tc>
        <w:tc>
          <w:tcPr>
            <w:tcW w:w="8140" w:type="dxa"/>
            <w:vAlign w:val="bottom"/>
          </w:tcPr>
          <w:p>
            <w:pPr>
              <w:ind w:left="200"/>
              <w:spacing w:after="0"/>
              <w:rPr>
                <w:sz w:val="20"/>
                <w:szCs w:val="20"/>
                <w:color w:val="auto"/>
              </w:rPr>
            </w:pPr>
            <w:r>
              <w:rPr>
                <w:rFonts w:ascii="Arial" w:cs="Arial" w:eastAsia="Arial" w:hAnsi="Arial"/>
                <w:sz w:val="18"/>
                <w:szCs w:val="18"/>
                <w:color w:val="auto"/>
              </w:rPr>
              <w:t>Eligibility; Disqualification</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7.12</w:t>
            </w:r>
          </w:p>
        </w:tc>
        <w:tc>
          <w:tcPr>
            <w:tcW w:w="8140" w:type="dxa"/>
            <w:vAlign w:val="bottom"/>
          </w:tcPr>
          <w:p>
            <w:pPr>
              <w:ind w:left="200"/>
              <w:spacing w:after="0"/>
              <w:rPr>
                <w:sz w:val="20"/>
                <w:szCs w:val="20"/>
                <w:color w:val="auto"/>
              </w:rPr>
            </w:pPr>
            <w:r>
              <w:rPr>
                <w:rFonts w:ascii="Arial" w:cs="Arial" w:eastAsia="Arial" w:hAnsi="Arial"/>
                <w:sz w:val="18"/>
                <w:szCs w:val="18"/>
                <w:color w:val="auto"/>
              </w:rPr>
              <w:t>Appointment of Co-Trustee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7.13</w:t>
            </w:r>
          </w:p>
        </w:tc>
        <w:tc>
          <w:tcPr>
            <w:tcW w:w="8140" w:type="dxa"/>
            <w:vAlign w:val="bottom"/>
          </w:tcPr>
          <w:p>
            <w:pPr>
              <w:ind w:left="200"/>
              <w:spacing w:after="0"/>
              <w:rPr>
                <w:sz w:val="20"/>
                <w:szCs w:val="20"/>
                <w:color w:val="auto"/>
              </w:rPr>
            </w:pPr>
            <w:r>
              <w:rPr>
                <w:rFonts w:ascii="Arial" w:cs="Arial" w:eastAsia="Arial" w:hAnsi="Arial"/>
                <w:sz w:val="18"/>
                <w:szCs w:val="18"/>
                <w:color w:val="auto"/>
              </w:rPr>
              <w:t>Resignation of Agents</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7.14</w:t>
            </w:r>
          </w:p>
        </w:tc>
        <w:tc>
          <w:tcPr>
            <w:tcW w:w="8140" w:type="dxa"/>
            <w:vAlign w:val="bottom"/>
          </w:tcPr>
          <w:p>
            <w:pPr>
              <w:ind w:left="200"/>
              <w:spacing w:after="0"/>
              <w:rPr>
                <w:sz w:val="20"/>
                <w:szCs w:val="20"/>
                <w:color w:val="auto"/>
              </w:rPr>
            </w:pPr>
            <w:r>
              <w:rPr>
                <w:rFonts w:ascii="Arial" w:cs="Arial" w:eastAsia="Arial" w:hAnsi="Arial"/>
                <w:sz w:val="18"/>
                <w:szCs w:val="18"/>
                <w:color w:val="auto"/>
              </w:rPr>
              <w:t>Agents General Provisions</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7.15</w:t>
            </w:r>
          </w:p>
        </w:tc>
        <w:tc>
          <w:tcPr>
            <w:tcW w:w="8140" w:type="dxa"/>
            <w:vAlign w:val="bottom"/>
          </w:tcPr>
          <w:p>
            <w:pPr>
              <w:ind w:left="200"/>
              <w:spacing w:after="0"/>
              <w:rPr>
                <w:sz w:val="20"/>
                <w:szCs w:val="20"/>
                <w:color w:val="auto"/>
              </w:rPr>
            </w:pPr>
            <w:r>
              <w:rPr>
                <w:rFonts w:ascii="Arial" w:cs="Arial" w:eastAsia="Arial" w:hAnsi="Arial"/>
                <w:sz w:val="18"/>
                <w:szCs w:val="18"/>
                <w:color w:val="auto"/>
              </w:rPr>
              <w:t>Rights of Trustee in Other Roles</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0"/>
        </w:trPr>
        <w:tc>
          <w:tcPr>
            <w:tcW w:w="1100" w:type="dxa"/>
            <w:vAlign w:val="bottom"/>
          </w:tcPr>
          <w:p>
            <w:pPr>
              <w:spacing w:after="0"/>
              <w:rPr>
                <w:sz w:val="24"/>
                <w:szCs w:val="24"/>
                <w:color w:val="auto"/>
              </w:rPr>
            </w:pPr>
          </w:p>
        </w:tc>
        <w:tc>
          <w:tcPr>
            <w:tcW w:w="8140" w:type="dxa"/>
            <w:vAlign w:val="bottom"/>
          </w:tcPr>
          <w:p>
            <w:pPr>
              <w:jc w:val="center"/>
              <w:ind w:left="530"/>
              <w:spacing w:after="0"/>
              <w:rPr>
                <w:sz w:val="20"/>
                <w:szCs w:val="20"/>
                <w:color w:val="auto"/>
              </w:rPr>
            </w:pPr>
            <w:r>
              <w:rPr>
                <w:rFonts w:ascii="Arial" w:cs="Arial" w:eastAsia="Arial" w:hAnsi="Arial"/>
                <w:sz w:val="18"/>
                <w:szCs w:val="18"/>
                <w:color w:val="auto"/>
                <w:w w:val="96"/>
              </w:rPr>
              <w:t>ARTICLE 8</w:t>
            </w:r>
          </w:p>
        </w:tc>
        <w:tc>
          <w:tcPr>
            <w:tcW w:w="17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140" w:type="dxa"/>
            <w:vAlign w:val="bottom"/>
          </w:tcPr>
          <w:p>
            <w:pPr>
              <w:jc w:val="center"/>
              <w:ind w:left="530"/>
              <w:spacing w:after="0"/>
              <w:rPr>
                <w:sz w:val="20"/>
                <w:szCs w:val="20"/>
                <w:color w:val="auto"/>
              </w:rPr>
            </w:pPr>
            <w:r>
              <w:rPr>
                <w:rFonts w:ascii="Arial" w:cs="Arial" w:eastAsia="Arial" w:hAnsi="Arial"/>
                <w:sz w:val="18"/>
                <w:szCs w:val="18"/>
                <w:color w:val="auto"/>
                <w:w w:val="97"/>
              </w:rPr>
              <w:t>LEGAL DEFEASANCE AND COVENANT DEFEASANCE</w:t>
            </w:r>
          </w:p>
        </w:tc>
        <w:tc>
          <w:tcPr>
            <w:tcW w:w="172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8.01</w:t>
            </w:r>
          </w:p>
        </w:tc>
        <w:tc>
          <w:tcPr>
            <w:tcW w:w="8140" w:type="dxa"/>
            <w:vAlign w:val="bottom"/>
          </w:tcPr>
          <w:p>
            <w:pPr>
              <w:ind w:left="200"/>
              <w:spacing w:after="0"/>
              <w:rPr>
                <w:sz w:val="20"/>
                <w:szCs w:val="20"/>
                <w:color w:val="auto"/>
              </w:rPr>
            </w:pPr>
            <w:r>
              <w:rPr>
                <w:rFonts w:ascii="Arial" w:cs="Arial" w:eastAsia="Arial" w:hAnsi="Arial"/>
                <w:sz w:val="18"/>
                <w:szCs w:val="18"/>
                <w:color w:val="auto"/>
              </w:rPr>
              <w:t>Option to Effect Legal Defeasance or Covenant Defeasance</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8.02</w:t>
            </w:r>
          </w:p>
        </w:tc>
        <w:tc>
          <w:tcPr>
            <w:tcW w:w="8140" w:type="dxa"/>
            <w:vAlign w:val="bottom"/>
          </w:tcPr>
          <w:p>
            <w:pPr>
              <w:ind w:left="200"/>
              <w:spacing w:after="0"/>
              <w:rPr>
                <w:sz w:val="20"/>
                <w:szCs w:val="20"/>
                <w:color w:val="auto"/>
              </w:rPr>
            </w:pPr>
            <w:r>
              <w:rPr>
                <w:rFonts w:ascii="Arial" w:cs="Arial" w:eastAsia="Arial" w:hAnsi="Arial"/>
                <w:sz w:val="18"/>
                <w:szCs w:val="18"/>
                <w:color w:val="auto"/>
              </w:rPr>
              <w:t>Legal Defeasance and Discharge</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8.03</w:t>
            </w:r>
          </w:p>
        </w:tc>
        <w:tc>
          <w:tcPr>
            <w:tcW w:w="8140" w:type="dxa"/>
            <w:vAlign w:val="bottom"/>
          </w:tcPr>
          <w:p>
            <w:pPr>
              <w:ind w:left="200"/>
              <w:spacing w:after="0"/>
              <w:rPr>
                <w:sz w:val="20"/>
                <w:szCs w:val="20"/>
                <w:color w:val="auto"/>
              </w:rPr>
            </w:pPr>
            <w:r>
              <w:rPr>
                <w:rFonts w:ascii="Arial" w:cs="Arial" w:eastAsia="Arial" w:hAnsi="Arial"/>
                <w:sz w:val="18"/>
                <w:szCs w:val="18"/>
                <w:color w:val="auto"/>
              </w:rPr>
              <w:t>Covenant Defeasance</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8.04</w:t>
            </w:r>
          </w:p>
        </w:tc>
        <w:tc>
          <w:tcPr>
            <w:tcW w:w="8640" w:type="dxa"/>
            <w:vAlign w:val="bottom"/>
          </w:tcPr>
          <w:p>
            <w:pPr>
              <w:ind w:left="160"/>
              <w:spacing w:after="0"/>
              <w:rPr>
                <w:sz w:val="20"/>
                <w:szCs w:val="20"/>
                <w:color w:val="auto"/>
              </w:rPr>
            </w:pPr>
            <w:r>
              <w:rPr>
                <w:rFonts w:ascii="Arial" w:cs="Arial" w:eastAsia="Arial" w:hAnsi="Arial"/>
                <w:sz w:val="18"/>
                <w:szCs w:val="18"/>
                <w:color w:val="auto"/>
              </w:rPr>
              <w:t>Conditions to Legal or Covenant Defeasance</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8.05</w:t>
            </w:r>
          </w:p>
        </w:tc>
        <w:tc>
          <w:tcPr>
            <w:tcW w:w="8640" w:type="dxa"/>
            <w:vAlign w:val="bottom"/>
          </w:tcPr>
          <w:p>
            <w:pPr>
              <w:ind w:left="16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8.06</w:t>
            </w:r>
          </w:p>
        </w:tc>
        <w:tc>
          <w:tcPr>
            <w:tcW w:w="8640" w:type="dxa"/>
            <w:vAlign w:val="bottom"/>
          </w:tcPr>
          <w:p>
            <w:pPr>
              <w:ind w:left="160"/>
              <w:spacing w:after="0"/>
              <w:rPr>
                <w:sz w:val="20"/>
                <w:szCs w:val="20"/>
                <w:color w:val="auto"/>
              </w:rPr>
            </w:pPr>
            <w:r>
              <w:rPr>
                <w:rFonts w:ascii="Arial" w:cs="Arial" w:eastAsia="Arial" w:hAnsi="Arial"/>
                <w:sz w:val="18"/>
                <w:szCs w:val="18"/>
                <w:color w:val="auto"/>
              </w:rPr>
              <w:t>Repayment to Company</w:t>
            </w: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8.07</w:t>
            </w:r>
          </w:p>
        </w:tc>
        <w:tc>
          <w:tcPr>
            <w:tcW w:w="864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10"/>
        </w:trPr>
        <w:tc>
          <w:tcPr>
            <w:tcW w:w="1140" w:type="dxa"/>
            <w:vAlign w:val="bottom"/>
          </w:tcPr>
          <w:p>
            <w:pPr>
              <w:spacing w:after="0"/>
              <w:rPr>
                <w:sz w:val="24"/>
                <w:szCs w:val="24"/>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6"/>
              </w:rPr>
              <w:t>ARTICLE 9</w:t>
            </w:r>
          </w:p>
        </w:tc>
        <w:tc>
          <w:tcPr>
            <w:tcW w:w="11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7"/>
              </w:rPr>
              <w:t>AMENDMENT, SUPPLEMENT AND WAIVER</w:t>
            </w:r>
          </w:p>
        </w:tc>
        <w:tc>
          <w:tcPr>
            <w:tcW w:w="118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9.01</w:t>
            </w:r>
          </w:p>
        </w:tc>
        <w:tc>
          <w:tcPr>
            <w:tcW w:w="8640" w:type="dxa"/>
            <w:vAlign w:val="bottom"/>
          </w:tcPr>
          <w:p>
            <w:pPr>
              <w:ind w:left="160"/>
              <w:spacing w:after="0"/>
              <w:rPr>
                <w:sz w:val="20"/>
                <w:szCs w:val="20"/>
                <w:color w:val="auto"/>
              </w:rPr>
            </w:pPr>
            <w:r>
              <w:rPr>
                <w:rFonts w:ascii="Arial" w:cs="Arial" w:eastAsia="Arial" w:hAnsi="Arial"/>
                <w:sz w:val="18"/>
                <w:szCs w:val="18"/>
                <w:color w:val="auto"/>
              </w:rPr>
              <w:t>Without Consent of Holders of Notes</w:t>
            </w: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9.02</w:t>
            </w:r>
          </w:p>
        </w:tc>
        <w:tc>
          <w:tcPr>
            <w:tcW w:w="8640" w:type="dxa"/>
            <w:vAlign w:val="bottom"/>
          </w:tcPr>
          <w:p>
            <w:pPr>
              <w:ind w:left="160"/>
              <w:spacing w:after="0"/>
              <w:rPr>
                <w:sz w:val="20"/>
                <w:szCs w:val="20"/>
                <w:color w:val="auto"/>
              </w:rPr>
            </w:pPr>
            <w:r>
              <w:rPr>
                <w:rFonts w:ascii="Arial" w:cs="Arial" w:eastAsia="Arial" w:hAnsi="Arial"/>
                <w:sz w:val="18"/>
                <w:szCs w:val="18"/>
                <w:color w:val="auto"/>
              </w:rPr>
              <w:t>With Consent of Holders of Notes</w:t>
            </w: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9.03</w:t>
            </w:r>
          </w:p>
        </w:tc>
        <w:tc>
          <w:tcPr>
            <w:tcW w:w="8640" w:type="dxa"/>
            <w:vAlign w:val="bottom"/>
          </w:tcPr>
          <w:p>
            <w:pPr>
              <w:ind w:left="160"/>
              <w:spacing w:after="0"/>
              <w:rPr>
                <w:sz w:val="20"/>
                <w:szCs w:val="20"/>
                <w:color w:val="auto"/>
              </w:rPr>
            </w:pPr>
            <w:r>
              <w:rPr>
                <w:rFonts w:ascii="Arial" w:cs="Arial" w:eastAsia="Arial" w:hAnsi="Arial"/>
                <w:sz w:val="18"/>
                <w:szCs w:val="18"/>
                <w:color w:val="auto"/>
              </w:rPr>
              <w:t>Supplemental Indenture</w:t>
            </w: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9.04</w:t>
            </w:r>
          </w:p>
        </w:tc>
        <w:tc>
          <w:tcPr>
            <w:tcW w:w="8640" w:type="dxa"/>
            <w:vAlign w:val="bottom"/>
          </w:tcPr>
          <w:p>
            <w:pPr>
              <w:ind w:left="160"/>
              <w:spacing w:after="0"/>
              <w:rPr>
                <w:sz w:val="20"/>
                <w:szCs w:val="20"/>
                <w:color w:val="auto"/>
              </w:rPr>
            </w:pPr>
            <w:r>
              <w:rPr>
                <w:rFonts w:ascii="Arial" w:cs="Arial" w:eastAsia="Arial" w:hAnsi="Arial"/>
                <w:sz w:val="18"/>
                <w:szCs w:val="18"/>
                <w:color w:val="auto"/>
              </w:rPr>
              <w:t>Revocation and Effect of Consents</w:t>
            </w: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9.05</w:t>
            </w:r>
          </w:p>
        </w:tc>
        <w:tc>
          <w:tcPr>
            <w:tcW w:w="8640" w:type="dxa"/>
            <w:vAlign w:val="bottom"/>
          </w:tcPr>
          <w:p>
            <w:pPr>
              <w:ind w:left="160"/>
              <w:spacing w:after="0"/>
              <w:rPr>
                <w:sz w:val="20"/>
                <w:szCs w:val="20"/>
                <w:color w:val="auto"/>
              </w:rPr>
            </w:pPr>
            <w:r>
              <w:rPr>
                <w:rFonts w:ascii="Arial" w:cs="Arial" w:eastAsia="Arial" w:hAnsi="Arial"/>
                <w:sz w:val="18"/>
                <w:szCs w:val="18"/>
                <w:color w:val="auto"/>
              </w:rPr>
              <w:t>Notation on or Exchange of Notes</w:t>
            </w: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9.06</w:t>
            </w:r>
          </w:p>
        </w:tc>
        <w:tc>
          <w:tcPr>
            <w:tcW w:w="8640" w:type="dxa"/>
            <w:vAlign w:val="bottom"/>
          </w:tcPr>
          <w:p>
            <w:pPr>
              <w:ind w:left="160"/>
              <w:spacing w:after="0"/>
              <w:rPr>
                <w:sz w:val="20"/>
                <w:szCs w:val="20"/>
                <w:color w:val="auto"/>
              </w:rPr>
            </w:pPr>
            <w:r>
              <w:rPr>
                <w:rFonts w:ascii="Arial" w:cs="Arial" w:eastAsia="Arial" w:hAnsi="Arial"/>
                <w:sz w:val="18"/>
                <w:szCs w:val="18"/>
                <w:color w:val="auto"/>
              </w:rPr>
              <w:t>Trustee to Sign Amendments, etc.</w:t>
            </w: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10"/>
        </w:trPr>
        <w:tc>
          <w:tcPr>
            <w:tcW w:w="1140" w:type="dxa"/>
            <w:vAlign w:val="bottom"/>
          </w:tcPr>
          <w:p>
            <w:pPr>
              <w:spacing w:after="0"/>
              <w:rPr>
                <w:sz w:val="24"/>
                <w:szCs w:val="24"/>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4"/>
              </w:rPr>
              <w:t>ARTICLE 10</w:t>
            </w:r>
          </w:p>
        </w:tc>
        <w:tc>
          <w:tcPr>
            <w:tcW w:w="11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6"/>
              </w:rPr>
              <w:t>[Intentionally omitted]</w:t>
            </w:r>
          </w:p>
        </w:tc>
        <w:tc>
          <w:tcPr>
            <w:tcW w:w="1180" w:type="dxa"/>
            <w:vAlign w:val="bottom"/>
          </w:tcPr>
          <w:p>
            <w:pPr>
              <w:spacing w:after="0"/>
              <w:rPr>
                <w:sz w:val="20"/>
                <w:szCs w:val="20"/>
                <w:color w:val="auto"/>
              </w:rPr>
            </w:pPr>
          </w:p>
        </w:tc>
      </w:tr>
      <w:tr>
        <w:trPr>
          <w:trHeight w:val="310"/>
        </w:trPr>
        <w:tc>
          <w:tcPr>
            <w:tcW w:w="1140" w:type="dxa"/>
            <w:vAlign w:val="bottom"/>
          </w:tcPr>
          <w:p>
            <w:pPr>
              <w:spacing w:after="0"/>
              <w:rPr>
                <w:sz w:val="24"/>
                <w:szCs w:val="24"/>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4"/>
              </w:rPr>
              <w:t>ARTICLE 11</w:t>
            </w:r>
          </w:p>
        </w:tc>
        <w:tc>
          <w:tcPr>
            <w:tcW w:w="11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6"/>
              </w:rPr>
              <w:t>NOTE GUARANTEES</w:t>
            </w:r>
          </w:p>
        </w:tc>
        <w:tc>
          <w:tcPr>
            <w:tcW w:w="118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11.01</w:t>
            </w:r>
          </w:p>
        </w:tc>
        <w:tc>
          <w:tcPr>
            <w:tcW w:w="8640" w:type="dxa"/>
            <w:vAlign w:val="bottom"/>
          </w:tcPr>
          <w:p>
            <w:pPr>
              <w:ind w:left="160"/>
              <w:spacing w:after="0"/>
              <w:rPr>
                <w:sz w:val="20"/>
                <w:szCs w:val="20"/>
                <w:color w:val="auto"/>
              </w:rPr>
            </w:pPr>
            <w:r>
              <w:rPr>
                <w:rFonts w:ascii="Arial" w:cs="Arial" w:eastAsia="Arial" w:hAnsi="Arial"/>
                <w:sz w:val="18"/>
                <w:szCs w:val="18"/>
                <w:color w:val="auto"/>
              </w:rPr>
              <w:t>Guarantee</w:t>
            </w: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11.02</w:t>
            </w:r>
          </w:p>
        </w:tc>
        <w:tc>
          <w:tcPr>
            <w:tcW w:w="8640" w:type="dxa"/>
            <w:vAlign w:val="bottom"/>
          </w:tcPr>
          <w:p>
            <w:pPr>
              <w:ind w:left="160"/>
              <w:spacing w:after="0"/>
              <w:rPr>
                <w:sz w:val="20"/>
                <w:szCs w:val="20"/>
                <w:color w:val="auto"/>
              </w:rPr>
            </w:pPr>
            <w:r>
              <w:rPr>
                <w:rFonts w:ascii="Arial" w:cs="Arial" w:eastAsia="Arial" w:hAnsi="Arial"/>
                <w:sz w:val="18"/>
                <w:szCs w:val="18"/>
                <w:color w:val="auto"/>
              </w:rPr>
              <w:t>Limitation on Liability</w:t>
            </w: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11.03</w:t>
            </w:r>
          </w:p>
        </w:tc>
        <w:tc>
          <w:tcPr>
            <w:tcW w:w="864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11.04</w:t>
            </w:r>
          </w:p>
        </w:tc>
        <w:tc>
          <w:tcPr>
            <w:tcW w:w="8640" w:type="dxa"/>
            <w:vAlign w:val="bottom"/>
          </w:tcPr>
          <w:p>
            <w:pPr>
              <w:ind w:left="160"/>
              <w:spacing w:after="0"/>
              <w:rPr>
                <w:sz w:val="20"/>
                <w:szCs w:val="20"/>
                <w:color w:val="auto"/>
              </w:rPr>
            </w:pPr>
            <w:r>
              <w:rPr>
                <w:rFonts w:ascii="Arial" w:cs="Arial" w:eastAsia="Arial" w:hAnsi="Arial"/>
                <w:sz w:val="18"/>
                <w:szCs w:val="18"/>
                <w:color w:val="auto"/>
              </w:rPr>
              <w:t>No Waiver</w:t>
            </w: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11.05</w:t>
            </w:r>
          </w:p>
        </w:tc>
        <w:tc>
          <w:tcPr>
            <w:tcW w:w="8640" w:type="dxa"/>
            <w:vAlign w:val="bottom"/>
          </w:tcPr>
          <w:p>
            <w:pPr>
              <w:ind w:left="160"/>
              <w:spacing w:after="0"/>
              <w:rPr>
                <w:sz w:val="20"/>
                <w:szCs w:val="20"/>
                <w:color w:val="auto"/>
              </w:rPr>
            </w:pPr>
            <w:r>
              <w:rPr>
                <w:rFonts w:ascii="Arial" w:cs="Arial" w:eastAsia="Arial" w:hAnsi="Arial"/>
                <w:sz w:val="18"/>
                <w:szCs w:val="18"/>
                <w:color w:val="auto"/>
              </w:rPr>
              <w:t>Modification</w:t>
            </w: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11.06</w:t>
            </w:r>
          </w:p>
        </w:tc>
        <w:tc>
          <w:tcPr>
            <w:tcW w:w="8640" w:type="dxa"/>
            <w:vAlign w:val="bottom"/>
          </w:tcPr>
          <w:p>
            <w:pPr>
              <w:ind w:left="160"/>
              <w:spacing w:after="0"/>
              <w:rPr>
                <w:sz w:val="20"/>
                <w:szCs w:val="20"/>
                <w:color w:val="auto"/>
              </w:rPr>
            </w:pPr>
            <w:r>
              <w:rPr>
                <w:rFonts w:ascii="Arial" w:cs="Arial" w:eastAsia="Arial" w:hAnsi="Arial"/>
                <w:sz w:val="18"/>
                <w:szCs w:val="18"/>
                <w:color w:val="auto"/>
              </w:rPr>
              <w:t>Execution of Supplemental Indenture for Future Subsidiary Guarantors</w:t>
            </w: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11.07</w:t>
            </w:r>
          </w:p>
        </w:tc>
        <w:tc>
          <w:tcPr>
            <w:tcW w:w="8640" w:type="dxa"/>
            <w:vAlign w:val="bottom"/>
          </w:tcPr>
          <w:p>
            <w:pPr>
              <w:ind w:left="160"/>
              <w:spacing w:after="0"/>
              <w:rPr>
                <w:sz w:val="20"/>
                <w:szCs w:val="20"/>
                <w:color w:val="auto"/>
              </w:rPr>
            </w:pPr>
            <w:r>
              <w:rPr>
                <w:rFonts w:ascii="Arial" w:cs="Arial" w:eastAsia="Arial" w:hAnsi="Arial"/>
                <w:sz w:val="18"/>
                <w:szCs w:val="18"/>
                <w:color w:val="auto"/>
              </w:rPr>
              <w:t>Non-Impairment</w:t>
            </w: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11.08</w:t>
            </w:r>
          </w:p>
        </w:tc>
        <w:tc>
          <w:tcPr>
            <w:tcW w:w="8640" w:type="dxa"/>
            <w:vAlign w:val="bottom"/>
          </w:tcPr>
          <w:p>
            <w:pPr>
              <w:ind w:left="160"/>
              <w:spacing w:after="0"/>
              <w:rPr>
                <w:sz w:val="20"/>
                <w:szCs w:val="20"/>
                <w:color w:val="auto"/>
              </w:rPr>
            </w:pPr>
            <w:r>
              <w:rPr>
                <w:rFonts w:ascii="Arial" w:cs="Arial" w:eastAsia="Arial" w:hAnsi="Arial"/>
                <w:sz w:val="18"/>
                <w:szCs w:val="18"/>
                <w:color w:val="auto"/>
              </w:rPr>
              <w:t>Release of Guarantees</w:t>
            </w: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0"/>
        </w:trPr>
        <w:tc>
          <w:tcPr>
            <w:tcW w:w="1140" w:type="dxa"/>
            <w:vAlign w:val="bottom"/>
          </w:tcPr>
          <w:p>
            <w:pPr>
              <w:spacing w:after="0"/>
              <w:rPr>
                <w:sz w:val="24"/>
                <w:szCs w:val="24"/>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4"/>
              </w:rPr>
              <w:t>ARTICLE 12</w:t>
            </w:r>
          </w:p>
        </w:tc>
        <w:tc>
          <w:tcPr>
            <w:tcW w:w="11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6"/>
              </w:rPr>
              <w:t>SATISFACTION AND DISCHARGE</w:t>
            </w:r>
          </w:p>
        </w:tc>
        <w:tc>
          <w:tcPr>
            <w:tcW w:w="118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12.01</w:t>
            </w:r>
          </w:p>
        </w:tc>
        <w:tc>
          <w:tcPr>
            <w:tcW w:w="8640" w:type="dxa"/>
            <w:vAlign w:val="bottom"/>
          </w:tcPr>
          <w:p>
            <w:pPr>
              <w:ind w:left="160"/>
              <w:spacing w:after="0"/>
              <w:rPr>
                <w:sz w:val="20"/>
                <w:szCs w:val="20"/>
                <w:color w:val="auto"/>
              </w:rPr>
            </w:pPr>
            <w:r>
              <w:rPr>
                <w:rFonts w:ascii="Arial" w:cs="Arial" w:eastAsia="Arial" w:hAnsi="Arial"/>
                <w:sz w:val="18"/>
                <w:szCs w:val="18"/>
                <w:color w:val="auto"/>
              </w:rPr>
              <w:t>Satisfaction and Discharge</w:t>
            </w: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12.02</w:t>
            </w:r>
          </w:p>
        </w:tc>
        <w:tc>
          <w:tcPr>
            <w:tcW w:w="8640" w:type="dxa"/>
            <w:vAlign w:val="bottom"/>
          </w:tcPr>
          <w:p>
            <w:pPr>
              <w:ind w:left="160"/>
              <w:spacing w:after="0"/>
              <w:rPr>
                <w:sz w:val="20"/>
                <w:szCs w:val="20"/>
                <w:color w:val="auto"/>
              </w:rPr>
            </w:pPr>
            <w:r>
              <w:rPr>
                <w:rFonts w:ascii="Arial" w:cs="Arial" w:eastAsia="Arial" w:hAnsi="Arial"/>
                <w:sz w:val="18"/>
                <w:szCs w:val="18"/>
                <w:color w:val="auto"/>
              </w:rPr>
              <w:t>Application of Trust Money</w:t>
            </w: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0"/>
        </w:trPr>
        <w:tc>
          <w:tcPr>
            <w:tcW w:w="1140" w:type="dxa"/>
            <w:vAlign w:val="bottom"/>
          </w:tcPr>
          <w:p>
            <w:pPr>
              <w:spacing w:after="0"/>
              <w:rPr>
                <w:sz w:val="24"/>
                <w:szCs w:val="24"/>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4"/>
              </w:rPr>
              <w:t>ARTICLE 13</w:t>
            </w:r>
          </w:p>
        </w:tc>
        <w:tc>
          <w:tcPr>
            <w:tcW w:w="11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7"/>
              </w:rPr>
              <w:t>MISCELLANEOUS</w:t>
            </w:r>
          </w:p>
        </w:tc>
        <w:tc>
          <w:tcPr>
            <w:tcW w:w="118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13.01</w:t>
            </w:r>
          </w:p>
        </w:tc>
        <w:tc>
          <w:tcPr>
            <w:tcW w:w="8640" w:type="dxa"/>
            <w:vAlign w:val="bottom"/>
          </w:tcPr>
          <w:p>
            <w:pPr>
              <w:ind w:left="160"/>
              <w:spacing w:after="0"/>
              <w:rPr>
                <w:sz w:val="20"/>
                <w:szCs w:val="20"/>
                <w:color w:val="auto"/>
              </w:rPr>
            </w:pPr>
            <w:r>
              <w:rPr>
                <w:rFonts w:ascii="Arial" w:cs="Arial" w:eastAsia="Arial" w:hAnsi="Arial"/>
                <w:sz w:val="18"/>
                <w:szCs w:val="18"/>
                <w:color w:val="auto"/>
              </w:rPr>
              <w:t>[Intentionally Omitted]</w:t>
            </w: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13.02</w:t>
            </w:r>
          </w:p>
        </w:tc>
        <w:tc>
          <w:tcPr>
            <w:tcW w:w="8640" w:type="dxa"/>
            <w:vAlign w:val="bottom"/>
          </w:tcPr>
          <w:p>
            <w:pPr>
              <w:ind w:left="160"/>
              <w:spacing w:after="0"/>
              <w:rPr>
                <w:sz w:val="20"/>
                <w:szCs w:val="20"/>
                <w:color w:val="auto"/>
              </w:rPr>
            </w:pPr>
            <w:r>
              <w:rPr>
                <w:rFonts w:ascii="Arial" w:cs="Arial" w:eastAsia="Arial" w:hAnsi="Arial"/>
                <w:sz w:val="18"/>
                <w:szCs w:val="18"/>
                <w:color w:val="auto"/>
              </w:rPr>
              <w:t>Notices</w:t>
            </w: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13.03</w:t>
            </w:r>
          </w:p>
        </w:tc>
        <w:tc>
          <w:tcPr>
            <w:tcW w:w="8640" w:type="dxa"/>
            <w:vAlign w:val="bottom"/>
          </w:tcPr>
          <w:p>
            <w:pPr>
              <w:ind w:left="160"/>
              <w:spacing w:after="0"/>
              <w:rPr>
                <w:sz w:val="20"/>
                <w:szCs w:val="20"/>
                <w:color w:val="auto"/>
              </w:rPr>
            </w:pPr>
            <w:r>
              <w:rPr>
                <w:rFonts w:ascii="Arial" w:cs="Arial" w:eastAsia="Arial" w:hAnsi="Arial"/>
                <w:sz w:val="18"/>
                <w:szCs w:val="18"/>
                <w:color w:val="auto"/>
              </w:rPr>
              <w:t>Communication by Holders of Notes with Other Holders of Notes</w:t>
            </w: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13.04</w:t>
            </w:r>
          </w:p>
        </w:tc>
        <w:tc>
          <w:tcPr>
            <w:tcW w:w="8640" w:type="dxa"/>
            <w:vAlign w:val="bottom"/>
          </w:tcPr>
          <w:p>
            <w:pPr>
              <w:ind w:left="160"/>
              <w:spacing w:after="0"/>
              <w:rPr>
                <w:sz w:val="20"/>
                <w:szCs w:val="20"/>
                <w:color w:val="auto"/>
              </w:rPr>
            </w:pPr>
            <w:r>
              <w:rPr>
                <w:rFonts w:ascii="Arial" w:cs="Arial" w:eastAsia="Arial" w:hAnsi="Arial"/>
                <w:sz w:val="18"/>
                <w:szCs w:val="18"/>
                <w:color w:val="auto"/>
              </w:rPr>
              <w:t>Certificate and Opinion as to Conditions Precedent</w:t>
            </w: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13.05</w:t>
            </w:r>
          </w:p>
        </w:tc>
        <w:tc>
          <w:tcPr>
            <w:tcW w:w="8640" w:type="dxa"/>
            <w:vAlign w:val="bottom"/>
          </w:tcPr>
          <w:p>
            <w:pPr>
              <w:ind w:left="160"/>
              <w:spacing w:after="0"/>
              <w:rPr>
                <w:sz w:val="20"/>
                <w:szCs w:val="20"/>
                <w:color w:val="auto"/>
              </w:rPr>
            </w:pPr>
            <w:r>
              <w:rPr>
                <w:rFonts w:ascii="Arial" w:cs="Arial" w:eastAsia="Arial" w:hAnsi="Arial"/>
                <w:sz w:val="18"/>
                <w:szCs w:val="18"/>
                <w:color w:val="auto"/>
              </w:rPr>
              <w:t>Statements Required in Certificate or Opinion</w:t>
            </w: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13.06</w:t>
            </w:r>
          </w:p>
        </w:tc>
        <w:tc>
          <w:tcPr>
            <w:tcW w:w="8640" w:type="dxa"/>
            <w:vAlign w:val="bottom"/>
          </w:tcPr>
          <w:p>
            <w:pPr>
              <w:ind w:left="160"/>
              <w:spacing w:after="0"/>
              <w:rPr>
                <w:sz w:val="20"/>
                <w:szCs w:val="20"/>
                <w:color w:val="auto"/>
              </w:rPr>
            </w:pPr>
            <w:r>
              <w:rPr>
                <w:rFonts w:ascii="Arial" w:cs="Arial" w:eastAsia="Arial" w:hAnsi="Arial"/>
                <w:sz w:val="18"/>
                <w:szCs w:val="18"/>
                <w:color w:val="auto"/>
              </w:rPr>
              <w:t>Rules by Trustee and Agents</w:t>
            </w: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13.07</w:t>
            </w:r>
          </w:p>
        </w:tc>
        <w:tc>
          <w:tcPr>
            <w:tcW w:w="8640" w:type="dxa"/>
            <w:vAlign w:val="bottom"/>
          </w:tcPr>
          <w:p>
            <w:pPr>
              <w:ind w:left="16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13.08</w:t>
            </w:r>
          </w:p>
        </w:tc>
        <w:tc>
          <w:tcPr>
            <w:tcW w:w="864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13.09</w:t>
            </w:r>
          </w:p>
        </w:tc>
        <w:tc>
          <w:tcPr>
            <w:tcW w:w="8640" w:type="dxa"/>
            <w:vAlign w:val="bottom"/>
          </w:tcPr>
          <w:p>
            <w:pPr>
              <w:ind w:left="160"/>
              <w:spacing w:after="0"/>
              <w:rPr>
                <w:sz w:val="20"/>
                <w:szCs w:val="20"/>
                <w:color w:val="auto"/>
              </w:rPr>
            </w:pPr>
            <w:r>
              <w:rPr>
                <w:rFonts w:ascii="Arial" w:cs="Arial" w:eastAsia="Arial" w:hAnsi="Arial"/>
                <w:sz w:val="18"/>
                <w:szCs w:val="18"/>
                <w:color w:val="auto"/>
              </w:rPr>
              <w:t>No Adverse Interpretation of Other Agreements</w:t>
            </w: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13.10</w:t>
            </w:r>
          </w:p>
        </w:tc>
        <w:tc>
          <w:tcPr>
            <w:tcW w:w="8640" w:type="dxa"/>
            <w:vAlign w:val="bottom"/>
          </w:tcPr>
          <w:p>
            <w:pPr>
              <w:ind w:left="160"/>
              <w:spacing w:after="0"/>
              <w:rPr>
                <w:sz w:val="20"/>
                <w:szCs w:val="20"/>
                <w:color w:val="auto"/>
              </w:rPr>
            </w:pPr>
            <w:r>
              <w:rPr>
                <w:rFonts w:ascii="Arial" w:cs="Arial" w:eastAsia="Arial" w:hAnsi="Arial"/>
                <w:sz w:val="18"/>
                <w:szCs w:val="18"/>
                <w:color w:val="auto"/>
              </w:rPr>
              <w:t>Successors</w:t>
            </w: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13.11</w:t>
            </w:r>
          </w:p>
        </w:tc>
        <w:tc>
          <w:tcPr>
            <w:tcW w:w="864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13.12</w:t>
            </w:r>
          </w:p>
        </w:tc>
        <w:tc>
          <w:tcPr>
            <w:tcW w:w="8640" w:type="dxa"/>
            <w:vAlign w:val="bottom"/>
          </w:tcPr>
          <w:p>
            <w:pPr>
              <w:ind w:left="160"/>
              <w:spacing w:after="0"/>
              <w:rPr>
                <w:sz w:val="20"/>
                <w:szCs w:val="20"/>
                <w:color w:val="auto"/>
              </w:rPr>
            </w:pPr>
            <w:r>
              <w:rPr>
                <w:rFonts w:ascii="Arial" w:cs="Arial" w:eastAsia="Arial" w:hAnsi="Arial"/>
                <w:sz w:val="18"/>
                <w:szCs w:val="18"/>
                <w:color w:val="auto"/>
              </w:rPr>
              <w:t>Counterpart Originals</w:t>
            </w: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13.13</w:t>
            </w:r>
          </w:p>
        </w:tc>
        <w:tc>
          <w:tcPr>
            <w:tcW w:w="8640" w:type="dxa"/>
            <w:vAlign w:val="bottom"/>
          </w:tcPr>
          <w:p>
            <w:pPr>
              <w:ind w:left="160"/>
              <w:spacing w:after="0"/>
              <w:rPr>
                <w:sz w:val="20"/>
                <w:szCs w:val="20"/>
                <w:color w:val="auto"/>
              </w:rPr>
            </w:pPr>
            <w:r>
              <w:rPr>
                <w:rFonts w:ascii="Arial" w:cs="Arial" w:eastAsia="Arial" w:hAnsi="Arial"/>
                <w:sz w:val="18"/>
                <w:szCs w:val="18"/>
                <w:color w:val="auto"/>
              </w:rPr>
              <w:t>Table of Contents, Headings, etc.</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13.14</w:t>
            </w:r>
          </w:p>
        </w:tc>
        <w:tc>
          <w:tcPr>
            <w:tcW w:w="8640" w:type="dxa"/>
            <w:vAlign w:val="bottom"/>
          </w:tcPr>
          <w:p>
            <w:pPr>
              <w:ind w:left="160"/>
              <w:spacing w:after="0"/>
              <w:rPr>
                <w:sz w:val="20"/>
                <w:szCs w:val="20"/>
                <w:color w:val="auto"/>
              </w:rPr>
            </w:pPr>
            <w:r>
              <w:rPr>
                <w:rFonts w:ascii="Arial" w:cs="Arial" w:eastAsia="Arial" w:hAnsi="Arial"/>
                <w:sz w:val="18"/>
                <w:szCs w:val="18"/>
                <w:color w:val="auto"/>
              </w:rPr>
              <w:t>Patriot Act</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13.15</w:t>
            </w:r>
          </w:p>
        </w:tc>
        <w:tc>
          <w:tcPr>
            <w:tcW w:w="8640" w:type="dxa"/>
            <w:vAlign w:val="bottom"/>
          </w:tcPr>
          <w:p>
            <w:pPr>
              <w:ind w:left="160"/>
              <w:spacing w:after="0"/>
              <w:rPr>
                <w:sz w:val="20"/>
                <w:szCs w:val="20"/>
                <w:color w:val="auto"/>
              </w:rPr>
            </w:pPr>
            <w:r>
              <w:rPr>
                <w:rFonts w:ascii="Arial" w:cs="Arial" w:eastAsia="Arial" w:hAnsi="Arial"/>
                <w:sz w:val="18"/>
                <w:szCs w:val="18"/>
                <w:color w:val="auto"/>
              </w:rPr>
              <w:t>Submission to Jurisdiction; Waiver of Jury Trial</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469" w:name="page470"/>
    <w:bookmarkEnd w:id="469"/>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ectPr>
          <w:pgSz w:w="11900" w:h="16838" w:orient="portrait"/>
          <w:cols w:equalWidth="0" w:num="1">
            <w:col w:w="10960"/>
          </w:cols>
          <w:pgMar w:left="440" w:top="274" w:right="499" w:bottom="1440" w:gutter="0" w:footer="0" w:header="0"/>
        </w:sectPr>
      </w:pPr>
    </w:p>
    <w:p>
      <w:pPr>
        <w:spacing w:after="0" w:line="1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NOTE</w:t>
      </w:r>
    </w:p>
    <w:p>
      <w:pPr>
        <w:spacing w:after="0" w:line="2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CERTIFICATE OF TRANSFER</w:t>
      </w:r>
    </w:p>
    <w:p>
      <w:pPr>
        <w:spacing w:after="0" w:line="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FORM OF CERTIFICATE OF EXCHANGE</w:t>
      </w:r>
    </w:p>
    <w:p>
      <w:pPr>
        <w:spacing w:after="0" w:line="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FORM OF SUPPLEMENTAL INDENTURE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(iv)</w:t>
      </w:r>
    </w:p>
    <w:p>
      <w:pPr>
        <w:sectPr>
          <w:pgSz w:w="11900" w:h="16838" w:orient="portrait"/>
          <w:cols w:equalWidth="0" w:num="2">
            <w:col w:w="4660" w:space="720"/>
            <w:col w:w="5580"/>
          </w:cols>
          <w:pgMar w:left="440" w:top="274" w:right="499" w:bottom="1440" w:gutter="0" w:footer="0" w:header="0"/>
          <w:type w:val="continuous"/>
        </w:sectPr>
      </w:pPr>
    </w:p>
    <w:bookmarkStart w:id="470" w:name="page471"/>
    <w:bookmarkEnd w:id="470"/>
    <w:p>
      <w:pPr>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January 14, 2021 among Studio City Finance Limited, a BVI business company with limited liability incorporated under the laws of the British Virgin Islands with company number 1673307 (the “</w:t>
      </w:r>
      <w:r>
        <w:rPr>
          <w:rFonts w:ascii="Arial" w:cs="Arial" w:eastAsia="Arial" w:hAnsi="Arial"/>
          <w:sz w:val="18"/>
          <w:szCs w:val="18"/>
          <w:i w:val="1"/>
          <w:iCs w:val="1"/>
          <w:color w:val="auto"/>
        </w:rPr>
        <w:t>Company</w:t>
      </w:r>
      <w:r>
        <w:rPr>
          <w:rFonts w:ascii="Arial" w:cs="Arial" w:eastAsia="Arial" w:hAnsi="Arial"/>
          <w:sz w:val="18"/>
          <w:szCs w:val="18"/>
          <w:color w:val="auto"/>
        </w:rPr>
        <w:t>”), the Subsidiary Guarantors named herein (the “</w:t>
      </w:r>
      <w:r>
        <w:rPr>
          <w:rFonts w:ascii="Arial" w:cs="Arial" w:eastAsia="Arial" w:hAnsi="Arial"/>
          <w:sz w:val="18"/>
          <w:szCs w:val="18"/>
          <w:i w:val="1"/>
          <w:iCs w:val="1"/>
          <w:color w:val="auto"/>
        </w:rPr>
        <w:t>Subsidiary Guarantors</w:t>
      </w:r>
      <w:r>
        <w:rPr>
          <w:rFonts w:ascii="Arial" w:cs="Arial" w:eastAsia="Arial" w:hAnsi="Arial"/>
          <w:sz w:val="18"/>
          <w:szCs w:val="18"/>
          <w:color w:val="auto"/>
        </w:rPr>
        <w:t>”) and Deutsche Bank Trust Company Americas, a New York banking corporation as Trustee, Paying Agent, Registrar and Transfer Agent.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Each party agrees as follows for the benefit of each other and for the other parties hereto and for the equal and ratable benefit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 (as defined herein) of the 5.000% Senior Notes due 2029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117"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144A Global Note</w:t>
      </w:r>
      <w:r>
        <w:rPr>
          <w:rFonts w:ascii="Arial" w:cs="Arial" w:eastAsia="Arial" w:hAnsi="Arial"/>
          <w:sz w:val="16"/>
          <w:szCs w:val="16"/>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(subject to a maximum denomination of US$500 million) to the outstanding principal amount of the Notes sold in reliance on Rule 144A.</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980" w:right="60" w:firstLine="408"/>
        <w:spacing w:after="0" w:line="263" w:lineRule="auto"/>
        <w:tabs>
          <w:tab w:leader="none" w:pos="1771"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xml:space="preserve">” means additional Notes (other than the Initial Notes) issued under this Indenture in accordance with Section 2.02 and Section 4.09 hereof, as part of the same series as the Initial Notes;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Additional Notes that are not fungible with the Notes for U.S. federal income tax purposes shall have a separate CUSIP, ISIN or other identifying number than any previously issued Notes, but shall otherwise be treated as a single class with all other Notes issued under this Indenture.</w:t>
      </w:r>
    </w:p>
    <w:p>
      <w:pPr>
        <w:spacing w:after="0" w:line="18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7"/>
          <w:szCs w:val="17"/>
          <w:i w:val="1"/>
          <w:iCs w:val="1"/>
          <w:color w:val="auto"/>
        </w:rPr>
        <w:t>control</w:t>
      </w:r>
      <w:r>
        <w:rPr>
          <w:rFonts w:ascii="Arial" w:cs="Arial" w:eastAsia="Arial" w:hAnsi="Arial"/>
          <w:sz w:val="17"/>
          <w:szCs w:val="17"/>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beneficial ownership of 10% or more of the Voting Stock of a Person will be deemed to be control. For purposes of this definition, the terms “</w:t>
      </w:r>
      <w:r>
        <w:rPr>
          <w:rFonts w:ascii="Arial" w:cs="Arial" w:eastAsia="Arial" w:hAnsi="Arial"/>
          <w:sz w:val="17"/>
          <w:szCs w:val="17"/>
          <w:i w:val="1"/>
          <w:iCs w:val="1"/>
          <w:color w:val="auto"/>
        </w:rPr>
        <w:t>controlling,</w:t>
      </w:r>
      <w:r>
        <w:rPr>
          <w:rFonts w:ascii="Arial" w:cs="Arial" w:eastAsia="Arial" w:hAnsi="Arial"/>
          <w:sz w:val="17"/>
          <w:szCs w:val="17"/>
          <w:color w:val="auto"/>
        </w:rPr>
        <w:t>” “</w:t>
      </w:r>
      <w:r>
        <w:rPr>
          <w:rFonts w:ascii="Arial" w:cs="Arial" w:eastAsia="Arial" w:hAnsi="Arial"/>
          <w:sz w:val="17"/>
          <w:szCs w:val="17"/>
          <w:i w:val="1"/>
          <w:iCs w:val="1"/>
          <w:color w:val="auto"/>
        </w:rPr>
        <w:t>controlled by</w:t>
      </w:r>
      <w:r>
        <w:rPr>
          <w:rFonts w:ascii="Arial" w:cs="Arial" w:eastAsia="Arial" w:hAnsi="Arial"/>
          <w:sz w:val="17"/>
          <w:szCs w:val="17"/>
          <w:color w:val="auto"/>
        </w:rPr>
        <w:t>” and “</w:t>
      </w:r>
      <w:r>
        <w:rPr>
          <w:rFonts w:ascii="Arial" w:cs="Arial" w:eastAsia="Arial" w:hAnsi="Arial"/>
          <w:sz w:val="17"/>
          <w:szCs w:val="17"/>
          <w:i w:val="1"/>
          <w:iCs w:val="1"/>
          <w:color w:val="auto"/>
        </w:rPr>
        <w:t>under common control with</w:t>
      </w:r>
      <w:r>
        <w:rPr>
          <w:rFonts w:ascii="Arial" w:cs="Arial" w:eastAsia="Arial" w:hAnsi="Arial"/>
          <w:sz w:val="17"/>
          <w:szCs w:val="17"/>
          <w:color w:val="auto"/>
        </w:rPr>
        <w:t>” have correlative meanings.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co-registrar, Paying Agent, Transfer Agent or additional paying agents or transfer agents.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131" w:lineRule="exact"/>
        <w:rPr>
          <w:sz w:val="20"/>
          <w:szCs w:val="20"/>
          <w:color w:val="auto"/>
        </w:rPr>
      </w:pPr>
    </w:p>
    <w:p>
      <w:pPr>
        <w:ind w:left="1420" w:hanging="439"/>
        <w:spacing w:after="0"/>
        <w:tabs>
          <w:tab w:leader="none" w:pos="142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130" w:lineRule="exact"/>
        <w:rPr>
          <w:rFonts w:ascii="Arial" w:cs="Arial" w:eastAsia="Arial" w:hAnsi="Arial"/>
          <w:sz w:val="18"/>
          <w:szCs w:val="18"/>
          <w:color w:val="auto"/>
        </w:rPr>
      </w:pPr>
    </w:p>
    <w:p>
      <w:pPr>
        <w:ind w:left="1960" w:right="100" w:hanging="533"/>
        <w:spacing w:after="0" w:line="301" w:lineRule="auto"/>
        <w:tabs>
          <w:tab w:leader="none" w:pos="1960" w:val="left"/>
        </w:tabs>
        <w:numPr>
          <w:ilvl w:val="1"/>
          <w:numId w:val="568"/>
        </w:numPr>
        <w:rPr>
          <w:rFonts w:ascii="Arial" w:cs="Arial" w:eastAsia="Arial" w:hAnsi="Arial"/>
          <w:sz w:val="16"/>
          <w:szCs w:val="16"/>
          <w:color w:val="auto"/>
        </w:rPr>
      </w:pPr>
      <w:r>
        <w:rPr>
          <w:rFonts w:ascii="Arial" w:cs="Arial" w:eastAsia="Arial" w:hAnsi="Arial"/>
          <w:sz w:val="16"/>
          <w:szCs w:val="16"/>
          <w:color w:val="auto"/>
        </w:rPr>
        <w:t>the present value at such redemption date of (i) the redemption price of the Note at January 15, 2024 (such redemption price being set forth in the table appearing in Section 3.07 hereof) plus (ii) all required interest payments due on the Note through January 15 , 2024 (excluding accrued but unpaid interest to but excluding the redemption date), computed using a discount rate equal to the Treasury Rate as of such redemption date plus 50 basis points; over</w:t>
      </w:r>
    </w:p>
    <w:p>
      <w:pPr>
        <w:sectPr>
          <w:pgSz w:w="11900" w:h="16838" w:orient="portrait"/>
          <w:cols w:equalWidth="0" w:num="1">
            <w:col w:w="11000"/>
          </w:cols>
          <w:pgMar w:left="440" w:top="274" w:right="459" w:bottom="1440" w:gutter="0" w:footer="0" w:header="0"/>
        </w:sectPr>
      </w:pPr>
    </w:p>
    <w:bookmarkStart w:id="471" w:name="page472"/>
    <w:bookmarkEnd w:id="471"/>
    <w:p>
      <w:pPr>
        <w:ind w:left="1960" w:hanging="533"/>
        <w:spacing w:after="0"/>
        <w:tabs>
          <w:tab w:leader="none" w:pos="1960" w:val="left"/>
        </w:tabs>
        <w:numPr>
          <w:ilvl w:val="0"/>
          <w:numId w:val="5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principal amount of the Note, if greater,</w:t>
      </w:r>
    </w:p>
    <w:p>
      <w:pPr>
        <w:spacing w:after="0" w:line="117" w:lineRule="exact"/>
        <w:rPr>
          <w:sz w:val="20"/>
          <w:szCs w:val="20"/>
          <w:color w:val="auto"/>
        </w:rPr>
      </w:pPr>
    </w:p>
    <w:p>
      <w:pPr>
        <w:ind w:left="980" w:right="400"/>
        <w:spacing w:after="0" w:line="263" w:lineRule="auto"/>
        <w:rPr>
          <w:sz w:val="20"/>
          <w:szCs w:val="20"/>
          <w:color w:val="auto"/>
        </w:rPr>
      </w:pPr>
      <w:r>
        <w:rPr>
          <w:rFonts w:ascii="Arial" w:cs="Arial" w:eastAsia="Arial" w:hAnsi="Arial"/>
          <w:sz w:val="18"/>
          <w:szCs w:val="18"/>
          <w:color w:val="auto"/>
        </w:rPr>
        <w:t>as calculated by the Company or on behalf of the Company by such Person as the Company may engage. For the avoidance of doubt, calculation of the Applicable Premium shall not be a duty or obligation of the Trustee, the Paying Agent, the Transfer Agent, or the Registrar.</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Euroclear and Clearstream, Luxembourg that apply to such transfer or exchange.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980" w:right="80" w:firstLine="408"/>
        <w:spacing w:after="0" w:line="259" w:lineRule="auto"/>
        <w:tabs>
          <w:tab w:leader="none" w:pos="1771" w:val="left"/>
        </w:tabs>
        <w:numPr>
          <w:ilvl w:val="0"/>
          <w:numId w:val="570"/>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sale, lease, conveyance or other disposition of all or substantially all of the assets of the Company and its Restricted Subsidiaries taken as a whole will be governed by the provisions of this Indenture described in Section 4.15 hereof and/or the provisions described in Section 5.01 hereof and not by the provisions of Section 4.10 hereof;</w:t>
      </w:r>
    </w:p>
    <w:p>
      <w:pPr>
        <w:spacing w:after="0" w:line="78" w:lineRule="exact"/>
        <w:rPr>
          <w:rFonts w:ascii="Arial" w:cs="Arial" w:eastAsia="Arial" w:hAnsi="Arial"/>
          <w:sz w:val="18"/>
          <w:szCs w:val="18"/>
          <w:color w:val="auto"/>
        </w:rPr>
      </w:pPr>
    </w:p>
    <w:p>
      <w:pPr>
        <w:ind w:left="980" w:firstLine="408"/>
        <w:spacing w:after="0" w:line="277" w:lineRule="auto"/>
        <w:tabs>
          <w:tab w:leader="none" w:pos="1771"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issuance of Equity Interests in any of the Restricted Subsidiaries of the Company or the sale of Equity Interests in any of the Company’s Subsidiaries; and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any Event of Loss.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117" w:lineRule="exact"/>
        <w:rPr>
          <w:sz w:val="20"/>
          <w:szCs w:val="20"/>
          <w:color w:val="auto"/>
        </w:rPr>
      </w:pPr>
    </w:p>
    <w:p>
      <w:pPr>
        <w:ind w:left="980" w:right="1040" w:firstLine="408"/>
        <w:spacing w:after="0" w:line="277" w:lineRule="auto"/>
        <w:tabs>
          <w:tab w:leader="none" w:pos="1771" w:val="left"/>
        </w:tabs>
        <w:numPr>
          <w:ilvl w:val="0"/>
          <w:numId w:val="571"/>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US$5.0 million;</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a transfer of assets between or among the Company and its Restricted Subsidiaries;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571"/>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the Company to the Company or a Restricted Subsidiary of the</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left="980" w:right="200" w:firstLine="408"/>
        <w:spacing w:after="0" w:line="257" w:lineRule="auto"/>
        <w:tabs>
          <w:tab w:leader="none" w:pos="1771"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the sale, license, transfer, lease (including the right to use) or other disposal of products, services, rights, accounts receivable, undertakings, establishments or other current assets or cessation of any undertaking or establishment in the ordinary course of business (including pursuant to any shared services agreements (including the MSA), Revenue Sharing Agreement or any construction and development activities) and any sale or other disposition of damaged, worn-out, surplus or obsolete assets (or the dissolution of any Dormant Subsidiary) in the ordinary course of business;</w:t>
      </w:r>
    </w:p>
    <w:p>
      <w:pPr>
        <w:spacing w:after="0" w:line="79" w:lineRule="exact"/>
        <w:rPr>
          <w:rFonts w:ascii="Arial" w:cs="Arial" w:eastAsia="Arial" w:hAnsi="Arial"/>
          <w:sz w:val="18"/>
          <w:szCs w:val="18"/>
          <w:color w:val="auto"/>
        </w:rPr>
      </w:pPr>
    </w:p>
    <w:p>
      <w:pPr>
        <w:ind w:left="1780" w:hanging="392"/>
        <w:spacing w:after="0"/>
        <w:tabs>
          <w:tab w:leader="none" w:pos="17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571"/>
        </w:numPr>
        <w:rPr>
          <w:rFonts w:ascii="Arial" w:cs="Arial" w:eastAsia="Arial" w:hAnsi="Arial"/>
          <w:sz w:val="17"/>
          <w:szCs w:val="17"/>
          <w:color w:val="auto"/>
        </w:rPr>
      </w:pPr>
      <w:r>
        <w:rPr>
          <w:rFonts w:ascii="Arial" w:cs="Arial" w:eastAsia="Arial" w:hAnsi="Arial"/>
          <w:sz w:val="17"/>
          <w:szCs w:val="17"/>
          <w:color w:val="auto"/>
        </w:rPr>
        <w:t>any transfer, termination or unwinding or other disposition of Hedging Obligations in the ordinary course of business;</w:t>
      </w:r>
    </w:p>
    <w:p>
      <w:pPr>
        <w:spacing w:after="0" w:line="128" w:lineRule="exact"/>
        <w:rPr>
          <w:rFonts w:ascii="Arial" w:cs="Arial" w:eastAsia="Arial" w:hAnsi="Arial"/>
          <w:sz w:val="17"/>
          <w:szCs w:val="17"/>
          <w:color w:val="auto"/>
        </w:rPr>
      </w:pPr>
    </w:p>
    <w:p>
      <w:pPr>
        <w:ind w:left="1780" w:hanging="392"/>
        <w:spacing w:after="0"/>
        <w:tabs>
          <w:tab w:leader="none" w:pos="17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a transaction covered under Section 5.01 or Section 4.15;</w:t>
      </w:r>
    </w:p>
    <w:p>
      <w:pPr>
        <w:spacing w:after="0" w:line="117" w:lineRule="exact"/>
        <w:rPr>
          <w:rFonts w:ascii="Arial" w:cs="Arial" w:eastAsia="Arial" w:hAnsi="Arial"/>
          <w:sz w:val="18"/>
          <w:szCs w:val="18"/>
          <w:color w:val="auto"/>
        </w:rPr>
      </w:pPr>
    </w:p>
    <w:p>
      <w:pPr>
        <w:ind w:left="980" w:right="240" w:firstLine="408"/>
        <w:spacing w:after="0" w:line="263" w:lineRule="auto"/>
        <w:tabs>
          <w:tab w:leader="none" w:pos="1771"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the lease of, right to use or equivalent interest under Macau law on that portion of real property granted to Studio City Developments Limited pursuant to the applicable land concession granted by the government of the Macau SAR in connection with the development of the Phase II Project in accordance with such applicable land concession;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72" w:name="page473"/>
    <w:bookmarkEnd w:id="472"/>
    <w:p>
      <w:pPr>
        <w:ind w:left="984" w:right="80" w:firstLine="408"/>
        <w:spacing w:after="0" w:line="257" w:lineRule="auto"/>
        <w:tabs>
          <w:tab w:leader="none" w:pos="1775" w:val="left"/>
        </w:tabs>
        <w:numPr>
          <w:ilvl w:val="0"/>
          <w:numId w:val="5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Restricted Payment that does not violate the provisions of Section 4.07 hereof or a Permitted Investment, and any other payment under the Services and Right to Use Agreement, the Reinvestment Agreement or the MSA and any transactions or arrangements involving contractual rights under, pursuant to or in connection with the Services and Right to Use Agreement, the Reinvestment Agreement or the MSA, including any amendments, modifications, supplements, extensions, replacements, terminations or renewals thereof;</w:t>
      </w:r>
    </w:p>
    <w:p>
      <w:pPr>
        <w:spacing w:after="0" w:line="79" w:lineRule="exact"/>
        <w:rPr>
          <w:rFonts w:ascii="Arial" w:cs="Arial" w:eastAsia="Arial" w:hAnsi="Arial"/>
          <w:sz w:val="18"/>
          <w:szCs w:val="18"/>
          <w:color w:val="auto"/>
        </w:rPr>
      </w:pPr>
    </w:p>
    <w:p>
      <w:pPr>
        <w:ind w:left="984" w:firstLine="408"/>
        <w:spacing w:after="0" w:line="271" w:lineRule="auto"/>
        <w:tabs>
          <w:tab w:leader="none" w:pos="1864" w:val="left"/>
        </w:tabs>
        <w:numPr>
          <w:ilvl w:val="0"/>
          <w:numId w:val="572"/>
        </w:numPr>
        <w:rPr>
          <w:rFonts w:ascii="Arial" w:cs="Arial" w:eastAsia="Arial" w:hAnsi="Arial"/>
          <w:sz w:val="17"/>
          <w:szCs w:val="17"/>
          <w:color w:val="auto"/>
        </w:rPr>
      </w:pPr>
      <w:r>
        <w:rPr>
          <w:rFonts w:ascii="Arial" w:cs="Arial" w:eastAsia="Arial" w:hAnsi="Arial"/>
          <w:sz w:val="17"/>
          <w:szCs w:val="17"/>
          <w:color w:val="auto"/>
        </w:rPr>
        <w:t>the (i) lease, sublease, license or right to use of any portion of the Property to persons who, either directly or through Affiliates of such persons, intend to develop, operate or manage gaming, hotel, nightclubs, bars, restaurants, malls, amusements, attractions, recreation, spa, pool, exercise or gym facilities, or entertainment facilities or venues or retail shops or venues or similar or related establishments or facilities within the Property and (ii) the grant of declarations of covenants, conditions and restrictions and/or easements or other rights to use with respect to common area spaces and similar instruments benefiting such tenants of such lease, subleases licenses and rights to use generally and/or entered into connection with the Property (collectively, the “</w:t>
      </w:r>
      <w:r>
        <w:rPr>
          <w:rFonts w:ascii="Arial" w:cs="Arial" w:eastAsia="Arial" w:hAnsi="Arial"/>
          <w:sz w:val="17"/>
          <w:szCs w:val="17"/>
          <w:i w:val="1"/>
          <w:iCs w:val="1"/>
          <w:color w:val="auto"/>
        </w:rPr>
        <w:t>Venue Easements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Venue Easements or operations conducted pursuant thereto would reasonably be expected to materially interfere with, or materially impair or detract from, the operation of the Property;</w:t>
      </w:r>
    </w:p>
    <w:p>
      <w:pPr>
        <w:spacing w:after="0" w:line="70" w:lineRule="exact"/>
        <w:rPr>
          <w:rFonts w:ascii="Arial" w:cs="Arial" w:eastAsia="Arial" w:hAnsi="Arial"/>
          <w:sz w:val="17"/>
          <w:szCs w:val="17"/>
          <w:color w:val="auto"/>
        </w:rPr>
      </w:pPr>
    </w:p>
    <w:p>
      <w:pPr>
        <w:ind w:left="984" w:right="140" w:firstLine="408"/>
        <w:spacing w:after="0" w:line="259" w:lineRule="auto"/>
        <w:tabs>
          <w:tab w:leader="none" w:pos="1858" w:val="left"/>
        </w:tabs>
        <w:numPr>
          <w:ilvl w:val="0"/>
          <w:numId w:val="572"/>
        </w:numPr>
        <w:rPr>
          <w:rFonts w:ascii="Arial" w:cs="Arial" w:eastAsia="Arial" w:hAnsi="Arial"/>
          <w:sz w:val="18"/>
          <w:szCs w:val="18"/>
          <w:color w:val="auto"/>
        </w:rPr>
      </w:pPr>
      <w:r>
        <w:rPr>
          <w:rFonts w:ascii="Arial" w:cs="Arial" w:eastAsia="Arial" w:hAnsi="Arial"/>
          <w:sz w:val="18"/>
          <w:szCs w:val="18"/>
          <w:color w:val="auto"/>
        </w:rPr>
        <w:t xml:space="preserve">the dedication of space or other dispositions of property in connection with and in furtherance of constructing structures or improvements reasonably related to the development, construction and operation of the Property; </w:t>
      </w:r>
      <w:r>
        <w:rPr>
          <w:rFonts w:ascii="Arial" w:cs="Arial" w:eastAsia="Arial" w:hAnsi="Arial"/>
          <w:sz w:val="18"/>
          <w:szCs w:val="18"/>
          <w:i w:val="1"/>
          <w:iCs w:val="1"/>
          <w:color w:val="auto"/>
        </w:rPr>
        <w:t>provided</w:t>
      </w:r>
      <w:r>
        <w:rPr>
          <w:rFonts w:ascii="Arial" w:cs="Arial" w:eastAsia="Arial" w:hAnsi="Arial"/>
          <w:sz w:val="18"/>
          <w:szCs w:val="18"/>
          <w:color w:val="auto"/>
        </w:rPr>
        <w:t>, that in each case such dedication or other disposition is in furtherance of, and does not materially impair or interfere with the use or operations (or intended use or operations) of, the Property;</w:t>
      </w:r>
    </w:p>
    <w:p>
      <w:pPr>
        <w:spacing w:after="0" w:line="78" w:lineRule="exact"/>
        <w:rPr>
          <w:rFonts w:ascii="Arial" w:cs="Arial" w:eastAsia="Arial" w:hAnsi="Arial"/>
          <w:sz w:val="18"/>
          <w:szCs w:val="18"/>
          <w:color w:val="auto"/>
        </w:rPr>
      </w:pPr>
    </w:p>
    <w:p>
      <w:pPr>
        <w:ind w:left="984" w:right="40" w:firstLine="408"/>
        <w:spacing w:after="0" w:line="259" w:lineRule="auto"/>
        <w:tabs>
          <w:tab w:leader="none" w:pos="1864"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granting of easements, rights of way, rights of access and/or similar rights to any governmental authority, utility providers, cable or other communication providers and/or other parties providing services or benefits to the Property, the real property held by the Company or a Restricted Subsidiary of the Company or the public at large that would not reasonably be expected to interfere in any material respect with the construction, development or operation of the Property;</w:t>
      </w:r>
    </w:p>
    <w:p>
      <w:pPr>
        <w:spacing w:after="0" w:line="78" w:lineRule="exact"/>
        <w:rPr>
          <w:rFonts w:ascii="Arial" w:cs="Arial" w:eastAsia="Arial" w:hAnsi="Arial"/>
          <w:sz w:val="18"/>
          <w:szCs w:val="18"/>
          <w:color w:val="auto"/>
        </w:rPr>
      </w:pPr>
    </w:p>
    <w:p>
      <w:pPr>
        <w:ind w:left="984" w:right="80" w:firstLine="408"/>
        <w:spacing w:after="0" w:line="263" w:lineRule="auto"/>
        <w:tabs>
          <w:tab w:leader="none" w:pos="1864"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granting of a lease, right to use or equivalent interest to Melco Resorts Macau or Melco Resorts or any of its Affiliates for purposes of operating a gaming facility at Studio City, including under the Services and Right to Use Agreement and any related agreements, or any transactions or arrangements contemplated thereby;</w:t>
      </w:r>
    </w:p>
    <w:p>
      <w:pPr>
        <w:spacing w:after="0" w:line="75" w:lineRule="exact"/>
        <w:rPr>
          <w:rFonts w:ascii="Arial" w:cs="Arial" w:eastAsia="Arial" w:hAnsi="Arial"/>
          <w:sz w:val="18"/>
          <w:szCs w:val="18"/>
          <w:color w:val="auto"/>
        </w:rPr>
      </w:pPr>
    </w:p>
    <w:p>
      <w:pPr>
        <w:ind w:left="984" w:right="40" w:firstLine="408"/>
        <w:spacing w:after="0" w:line="263" w:lineRule="auto"/>
        <w:tabs>
          <w:tab w:leader="none" w:pos="1864"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grant of licenses to intellectual property rights to third Persons (other than Affiliates of the Company or any Restricted Subsidiary of the Company) on an arm’s length basis in the ordinary course of business or to Melco Resorts Macau, Melco Resorts and its Affiliates in the ordinary course of business;</w:t>
      </w:r>
    </w:p>
    <w:p>
      <w:pPr>
        <w:spacing w:after="0" w:line="75" w:lineRule="exact"/>
        <w:rPr>
          <w:rFonts w:ascii="Arial" w:cs="Arial" w:eastAsia="Arial" w:hAnsi="Arial"/>
          <w:sz w:val="18"/>
          <w:szCs w:val="18"/>
          <w:color w:val="auto"/>
        </w:rPr>
      </w:pPr>
    </w:p>
    <w:p>
      <w:pPr>
        <w:ind w:left="984" w:right="780" w:firstLine="408"/>
        <w:spacing w:after="0" w:line="277" w:lineRule="auto"/>
        <w:tabs>
          <w:tab w:leader="none" w:pos="1864"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transfers, assignments or dispositions constituting an Incurrence of a Permitted Lien (but not the actual sale or other disposition of the property subject to such Lien); and</w:t>
      </w:r>
    </w:p>
    <w:p>
      <w:pPr>
        <w:spacing w:after="0" w:line="62" w:lineRule="exact"/>
        <w:rPr>
          <w:rFonts w:ascii="Arial" w:cs="Arial" w:eastAsia="Arial" w:hAnsi="Arial"/>
          <w:sz w:val="18"/>
          <w:szCs w:val="18"/>
          <w:color w:val="auto"/>
        </w:rPr>
      </w:pPr>
    </w:p>
    <w:p>
      <w:pPr>
        <w:ind w:left="984" w:firstLine="408"/>
        <w:spacing w:after="0" w:line="277" w:lineRule="auto"/>
        <w:tabs>
          <w:tab w:leader="none" w:pos="1864"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any surrender or waiver of contractual rights or settlement, release, recovery on or surrender of contract, tort or other claims in the ordinary course of business.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Law</w:t>
      </w:r>
      <w:r>
        <w:rPr>
          <w:rFonts w:ascii="Arial" w:cs="Arial" w:eastAsia="Arial" w:hAnsi="Arial"/>
          <w:sz w:val="16"/>
          <w:szCs w:val="16"/>
          <w:color w:val="auto"/>
        </w:rPr>
        <w:t>” means (i) the United States Bankruptcy Code of 1978 or any similar U.S. federal or state law for the relief of debtors,</w:t>
      </w:r>
    </w:p>
    <w:p>
      <w:pPr>
        <w:spacing w:after="0" w:line="46" w:lineRule="exact"/>
        <w:rPr>
          <w:sz w:val="20"/>
          <w:szCs w:val="20"/>
          <w:color w:val="auto"/>
        </w:rPr>
      </w:pPr>
    </w:p>
    <w:p>
      <w:pPr>
        <w:ind w:left="4" w:right="100" w:hanging="4"/>
        <w:spacing w:after="0" w:line="253" w:lineRule="auto"/>
        <w:tabs>
          <w:tab w:leader="none" w:pos="269"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provisions of the Code of Civil Procedure of Macau that deal with the placement of a debtor into liquidation, the administration and disposal of its assets, the distribution of the proceeds thereof and the alternatives to such liquidation, or any laws of similar effect, and (iii) those laws included, principally within (but not limited to) the BVI Business Companies Act, 2004 (as amended) and the Insolvency Act, 2007 (as amended) concerning the solvency and insolvency of BVI companies.</w:t>
      </w:r>
    </w:p>
    <w:p>
      <w:pPr>
        <w:spacing w:after="0" w:line="193" w:lineRule="exact"/>
        <w:rPr>
          <w:sz w:val="20"/>
          <w:szCs w:val="20"/>
          <w:color w:val="auto"/>
        </w:rPr>
      </w:pPr>
    </w:p>
    <w:p>
      <w:pPr>
        <w:ind w:left="4" w:right="2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473" w:name="page474"/>
    <w:bookmarkEnd w:id="47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980" w:firstLine="408"/>
        <w:spacing w:after="0" w:line="277" w:lineRule="auto"/>
        <w:tabs>
          <w:tab w:leader="none" w:pos="1771" w:val="left"/>
        </w:tabs>
        <w:numPr>
          <w:ilvl w:val="0"/>
          <w:numId w:val="574"/>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980" w:right="500" w:firstLine="408"/>
        <w:spacing w:after="0" w:line="277" w:lineRule="auto"/>
        <w:tabs>
          <w:tab w:leader="none" w:pos="1771" w:val="left"/>
        </w:tabs>
        <w:numPr>
          <w:ilvl w:val="0"/>
          <w:numId w:val="574"/>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Legal Holiday.</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is to be made, the amount of the liability in respect of a finance or capital lease that would at that time be required to be capitalized on a balance sheet prepared in accordance with U.S.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780" w:hanging="392"/>
        <w:spacing w:after="0"/>
        <w:tabs>
          <w:tab w:leader="none" w:pos="178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 the case of a corporation, corporate stock or shares;</w:t>
      </w:r>
    </w:p>
    <w:p>
      <w:pPr>
        <w:spacing w:after="0" w:line="117" w:lineRule="exact"/>
        <w:rPr>
          <w:rFonts w:ascii="Arial" w:cs="Arial" w:eastAsia="Arial" w:hAnsi="Arial"/>
          <w:sz w:val="18"/>
          <w:szCs w:val="18"/>
          <w:color w:val="auto"/>
        </w:rPr>
      </w:pPr>
    </w:p>
    <w:p>
      <w:pPr>
        <w:ind w:left="980" w:right="80" w:firstLine="408"/>
        <w:spacing w:after="0" w:line="277" w:lineRule="auto"/>
        <w:tabs>
          <w:tab w:leader="none" w:pos="1771"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575"/>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or membership interests (whether general or limited); and</w:t>
      </w:r>
    </w:p>
    <w:p>
      <w:pPr>
        <w:spacing w:after="0" w:line="140" w:lineRule="exact"/>
        <w:rPr>
          <w:rFonts w:ascii="Arial" w:cs="Arial" w:eastAsia="Arial" w:hAnsi="Arial"/>
          <w:sz w:val="16"/>
          <w:szCs w:val="16"/>
          <w:color w:val="auto"/>
        </w:rPr>
      </w:pPr>
    </w:p>
    <w:p>
      <w:pPr>
        <w:ind w:left="980" w:right="340" w:firstLine="408"/>
        <w:spacing w:after="0" w:line="263" w:lineRule="auto"/>
        <w:tabs>
          <w:tab w:leader="none" w:pos="1771"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980" w:right="180" w:firstLine="408"/>
        <w:spacing w:after="0" w:line="263" w:lineRule="auto"/>
        <w:tabs>
          <w:tab w:leader="none" w:pos="1771" w:val="left"/>
        </w:tabs>
        <w:numPr>
          <w:ilvl w:val="0"/>
          <w:numId w:val="576"/>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full faith and credit of the United States is pledged in support of those securities) having maturities of not more than six months from the date of acquisition;</w:t>
      </w:r>
    </w:p>
    <w:p>
      <w:pPr>
        <w:spacing w:after="0" w:line="75" w:lineRule="exact"/>
        <w:rPr>
          <w:rFonts w:ascii="Arial" w:cs="Arial" w:eastAsia="Arial" w:hAnsi="Arial"/>
          <w:sz w:val="18"/>
          <w:szCs w:val="18"/>
          <w:color w:val="auto"/>
        </w:rPr>
      </w:pPr>
    </w:p>
    <w:p>
      <w:pPr>
        <w:ind w:left="980" w:right="40" w:firstLine="408"/>
        <w:spacing w:after="0" w:line="273" w:lineRule="auto"/>
        <w:tabs>
          <w:tab w:leader="none" w:pos="1771" w:val="left"/>
        </w:tabs>
        <w:numPr>
          <w:ilvl w:val="0"/>
          <w:numId w:val="576"/>
        </w:numPr>
        <w:rPr>
          <w:rFonts w:ascii="Arial" w:cs="Arial" w:eastAsia="Arial" w:hAnsi="Arial"/>
          <w:sz w:val="17"/>
          <w:szCs w:val="17"/>
          <w:color w:val="auto"/>
        </w:rPr>
      </w:pPr>
      <w:r>
        <w:rPr>
          <w:rFonts w:ascii="Arial" w:cs="Arial" w:eastAsia="Arial" w:hAnsi="Arial"/>
          <w:sz w:val="17"/>
          <w:szCs w:val="17"/>
          <w:color w:val="auto"/>
        </w:rPr>
        <w:t>demand deposits, certificates of deposit, time deposits and eurodollar time deposits with maturities of 12 months or less from the date of acquisition, bankers’ acceptances with maturities not exceeding six months and overnight bank deposits, in each case, with any commercial bank organized under the laws of Macau, Hong Kong, a member state of the European Union or of the United States of America or any state thereof having capital and surplus in excess of US$500.0 million (or the foreign currency equivalent thereof as of the date of such investment) and whose long-term debt is rated “A-3” or higher by Moody’s or “A-” or higher by S&amp;P or the equivalent rating category or another internationally recognized rating agency;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74" w:name="page475"/>
    <w:bookmarkEnd w:id="474"/>
    <w:p>
      <w:pPr>
        <w:ind w:left="1780" w:hanging="392"/>
        <w:spacing w:after="0"/>
        <w:tabs>
          <w:tab w:leader="none" w:pos="1780" w:val="left"/>
        </w:tabs>
        <w:numPr>
          <w:ilvl w:val="1"/>
          <w:numId w:val="5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 obligations with a term of not more than seven days for underlying securities of the types described in clauses</w:t>
      </w:r>
    </w:p>
    <w:p>
      <w:pPr>
        <w:spacing w:after="0" w:line="34" w:lineRule="exact"/>
        <w:rPr>
          <w:rFonts w:ascii="Arial" w:cs="Arial" w:eastAsia="Arial" w:hAnsi="Arial"/>
          <w:sz w:val="17"/>
          <w:szCs w:val="17"/>
          <w:color w:val="auto"/>
        </w:rPr>
      </w:pPr>
    </w:p>
    <w:p>
      <w:pPr>
        <w:ind w:left="1240" w:hanging="253"/>
        <w:spacing w:after="0"/>
        <w:tabs>
          <w:tab w:leader="none" w:pos="124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and (2) above entered into with any financial institution meeting the qualifications specified in clause (2) above;</w:t>
      </w:r>
    </w:p>
    <w:p>
      <w:pPr>
        <w:spacing w:after="0" w:line="102" w:lineRule="exact"/>
        <w:rPr>
          <w:rFonts w:ascii="Arial" w:cs="Arial" w:eastAsia="Arial" w:hAnsi="Arial"/>
          <w:sz w:val="18"/>
          <w:szCs w:val="18"/>
          <w:color w:val="auto"/>
        </w:rPr>
      </w:pPr>
    </w:p>
    <w:p>
      <w:pPr>
        <w:ind w:left="980" w:right="40" w:firstLine="408"/>
        <w:spacing w:after="0" w:line="277" w:lineRule="auto"/>
        <w:tabs>
          <w:tab w:leader="none" w:pos="1771" w:val="left"/>
        </w:tabs>
        <w:numPr>
          <w:ilvl w:val="1"/>
          <w:numId w:val="578"/>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12 months after the date of acquisition; and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578"/>
        </w:numPr>
        <w:rPr>
          <w:rFonts w:ascii="Arial" w:cs="Arial" w:eastAsia="Arial" w:hAnsi="Arial"/>
          <w:sz w:val="17"/>
          <w:szCs w:val="17"/>
          <w:color w:val="auto"/>
        </w:rPr>
      </w:pPr>
      <w:r>
        <w:rPr>
          <w:rFonts w:ascii="Arial" w:cs="Arial" w:eastAsia="Arial" w:hAnsi="Arial"/>
          <w:sz w:val="17"/>
          <w:szCs w:val="17"/>
          <w:color w:val="auto"/>
        </w:rPr>
        <w:t>money market funds at least 95% of the assets of which constitute Cash Equivalents of the kinds described in clauses</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through (4) of this definition.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Casualty</w:t>
      </w:r>
      <w:r>
        <w:rPr>
          <w:rFonts w:ascii="Arial" w:cs="Arial" w:eastAsia="Arial" w:hAnsi="Arial"/>
          <w:sz w:val="16"/>
          <w:szCs w:val="16"/>
          <w:color w:val="auto"/>
        </w:rPr>
        <w:t>” means any casualty, loss, damage, destruction or other similar loss with respect to real or personal property or improvements.</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jc w:val="both"/>
        <w:ind w:left="980" w:right="40" w:firstLine="408"/>
        <w:spacing w:after="0" w:line="259" w:lineRule="auto"/>
        <w:tabs>
          <w:tab w:leader="none" w:pos="1771"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or “group” (as such terms are used in Section 13(d) of the Exchange Act) (other than Melco Resorts or a Related Party of Melco Resorts);</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 or</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first day on which:</w:t>
      </w:r>
    </w:p>
    <w:p>
      <w:pPr>
        <w:spacing w:after="0" w:line="130" w:lineRule="exact"/>
        <w:rPr>
          <w:rFonts w:ascii="Arial" w:cs="Arial" w:eastAsia="Arial" w:hAnsi="Arial"/>
          <w:sz w:val="18"/>
          <w:szCs w:val="18"/>
          <w:color w:val="auto"/>
        </w:rPr>
      </w:pPr>
    </w:p>
    <w:p>
      <w:pPr>
        <w:ind w:left="2400" w:hanging="433"/>
        <w:spacing w:after="0" w:line="296" w:lineRule="auto"/>
        <w:tabs>
          <w:tab w:leader="none" w:pos="2400" w:val="left"/>
        </w:tabs>
        <w:numPr>
          <w:ilvl w:val="1"/>
          <w:numId w:val="579"/>
        </w:numPr>
        <w:rPr>
          <w:rFonts w:ascii="Arial" w:cs="Arial" w:eastAsia="Arial" w:hAnsi="Arial"/>
          <w:sz w:val="16"/>
          <w:szCs w:val="16"/>
          <w:color w:val="auto"/>
        </w:rPr>
      </w:pPr>
      <w:r>
        <w:rPr>
          <w:rFonts w:ascii="Arial" w:cs="Arial" w:eastAsia="Arial" w:hAnsi="Arial"/>
          <w:sz w:val="16"/>
          <w:szCs w:val="16"/>
          <w:color w:val="auto"/>
        </w:rPr>
        <w:t>Melco Resorts ceases to own, directly or indirectly, (i) a majority, or (ii) if Melco Resorts is authorized by the relevant Gaming Authority or is otherwise permitted to hold less than 50.1% of Equity Interest in Studio City International, the greater of (x) such lesser percentage and (y) 35%, of the outstanding Equity Interests and/or Voting Stock of each of the Company and Studio City Holdings Five Limited (or any Person which becomes a “Golden Shareholder” and/or a “Preference Holder” under the Direct Agreement pursuant to the terms thereof, if any);</w:t>
      </w:r>
    </w:p>
    <w:p>
      <w:pPr>
        <w:spacing w:after="0" w:line="66" w:lineRule="exact"/>
        <w:rPr>
          <w:rFonts w:ascii="Arial" w:cs="Arial" w:eastAsia="Arial" w:hAnsi="Arial"/>
          <w:sz w:val="16"/>
          <w:szCs w:val="16"/>
          <w:color w:val="auto"/>
        </w:rPr>
      </w:pPr>
    </w:p>
    <w:p>
      <w:pPr>
        <w:ind w:left="2400" w:right="380" w:hanging="433"/>
        <w:spacing w:after="0" w:line="277" w:lineRule="auto"/>
        <w:tabs>
          <w:tab w:leader="none" w:pos="240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Melco Resorts ceases to own, directly or indirectly, less than 50.1% of Equity Interest in Melco Resorts Macau (or another operator of the Studio City Casino); or</w:t>
      </w:r>
    </w:p>
    <w:p>
      <w:pPr>
        <w:spacing w:after="0" w:line="75" w:lineRule="exact"/>
        <w:rPr>
          <w:rFonts w:ascii="Arial" w:cs="Arial" w:eastAsia="Arial" w:hAnsi="Arial"/>
          <w:sz w:val="18"/>
          <w:szCs w:val="18"/>
          <w:color w:val="auto"/>
        </w:rPr>
      </w:pPr>
    </w:p>
    <w:p>
      <w:pPr>
        <w:ind w:left="2400" w:right="140" w:hanging="433"/>
        <w:spacing w:after="0" w:line="263" w:lineRule="auto"/>
        <w:tabs>
          <w:tab w:leader="none" w:pos="240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Melco Resorts ceases to have, directly or indirectly (through a Subsidiary), the power to nominate a number of directors on the Board of Directors of the Company who are entitled to cast a majority of the votes which may be cast at a meeting of the Board of Directors of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 Luxembourg</w:t>
      </w:r>
      <w:r>
        <w:rPr>
          <w:rFonts w:ascii="Arial" w:cs="Arial" w:eastAsia="Arial" w:hAnsi="Arial"/>
          <w:sz w:val="18"/>
          <w:szCs w:val="18"/>
          <w:color w:val="auto"/>
        </w:rPr>
        <w:t>” means Clearstream Banking S.A.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Studio City Finance Limited, and any and all successors thereto.</w:t>
      </w:r>
    </w:p>
    <w:p>
      <w:pPr>
        <w:spacing w:after="0" w:line="225"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Condemnation</w:t>
      </w:r>
      <w:r>
        <w:rPr>
          <w:rFonts w:ascii="Arial" w:cs="Arial" w:eastAsia="Arial" w:hAnsi="Arial"/>
          <w:sz w:val="17"/>
          <w:szCs w:val="17"/>
          <w:color w:val="auto"/>
        </w:rPr>
        <w:t>” means any taking by a Governmental Authority of assets or property, or any part thereof or interest therein, for public or quasi-public use under the power of eminent domain, by reason of any public improvement or condemnation or in any other manner.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75" w:name="page476"/>
    <w:bookmarkEnd w:id="47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Person for any period, the aggregate of the Net Income of such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Subsidiaries for such period, on a consolidated basis, determined in accordance with U.S. GAAP;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03" w:lineRule="exact"/>
        <w:rPr>
          <w:sz w:val="20"/>
          <w:szCs w:val="20"/>
          <w:color w:val="auto"/>
        </w:rPr>
      </w:pPr>
    </w:p>
    <w:p>
      <w:pPr>
        <w:ind w:left="980" w:right="60" w:firstLine="408"/>
        <w:spacing w:after="0" w:line="263" w:lineRule="auto"/>
        <w:tabs>
          <w:tab w:leader="none" w:pos="1771"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Net Income (or loss) of any Person that is not a Restricted Subsidiary or that is accounted for by the equity method of accounting will be included only to the extent of the amount of dividends or similar distributions actually paid in cash to, or the amount of loss actually funded in cash by, the specified Person or a Restricted Subsidiary of the Person;</w:t>
      </w:r>
    </w:p>
    <w:p>
      <w:pPr>
        <w:spacing w:after="0" w:line="75" w:lineRule="exact"/>
        <w:rPr>
          <w:rFonts w:ascii="Arial" w:cs="Arial" w:eastAsia="Arial" w:hAnsi="Arial"/>
          <w:sz w:val="18"/>
          <w:szCs w:val="18"/>
          <w:color w:val="auto"/>
        </w:rPr>
      </w:pPr>
    </w:p>
    <w:p>
      <w:pPr>
        <w:ind w:left="980" w:firstLine="408"/>
        <w:spacing w:after="0" w:line="272" w:lineRule="auto"/>
        <w:tabs>
          <w:tab w:leader="none" w:pos="1771" w:val="left"/>
        </w:tabs>
        <w:numPr>
          <w:ilvl w:val="0"/>
          <w:numId w:val="580"/>
        </w:numPr>
        <w:rPr>
          <w:rFonts w:ascii="Arial" w:cs="Arial" w:eastAsia="Arial" w:hAnsi="Arial"/>
          <w:sz w:val="17"/>
          <w:szCs w:val="17"/>
          <w:color w:val="auto"/>
        </w:rPr>
      </w:pPr>
      <w:r>
        <w:rPr>
          <w:rFonts w:ascii="Arial" w:cs="Arial" w:eastAsia="Arial" w:hAnsi="Arial"/>
          <w:sz w:val="17"/>
          <w:szCs w:val="17"/>
          <w:color w:val="auto"/>
        </w:rPr>
        <w:t xml:space="preserve">the Net Income of any Restricted Subsidiary that is not a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Consolidated Net Income of the specified Person will be increased by the amount of dividends or similar contributions actually paid in cash (or to the extent converted into cash) to the specified Person or any of its Restricted Subsidiaries that is a Subsidiary Guarantor, to the extent not already included therein;</w:t>
      </w:r>
    </w:p>
    <w:p>
      <w:pPr>
        <w:spacing w:after="0" w:line="69" w:lineRule="exact"/>
        <w:rPr>
          <w:rFonts w:ascii="Arial" w:cs="Arial" w:eastAsia="Arial" w:hAnsi="Arial"/>
          <w:sz w:val="17"/>
          <w:szCs w:val="17"/>
          <w:color w:val="auto"/>
        </w:rPr>
      </w:pPr>
    </w:p>
    <w:p>
      <w:pPr>
        <w:ind w:left="1820" w:hanging="432"/>
        <w:spacing w:after="0"/>
        <w:tabs>
          <w:tab w:leader="none" w:pos="182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 and</w:t>
      </w:r>
    </w:p>
    <w:p>
      <w:pPr>
        <w:spacing w:after="0" w:line="117" w:lineRule="exact"/>
        <w:rPr>
          <w:rFonts w:ascii="Arial" w:cs="Arial" w:eastAsia="Arial" w:hAnsi="Arial"/>
          <w:sz w:val="18"/>
          <w:szCs w:val="18"/>
          <w:color w:val="auto"/>
        </w:rPr>
      </w:pPr>
    </w:p>
    <w:p>
      <w:pPr>
        <w:jc w:val="both"/>
        <w:ind w:left="980" w:firstLine="408"/>
        <w:spacing w:after="0" w:line="286" w:lineRule="auto"/>
        <w:tabs>
          <w:tab w:leader="none" w:pos="1771" w:val="left"/>
        </w:tabs>
        <w:numPr>
          <w:ilvl w:val="0"/>
          <w:numId w:val="580"/>
        </w:numPr>
        <w:rPr>
          <w:rFonts w:ascii="Arial" w:cs="Arial" w:eastAsia="Arial" w:hAnsi="Arial"/>
          <w:sz w:val="17"/>
          <w:szCs w:val="17"/>
          <w:color w:val="auto"/>
        </w:rPr>
      </w:pPr>
      <w:r>
        <w:rPr>
          <w:rFonts w:ascii="Arial" w:cs="Arial" w:eastAsia="Arial" w:hAnsi="Arial"/>
          <w:sz w:val="17"/>
          <w:szCs w:val="17"/>
          <w:color w:val="auto"/>
        </w:rPr>
        <w:t>charges or expenses related to deferred financing fees and Indebtedness issuance costs, including related commissions, fees and expenses, premiums paid or other expenses incurred directly in connection with any early extinguishment of Indebtedness and any net gain (loss) from any write-off, extinguishment, repurchase, cancellation or forgiveness of Indebtedness will be excluded.</w:t>
      </w:r>
    </w:p>
    <w:p>
      <w:pPr>
        <w:spacing w:after="0" w:line="16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 of the Trustee</w:t>
      </w:r>
      <w:r>
        <w:rPr>
          <w:rFonts w:ascii="Arial" w:cs="Arial" w:eastAsia="Arial" w:hAnsi="Arial"/>
          <w:sz w:val="18"/>
          <w:szCs w:val="18"/>
          <w:color w:val="auto"/>
        </w:rPr>
        <w:t>” means the address of the Trustee specified in Section 13.02 hereof or such other address as to which the Trustee may give notice to the Company.</w:t>
      </w:r>
    </w:p>
    <w:p>
      <w:pPr>
        <w:spacing w:after="0" w:line="170"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indentures or commercial paper facilities, in each case, with banks or other lenders providing for revolving credit loans, term loans, receivables financing (including through the sale of receivables to such lenders or to special purpose entities formed to borrow from such lenders against such receivables), letters of credit or other forms of Indebtedness, in each case, as amended, restated, modified, renewed, refunded, replaced (whether upon or after termination or otherwise) or refinanced (including by means of sales of debt securities to investors) in whole or in part from time to time.</w:t>
      </w:r>
    </w:p>
    <w:p>
      <w:pPr>
        <w:spacing w:after="0" w:line="188"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 Documents</w:t>
      </w:r>
      <w:r>
        <w:rPr>
          <w:rFonts w:ascii="Arial" w:cs="Arial" w:eastAsia="Arial" w:hAnsi="Arial"/>
          <w:sz w:val="18"/>
          <w:szCs w:val="18"/>
          <w:color w:val="auto"/>
        </w:rPr>
        <w:t>” means the collective reference to any Credit Facilities, any notes issued pursuant thereto and the guarantees thereof, and the collateral or other documents relating thereto, as amended, supplemented, restated, renewed, refunded, replaced, restructured, repaid, refinanced or otherwise modified, in whole or in part, from time to time.</w:t>
      </w:r>
    </w:p>
    <w:p>
      <w:pPr>
        <w:spacing w:after="0" w:line="184"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Deutsche Bank Trust Company Americas, as custodian with respect to the Notes in global form, or any successor entity thereto.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w:t>
      </w:r>
      <w:r>
        <w:rPr>
          <w:rFonts w:ascii="Arial" w:cs="Arial" w:eastAsia="Arial" w:hAnsi="Arial"/>
          <w:sz w:val="18"/>
          <w:szCs w:val="18"/>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84"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76" w:name="page477"/>
    <w:bookmarkEnd w:id="476"/>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Direct Agreement</w:t>
      </w:r>
      <w:r>
        <w:rPr>
          <w:rFonts w:ascii="Arial" w:cs="Arial" w:eastAsia="Arial" w:hAnsi="Arial"/>
          <w:sz w:val="18"/>
          <w:szCs w:val="18"/>
          <w:color w:val="auto"/>
        </w:rPr>
        <w:t>” means the direct agreement dated November 26, 2013, in relation to (a) the Services and Right to Use Agreement and (b) the Reinvestment Agreement.</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Stock</w:t>
      </w:r>
      <w:r>
        <w:rPr>
          <w:rFonts w:ascii="Arial" w:cs="Arial" w:eastAsia="Arial" w:hAnsi="Arial"/>
          <w:sz w:val="17"/>
          <w:szCs w:val="17"/>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Company to repurchase such Capital Stock upon the occurrence of a change of control or an asset sale will not constitute Disqualified Stock if the terms of such Capital Stock provide that the Company may not repurchase or redeem any such Capital Stock pursuant to such provisions unless such repurchase or redemption complies with Section 4.07 hereof. The amount of Disqualified Stock deemed to be outstanding at any time for purposes of this Indenture will be the maximum amount that the Company may become obligated to pay upon the maturity of, or pursuant to any mandatory redemption provisions of, such Disqualified Stock, exclusive of accrued dividends.</w:t>
      </w:r>
    </w:p>
    <w:p>
      <w:pPr>
        <w:spacing w:after="0" w:line="185"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Dormant Subsidiary</w:t>
      </w:r>
      <w:r>
        <w:rPr>
          <w:rFonts w:ascii="Arial" w:cs="Arial" w:eastAsia="Arial" w:hAnsi="Arial"/>
          <w:sz w:val="16"/>
          <w:szCs w:val="16"/>
          <w:color w:val="auto"/>
        </w:rPr>
        <w:t>” means a Restricted Subsidiary of the Company which does not trade (for itself or as agent for any other person) and does not own, legally or beneficially, assets (including, without limitation, Indebtedness owed to it) which in aggregate have a book value greater than US$100,000 and has no third-party recourse Indebtedness or intercompany Indebtedness with the Company or any other Restricted Subsidiary.</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means, with respect to any Person for any period, the Consolidated Net Income of such Person for such period plus,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duplication:</w:t>
      </w:r>
    </w:p>
    <w:p>
      <w:pPr>
        <w:spacing w:after="0" w:line="103" w:lineRule="exact"/>
        <w:rPr>
          <w:sz w:val="20"/>
          <w:szCs w:val="20"/>
          <w:color w:val="auto"/>
        </w:rPr>
      </w:pPr>
    </w:p>
    <w:p>
      <w:pPr>
        <w:ind w:left="980" w:right="420" w:firstLine="408"/>
        <w:spacing w:after="0" w:line="342" w:lineRule="auto"/>
        <w:tabs>
          <w:tab w:leader="none" w:pos="1771" w:val="left"/>
        </w:tabs>
        <w:numPr>
          <w:ilvl w:val="0"/>
          <w:numId w:val="581"/>
        </w:numPr>
        <w:rPr>
          <w:rFonts w:ascii="Arial" w:cs="Arial" w:eastAsia="Arial" w:hAnsi="Arial"/>
          <w:sz w:val="16"/>
          <w:szCs w:val="16"/>
          <w:color w:val="auto"/>
        </w:rPr>
      </w:pPr>
      <w:r>
        <w:rPr>
          <w:rFonts w:ascii="Arial" w:cs="Arial" w:eastAsia="Arial" w:hAnsi="Arial"/>
          <w:sz w:val="16"/>
          <w:szCs w:val="16"/>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6"/>
          <w:szCs w:val="16"/>
          <w:i w:val="1"/>
          <w:iCs w:val="1"/>
          <w:color w:val="auto"/>
        </w:rPr>
        <w:t>plus</w:t>
      </w:r>
    </w:p>
    <w:p>
      <w:pPr>
        <w:spacing w:after="0" w:line="15" w:lineRule="exact"/>
        <w:rPr>
          <w:rFonts w:ascii="Arial" w:cs="Arial" w:eastAsia="Arial" w:hAnsi="Arial"/>
          <w:sz w:val="16"/>
          <w:szCs w:val="16"/>
          <w:color w:val="auto"/>
        </w:rPr>
      </w:pPr>
    </w:p>
    <w:p>
      <w:pPr>
        <w:ind w:left="980" w:right="160" w:firstLine="408"/>
        <w:spacing w:after="0" w:line="277" w:lineRule="auto"/>
        <w:tabs>
          <w:tab w:leader="none" w:pos="1771" w:val="left"/>
        </w:tabs>
        <w:numPr>
          <w:ilvl w:val="0"/>
          <w:numId w:val="581"/>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80" w:right="300" w:firstLine="408"/>
        <w:spacing w:after="0" w:line="277" w:lineRule="auto"/>
        <w:tabs>
          <w:tab w:leader="none" w:pos="1771" w:val="left"/>
        </w:tabs>
        <w:numPr>
          <w:ilvl w:val="0"/>
          <w:numId w:val="581"/>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80" w:right="40" w:firstLine="408"/>
        <w:spacing w:after="0" w:line="257" w:lineRule="auto"/>
        <w:tabs>
          <w:tab w:leader="none" w:pos="1771" w:val="left"/>
        </w:tabs>
        <w:numPr>
          <w:ilvl w:val="0"/>
          <w:numId w:val="581"/>
        </w:numPr>
        <w:rPr>
          <w:rFonts w:ascii="Arial" w:cs="Arial" w:eastAsia="Arial" w:hAnsi="Arial"/>
          <w:sz w:val="18"/>
          <w:szCs w:val="18"/>
          <w:color w:val="auto"/>
        </w:rPr>
      </w:pPr>
      <w:r>
        <w:rPr>
          <w:rFonts w:ascii="Arial" w:cs="Arial" w:eastAsia="Arial" w:hAnsi="Arial"/>
          <w:sz w:val="18"/>
          <w:szCs w:val="18"/>
          <w:color w:val="auto"/>
        </w:rPr>
        <w:t xml:space="preserve">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8"/>
          <w:szCs w:val="18"/>
          <w:i w:val="1"/>
          <w:iCs w:val="1"/>
          <w:color w:val="auto"/>
        </w:rPr>
        <w:t>plus</w:t>
      </w:r>
    </w:p>
    <w:p>
      <w:pPr>
        <w:spacing w:after="0" w:line="79" w:lineRule="exact"/>
        <w:rPr>
          <w:rFonts w:ascii="Arial" w:cs="Arial" w:eastAsia="Arial" w:hAnsi="Arial"/>
          <w:sz w:val="18"/>
          <w:szCs w:val="18"/>
          <w:color w:val="auto"/>
        </w:rPr>
      </w:pPr>
    </w:p>
    <w:p>
      <w:pPr>
        <w:ind w:left="1780" w:hanging="392"/>
        <w:spacing w:after="0"/>
        <w:tabs>
          <w:tab w:leader="none" w:pos="178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 xml:space="preserve">any non-cash compensation charge arising from any grant of stock, stock options or other equity based awards; </w:t>
      </w:r>
      <w:r>
        <w:rPr>
          <w:rFonts w:ascii="Arial" w:cs="Arial" w:eastAsia="Arial" w:hAnsi="Arial"/>
          <w:sz w:val="17"/>
          <w:szCs w:val="17"/>
          <w:i w:val="1"/>
          <w:iCs w:val="1"/>
          <w:color w:val="auto"/>
        </w:rPr>
        <w:t>plus</w:t>
      </w:r>
    </w:p>
    <w:p>
      <w:pPr>
        <w:spacing w:after="0" w:line="128" w:lineRule="exact"/>
        <w:rPr>
          <w:rFonts w:ascii="Arial" w:cs="Arial" w:eastAsia="Arial" w:hAnsi="Arial"/>
          <w:sz w:val="17"/>
          <w:szCs w:val="17"/>
          <w:color w:val="auto"/>
        </w:rPr>
      </w:pPr>
    </w:p>
    <w:p>
      <w:pPr>
        <w:ind w:left="1780" w:hanging="392"/>
        <w:spacing w:after="0"/>
        <w:tabs>
          <w:tab w:leader="none" w:pos="178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 xml:space="preserve">Pre-Opening Expenses, to the extent such expense were deducted in computing Consolidated Net Income;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 xml:space="preserve">any goodwill or other intangible asset impairment charge;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477" w:name="page478"/>
    <w:bookmarkEnd w:id="477"/>
    <w:p>
      <w:pPr>
        <w:ind w:left="980" w:right="380" w:firstLine="408"/>
        <w:spacing w:after="0" w:line="277" w:lineRule="auto"/>
        <w:tabs>
          <w:tab w:leader="none" w:pos="1815" w:val="left"/>
        </w:tabs>
        <w:numPr>
          <w:ilvl w:val="0"/>
          <w:numId w:val="5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non-cash items increasing such Consolidated Net Income for such period, other than the accrual of revenue in the ordinary course of business,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on a consolidated basis and determined in accordance with U.S. GAAP.</w:t>
      </w:r>
    </w:p>
    <w:p>
      <w:pPr>
        <w:spacing w:after="0" w:line="225" w:lineRule="exact"/>
        <w:rPr>
          <w:sz w:val="20"/>
          <w:szCs w:val="20"/>
          <w:color w:val="auto"/>
        </w:rPr>
      </w:pPr>
    </w:p>
    <w:p>
      <w:pPr>
        <w:jc w:val="both"/>
        <w:ind w:right="140" w:firstLine="991"/>
        <w:spacing w:after="0" w:line="286" w:lineRule="auto"/>
        <w:rPr>
          <w:sz w:val="20"/>
          <w:szCs w:val="20"/>
          <w:color w:val="auto"/>
        </w:rPr>
      </w:pPr>
      <w:r>
        <w:rPr>
          <w:rFonts w:ascii="Arial" w:cs="Arial" w:eastAsia="Arial" w:hAnsi="Arial"/>
          <w:sz w:val="17"/>
          <w:szCs w:val="17"/>
          <w:color w:val="auto"/>
        </w:rPr>
        <w:t>Notwithstanding the preceding, the provision for taxes based on the income or profits of, and the depreciation and amortization and other non-cash expenses of, a Restricted Subsidiary of the Company will be added to Consolidated Net Income to compute EBITDA of the Company only to the extent that a corresponding amount was included in the calculation of Consolidated Net Income.</w:t>
      </w:r>
    </w:p>
    <w:p>
      <w:pPr>
        <w:spacing w:after="0" w:line="16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public sale or private issuance of Capital Stock (other than Disqualified Stock) of (1) the Company or (2) a direct or indirect parent of the Company to the extent the net proceeds from such issuance are contributed in cash to the common equity capital of the Company (in each case other than pursuant to a registration statement on Form S-8 or otherwise relating to equity securities issuable under any employee benefit plan of the Company).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the Company, any Subsidiary Guarantor or any Restricted Subsidiary of the Company that is a Significant Subsidiary, any (1) Casualty, (2) Condemnation or seizure (other than pursuant to foreclosure) or (3) settlement in lieu of clause (2) above, in each case having a fair market value in excess of US$20.0 million.</w:t>
      </w:r>
    </w:p>
    <w:p>
      <w:pPr>
        <w:spacing w:after="0" w:line="184"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United States Securities Exchange Act of 1934, as amended, and the rules and regulations of the SEC promulgated thereunder.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Contributions</w:t>
      </w:r>
      <w:r>
        <w:rPr>
          <w:rFonts w:ascii="Arial" w:cs="Arial" w:eastAsia="Arial" w:hAnsi="Arial"/>
          <w:sz w:val="18"/>
          <w:szCs w:val="18"/>
          <w:color w:val="auto"/>
        </w:rPr>
        <w:t>” means the net cash proceeds received by the Company subsequent to the Issue Date from:</w:t>
      </w:r>
    </w:p>
    <w:p>
      <w:pPr>
        <w:spacing w:after="0" w:line="117" w:lineRule="exact"/>
        <w:rPr>
          <w:sz w:val="20"/>
          <w:szCs w:val="20"/>
          <w:color w:val="auto"/>
        </w:rPr>
      </w:pPr>
    </w:p>
    <w:p>
      <w:pPr>
        <w:ind w:left="1820" w:hanging="432"/>
        <w:spacing w:after="0"/>
        <w:tabs>
          <w:tab w:leader="none" w:pos="182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117" w:lineRule="exact"/>
        <w:rPr>
          <w:rFonts w:ascii="Arial" w:cs="Arial" w:eastAsia="Arial" w:hAnsi="Arial"/>
          <w:sz w:val="18"/>
          <w:szCs w:val="18"/>
          <w:color w:val="auto"/>
        </w:rPr>
      </w:pPr>
    </w:p>
    <w:p>
      <w:pPr>
        <w:jc w:val="both"/>
        <w:ind w:left="980" w:right="200" w:firstLine="408"/>
        <w:spacing w:after="0" w:line="263" w:lineRule="auto"/>
        <w:tabs>
          <w:tab w:leader="none" w:pos="1771"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issuance or sale (other than to a Subsidiary of the Company or to any Company or Subsidiary management equity plan or stock option plan or any other management or employee benefit plan or agreement) by the Company of shares of its Capital Stock (other than Disqualified Stock) or a share capital increase;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each case, designated as Excluded Contributions on the date on which such Excluded Contributions were received pursuant to an Officer’s Certificate, and excluded from the calculation set forth in Section 4.07(a)(4)(C)(ii) hereof.</w:t>
      </w:r>
    </w:p>
    <w:p>
      <w:pPr>
        <w:spacing w:after="0" w:line="170" w:lineRule="exact"/>
        <w:rPr>
          <w:sz w:val="20"/>
          <w:szCs w:val="20"/>
          <w:color w:val="auto"/>
        </w:rPr>
      </w:pPr>
    </w:p>
    <w:p>
      <w:pPr>
        <w:jc w:val="both"/>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Subsidiary</w:t>
      </w:r>
      <w:r>
        <w:rPr>
          <w:rFonts w:ascii="Arial" w:cs="Arial" w:eastAsia="Arial" w:hAnsi="Arial"/>
          <w:sz w:val="16"/>
          <w:szCs w:val="16"/>
          <w:color w:val="auto"/>
        </w:rPr>
        <w:t>” means a Restricted Subsidiary of the Company which (a) is incorporated solely for the purpose of complying with the requirements of the government of Macau in connection with the conduct of the Permitted Business by the Company and its Restricted Subsidiaries, and (b) does not own, legally or beneficially, assets (including, without limitation, Indebtedness owed to it) which in aggregate have a book value greater than US$100,000 and has no third-party recourse Indebtedness or intercompany Indebtedness with the Company or any other Restricted Subsidiary.</w:t>
      </w:r>
    </w:p>
    <w:p>
      <w:pPr>
        <w:spacing w:after="0" w:line="157"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the Board of Directors of the Company (unless otherwise provided in this Indenture).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3" w:right="439" w:bottom="1440" w:gutter="0" w:footer="0" w:header="0"/>
        </w:sectPr>
      </w:pPr>
    </w:p>
    <w:bookmarkStart w:id="478" w:name="page479"/>
    <w:bookmarkEnd w:id="478"/>
    <w:p>
      <w:pPr>
        <w:ind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17" w:lineRule="exact"/>
        <w:rPr>
          <w:sz w:val="20"/>
          <w:szCs w:val="20"/>
          <w:color w:val="auto"/>
        </w:rPr>
      </w:pPr>
    </w:p>
    <w:p>
      <w:pPr>
        <w:ind w:left="980" w:right="200" w:firstLine="408"/>
        <w:spacing w:after="0" w:line="296" w:lineRule="auto"/>
        <w:tabs>
          <w:tab w:leader="none" w:pos="1771" w:val="left"/>
        </w:tabs>
        <w:numPr>
          <w:ilvl w:val="0"/>
          <w:numId w:val="584"/>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53" w:lineRule="exact"/>
        <w:rPr>
          <w:rFonts w:ascii="Arial" w:cs="Arial" w:eastAsia="Arial" w:hAnsi="Arial"/>
          <w:sz w:val="16"/>
          <w:szCs w:val="16"/>
          <w:color w:val="auto"/>
        </w:rPr>
      </w:pPr>
    </w:p>
    <w:p>
      <w:pPr>
        <w:ind w:left="980" w:right="760" w:firstLine="408"/>
        <w:spacing w:after="0" w:line="308" w:lineRule="auto"/>
        <w:tabs>
          <w:tab w:leader="none" w:pos="1771" w:val="left"/>
        </w:tabs>
        <w:numPr>
          <w:ilvl w:val="0"/>
          <w:numId w:val="584"/>
        </w:numPr>
        <w:rPr>
          <w:rFonts w:ascii="Arial" w:cs="Arial" w:eastAsia="Arial" w:hAnsi="Arial"/>
          <w:sz w:val="17"/>
          <w:szCs w:val="17"/>
          <w:color w:val="auto"/>
        </w:rPr>
      </w:pPr>
      <w:r>
        <w:rPr>
          <w:rFonts w:ascii="Arial" w:cs="Arial" w:eastAsia="Arial" w:hAnsi="Arial"/>
          <w:sz w:val="17"/>
          <w:szCs w:val="17"/>
          <w:color w:val="auto"/>
        </w:rPr>
        <w:t>the EBITDA attributable to discontinued operations, as determined in accordance with U.S. GAAP, and operations or businesses (and ownership interests therein) disposed of prior to the Calculation Date, will be excluded;</w:t>
      </w:r>
    </w:p>
    <w:p>
      <w:pPr>
        <w:spacing w:after="0" w:line="38" w:lineRule="exact"/>
        <w:rPr>
          <w:rFonts w:ascii="Arial" w:cs="Arial" w:eastAsia="Arial" w:hAnsi="Arial"/>
          <w:sz w:val="17"/>
          <w:szCs w:val="17"/>
          <w:color w:val="auto"/>
        </w:rPr>
      </w:pPr>
    </w:p>
    <w:p>
      <w:pPr>
        <w:jc w:val="both"/>
        <w:ind w:left="980" w:right="380" w:firstLine="408"/>
        <w:spacing w:after="0" w:line="259" w:lineRule="auto"/>
        <w:tabs>
          <w:tab w:leader="none" w:pos="1771" w:val="left"/>
        </w:tabs>
        <w:numPr>
          <w:ilvl w:val="0"/>
          <w:numId w:val="584"/>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U.S.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78" w:lineRule="exact"/>
        <w:rPr>
          <w:rFonts w:ascii="Arial" w:cs="Arial" w:eastAsia="Arial" w:hAnsi="Arial"/>
          <w:sz w:val="18"/>
          <w:szCs w:val="18"/>
          <w:color w:val="auto"/>
        </w:rPr>
      </w:pPr>
    </w:p>
    <w:p>
      <w:pPr>
        <w:ind w:left="980" w:right="260" w:firstLine="408"/>
        <w:spacing w:after="0" w:line="277" w:lineRule="auto"/>
        <w:tabs>
          <w:tab w:leader="none" w:pos="1771" w:val="left"/>
        </w:tabs>
        <w:numPr>
          <w:ilvl w:val="0"/>
          <w:numId w:val="584"/>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62" w:lineRule="exact"/>
        <w:rPr>
          <w:rFonts w:ascii="Arial" w:cs="Arial" w:eastAsia="Arial" w:hAnsi="Arial"/>
          <w:sz w:val="18"/>
          <w:szCs w:val="18"/>
          <w:color w:val="auto"/>
        </w:rPr>
      </w:pPr>
    </w:p>
    <w:p>
      <w:pPr>
        <w:ind w:left="980" w:right="100" w:firstLine="408"/>
        <w:spacing w:after="0" w:line="277" w:lineRule="auto"/>
        <w:tabs>
          <w:tab w:leader="none" w:pos="1771" w:val="left"/>
        </w:tabs>
        <w:numPr>
          <w:ilvl w:val="0"/>
          <w:numId w:val="584"/>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62" w:lineRule="exact"/>
        <w:rPr>
          <w:rFonts w:ascii="Arial" w:cs="Arial" w:eastAsia="Arial" w:hAnsi="Arial"/>
          <w:sz w:val="18"/>
          <w:szCs w:val="18"/>
          <w:color w:val="auto"/>
        </w:rPr>
      </w:pPr>
    </w:p>
    <w:p>
      <w:pPr>
        <w:jc w:val="both"/>
        <w:ind w:left="980" w:right="40" w:firstLine="408"/>
        <w:spacing w:after="0" w:line="311" w:lineRule="auto"/>
        <w:tabs>
          <w:tab w:leader="none" w:pos="1771" w:val="left"/>
        </w:tabs>
        <w:numPr>
          <w:ilvl w:val="0"/>
          <w:numId w:val="584"/>
        </w:numPr>
        <w:rPr>
          <w:rFonts w:ascii="Arial" w:cs="Arial" w:eastAsia="Arial" w:hAnsi="Arial"/>
          <w:sz w:val="16"/>
          <w:szCs w:val="16"/>
          <w:color w:val="auto"/>
        </w:rPr>
      </w:pPr>
      <w:r>
        <w:rPr>
          <w:rFonts w:ascii="Arial" w:cs="Arial" w:eastAsia="Arial" w:hAnsi="Arial"/>
          <w:sz w:val="16"/>
          <w:szCs w:val="16"/>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117" w:lineRule="exact"/>
        <w:rPr>
          <w:sz w:val="20"/>
          <w:szCs w:val="20"/>
          <w:color w:val="auto"/>
        </w:rPr>
      </w:pPr>
    </w:p>
    <w:p>
      <w:pPr>
        <w:ind w:left="980" w:right="500" w:firstLine="408"/>
        <w:spacing w:after="0" w:line="291" w:lineRule="auto"/>
        <w:tabs>
          <w:tab w:leader="none" w:pos="1771" w:val="left"/>
        </w:tabs>
        <w:numPr>
          <w:ilvl w:val="1"/>
          <w:numId w:val="585"/>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discount (but not (i) debt issuance costs, commissions, fees and expenses or</w:t>
      </w:r>
    </w:p>
    <w:p>
      <w:pPr>
        <w:ind w:left="980" w:right="20" w:firstLine="7"/>
        <w:spacing w:after="0" w:line="273" w:lineRule="auto"/>
        <w:tabs>
          <w:tab w:leader="none" w:pos="1245" w:val="left"/>
        </w:tabs>
        <w:numPr>
          <w:ilvl w:val="0"/>
          <w:numId w:val="586"/>
        </w:numPr>
        <w:rPr>
          <w:rFonts w:ascii="Arial" w:cs="Arial" w:eastAsia="Arial" w:hAnsi="Arial"/>
          <w:sz w:val="17"/>
          <w:szCs w:val="17"/>
          <w:color w:val="auto"/>
        </w:rPr>
      </w:pPr>
      <w:r>
        <w:rPr>
          <w:rFonts w:ascii="Arial" w:cs="Arial" w:eastAsia="Arial" w:hAnsi="Arial"/>
          <w:sz w:val="17"/>
          <w:szCs w:val="17"/>
          <w:color w:val="auto"/>
        </w:rPr>
        <w:t xml:space="preserve">amortization of discount on the Intercompany Note Proceeds Loans, if any),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7"/>
          <w:szCs w:val="17"/>
          <w:i w:val="1"/>
          <w:iCs w:val="1"/>
          <w:color w:val="auto"/>
        </w:rPr>
        <w:t>plus</w:t>
      </w:r>
    </w:p>
    <w:p>
      <w:pPr>
        <w:spacing w:after="0" w:line="68" w:lineRule="exact"/>
        <w:rPr>
          <w:rFonts w:ascii="Arial" w:cs="Arial" w:eastAsia="Arial" w:hAnsi="Arial"/>
          <w:sz w:val="17"/>
          <w:szCs w:val="17"/>
          <w:color w:val="auto"/>
        </w:rPr>
      </w:pPr>
    </w:p>
    <w:p>
      <w:pPr>
        <w:ind w:left="1780" w:hanging="392"/>
        <w:spacing w:after="0"/>
        <w:tabs>
          <w:tab w:leader="none" w:pos="1780" w:val="left"/>
        </w:tabs>
        <w:numPr>
          <w:ilvl w:val="1"/>
          <w:numId w:val="586"/>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that was capitalized during such period; </w:t>
      </w:r>
      <w:r>
        <w:rPr>
          <w:rFonts w:ascii="Arial" w:cs="Arial" w:eastAsia="Arial" w:hAnsi="Arial"/>
          <w:sz w:val="16"/>
          <w:szCs w:val="16"/>
          <w:i w:val="1"/>
          <w:iCs w:val="1"/>
          <w:color w:val="auto"/>
        </w:rPr>
        <w:t>plus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3" w:right="479" w:bottom="1440" w:gutter="0" w:footer="0" w:header="0"/>
        </w:sectPr>
      </w:pPr>
    </w:p>
    <w:bookmarkStart w:id="479" w:name="page480"/>
    <w:bookmarkEnd w:id="479"/>
    <w:p>
      <w:pPr>
        <w:ind w:left="984" w:right="20" w:firstLine="408"/>
        <w:spacing w:after="0" w:line="286" w:lineRule="auto"/>
        <w:tabs>
          <w:tab w:leader="none" w:pos="1775" w:val="left"/>
        </w:tabs>
        <w:numPr>
          <w:ilvl w:val="0"/>
          <w:numId w:val="5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interest on Indebtedness of another Person that is guaranteed by such Person or one of its Restricted Subsidiaries or secured by a Lien on assets of such Person or one of its Restricted Subsidiaries (other than Indebtedness secured by a Lien of the type specified in clause (22) of the definition of “Permitted Liens”), whether or not such Guarantee or Lien is called upon; </w:t>
      </w:r>
      <w:r>
        <w:rPr>
          <w:rFonts w:ascii="Arial" w:cs="Arial" w:eastAsia="Arial" w:hAnsi="Arial"/>
          <w:sz w:val="17"/>
          <w:szCs w:val="17"/>
          <w:i w:val="1"/>
          <w:iCs w:val="1"/>
          <w:color w:val="auto"/>
        </w:rPr>
        <w:t>plus</w:t>
      </w:r>
    </w:p>
    <w:p>
      <w:pPr>
        <w:spacing w:after="0" w:line="57" w:lineRule="exact"/>
        <w:rPr>
          <w:rFonts w:ascii="Arial" w:cs="Arial" w:eastAsia="Arial" w:hAnsi="Arial"/>
          <w:sz w:val="17"/>
          <w:szCs w:val="17"/>
          <w:color w:val="auto"/>
        </w:rPr>
      </w:pPr>
    </w:p>
    <w:p>
      <w:pPr>
        <w:ind w:left="984" w:right="80" w:firstLine="408"/>
        <w:spacing w:after="0" w:line="275" w:lineRule="auto"/>
        <w:tabs>
          <w:tab w:leader="none" w:pos="1775" w:val="left"/>
        </w:tabs>
        <w:numPr>
          <w:ilvl w:val="0"/>
          <w:numId w:val="587"/>
        </w:numPr>
        <w:rPr>
          <w:rFonts w:ascii="Arial" w:cs="Arial" w:eastAsia="Arial" w:hAnsi="Arial"/>
          <w:sz w:val="17"/>
          <w:szCs w:val="17"/>
          <w:color w:val="auto"/>
        </w:rPr>
      </w:pPr>
      <w:r>
        <w:rPr>
          <w:rFonts w:ascii="Arial" w:cs="Arial" w:eastAsia="Arial" w:hAnsi="Arial"/>
          <w:sz w:val="17"/>
          <w:szCs w:val="17"/>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such Person (other than Disqualified Stock) or to such Person or a Restricted Subsidiary of such Person, </w:t>
      </w:r>
      <w:r>
        <w:rPr>
          <w:rFonts w:ascii="Arial" w:cs="Arial" w:eastAsia="Arial" w:hAnsi="Arial"/>
          <w:sz w:val="17"/>
          <w:szCs w:val="17"/>
          <w:i w:val="1"/>
          <w:iCs w:val="1"/>
          <w:color w:val="auto"/>
        </w:rPr>
        <w:t>times</w:t>
      </w:r>
      <w:r>
        <w:rPr>
          <w:rFonts w:ascii="Arial" w:cs="Arial" w:eastAsia="Arial" w:hAnsi="Arial"/>
          <w:sz w:val="17"/>
          <w:szCs w:val="17"/>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U.S. GAAP.</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Authorities</w:t>
      </w:r>
      <w:r>
        <w:rPr>
          <w:rFonts w:ascii="Arial" w:cs="Arial" w:eastAsia="Arial" w:hAnsi="Arial"/>
          <w:sz w:val="16"/>
          <w:szCs w:val="16"/>
          <w:color w:val="auto"/>
        </w:rPr>
        <w:t>” means the applicable gaming board, commission, or other governmental gaming regulatory body or agency which</w:t>
      </w:r>
    </w:p>
    <w:p>
      <w:pPr>
        <w:spacing w:after="0" w:line="46" w:lineRule="exact"/>
        <w:rPr>
          <w:sz w:val="20"/>
          <w:szCs w:val="20"/>
          <w:color w:val="auto"/>
        </w:rPr>
      </w:pPr>
    </w:p>
    <w:p>
      <w:pPr>
        <w:ind w:left="4" w:right="260" w:hanging="4"/>
        <w:spacing w:after="0" w:line="253" w:lineRule="auto"/>
        <w:tabs>
          <w:tab w:leader="none" w:pos="249" w:val="left"/>
        </w:tabs>
        <w:numPr>
          <w:ilvl w:val="0"/>
          <w:numId w:val="588"/>
        </w:numPr>
        <w:rPr>
          <w:rFonts w:ascii="Arial" w:cs="Arial" w:eastAsia="Arial" w:hAnsi="Arial"/>
          <w:sz w:val="18"/>
          <w:szCs w:val="18"/>
          <w:color w:val="auto"/>
        </w:rPr>
      </w:pPr>
      <w:r>
        <w:rPr>
          <w:rFonts w:ascii="Arial" w:cs="Arial" w:eastAsia="Arial" w:hAnsi="Arial"/>
          <w:sz w:val="18"/>
          <w:szCs w:val="18"/>
          <w:color w:val="auto"/>
        </w:rPr>
        <w:t>has, or may at any time after issuance of the Notes have, jurisdiction over the gaming activities (i) at the Studio City Casino, (ii) of Melco Resorts Macau (or any other operator of the Studio City Casino including Melco Resorts or any of its Affiliates), or (iii) of the Company or any of its Subsidiaries, or any successor to such authority or (b) is, or may at any time after the issuance of the Notes be, responsible for interpreting, administering and enforcing the Gaming Laws.</w:t>
      </w:r>
    </w:p>
    <w:p>
      <w:pPr>
        <w:spacing w:after="0" w:line="193" w:lineRule="exact"/>
        <w:rPr>
          <w:sz w:val="20"/>
          <w:szCs w:val="20"/>
          <w:color w:val="auto"/>
        </w:rPr>
      </w:pPr>
    </w:p>
    <w:p>
      <w:pPr>
        <w:ind w:left="4" w:right="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Laws</w:t>
      </w:r>
      <w:r>
        <w:rPr>
          <w:rFonts w:ascii="Arial" w:cs="Arial" w:eastAsia="Arial" w:hAnsi="Arial"/>
          <w:sz w:val="18"/>
          <w:szCs w:val="18"/>
          <w:color w:val="auto"/>
        </w:rPr>
        <w:t>” means all applicable constitutions, treatises, resolutions, laws, regulations, instructions and statutes pursuant to which any Gaming Authority possesses regulatory, licensing or permit authority over gaming, gambling or casino activities, and all rules, rulings, orders, ordinances, regulations of any Gaming Authority applicable to the gambling, casino, gaming businesses or activities (i) at Studio City Casino, (ii) of Melco Resorts Macau (or any other operator of the Studio City Casino including Melco Resorts or any of its Affiliates), or (iii) of the Company or any of its Subsidiaries in any jurisdiction, as in effect from time to time, including the policies, interpretations and administration thereof by the Gaming Authorities.</w:t>
      </w:r>
    </w:p>
    <w:p>
      <w:pPr>
        <w:spacing w:after="0" w:line="192" w:lineRule="exact"/>
        <w:rPr>
          <w:sz w:val="20"/>
          <w:szCs w:val="20"/>
          <w:color w:val="auto"/>
        </w:rPr>
      </w:pPr>
    </w:p>
    <w:p>
      <w:pPr>
        <w:ind w:left="4"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Licenses</w:t>
      </w:r>
      <w:r>
        <w:rPr>
          <w:rFonts w:ascii="Arial" w:cs="Arial" w:eastAsia="Arial" w:hAnsi="Arial"/>
          <w:sz w:val="16"/>
          <w:szCs w:val="16"/>
          <w:color w:val="auto"/>
        </w:rPr>
        <w:t>” means any concession, subconcession, license, permit, franchise or other authorization at any time required under any Gaming Laws to own, lease, operate or otherwise conduct the gaming business (i) at Studio City Casino or (ii) of Melco Resorts Macau.</w:t>
      </w:r>
    </w:p>
    <w:p>
      <w:pPr>
        <w:spacing w:after="0" w:line="124"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 Legend</w:t>
      </w:r>
      <w:r>
        <w:rPr>
          <w:rFonts w:ascii="Arial" w:cs="Arial" w:eastAsia="Arial" w:hAnsi="Arial"/>
          <w:sz w:val="18"/>
          <w:szCs w:val="18"/>
          <w:color w:val="auto"/>
        </w:rPr>
        <w:t>” means the legend set forth in Section 2.06(f)(2) hereof, which is required to be placed on all Global Notes issued under this Indenture.</w:t>
      </w:r>
    </w:p>
    <w:p>
      <w:pPr>
        <w:spacing w:after="0" w:line="170"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individually and collectively, each of the Restricted Global Notes and the Unrestricted Global Notes deposited with or on behalf of and registered in the name of the Depository or its nominee, substantially in the form of Exhibit A hereto and that bears the Global Note Legend and that has the “Schedule of Exchanges of Interests in the Global Note” attached thereto, issued in accordance with Section 2.01, 2.06(b)(3), 2.06(b)(4), and with Section 2.06(d)(2) or 2.06(f) hereof.</w:t>
      </w:r>
    </w:p>
    <w:p>
      <w:pPr>
        <w:spacing w:after="0" w:line="187" w:lineRule="exact"/>
        <w:rPr>
          <w:sz w:val="20"/>
          <w:szCs w:val="20"/>
          <w:color w:val="auto"/>
        </w:rPr>
      </w:pPr>
    </w:p>
    <w:p>
      <w:pPr>
        <w:ind w:left="4"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Macau SAR or any other territory,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4"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3" w:right="459" w:bottom="1440" w:gutter="0" w:footer="0" w:header="0"/>
        </w:sectPr>
      </w:pPr>
    </w:p>
    <w:bookmarkStart w:id="480" w:name="page481"/>
    <w:bookmarkEnd w:id="48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17" w:lineRule="exact"/>
        <w:rPr>
          <w:sz w:val="20"/>
          <w:szCs w:val="20"/>
          <w:color w:val="auto"/>
        </w:rPr>
      </w:pPr>
    </w:p>
    <w:p>
      <w:pPr>
        <w:ind w:left="980" w:firstLine="408"/>
        <w:spacing w:after="0" w:line="277" w:lineRule="auto"/>
        <w:tabs>
          <w:tab w:leader="none" w:pos="1771" w:val="left"/>
        </w:tabs>
        <w:numPr>
          <w:ilvl w:val="0"/>
          <w:numId w:val="589"/>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980" w:right="860" w:firstLine="408"/>
        <w:spacing w:after="0" w:line="277" w:lineRule="auto"/>
        <w:tabs>
          <w:tab w:leader="none" w:pos="1771" w:val="left"/>
        </w:tabs>
        <w:numPr>
          <w:ilvl w:val="0"/>
          <w:numId w:val="589"/>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or commodity prices.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Note is registered.</w:t>
      </w:r>
    </w:p>
    <w:p>
      <w:pPr>
        <w:spacing w:after="0" w:line="225" w:lineRule="exact"/>
        <w:rPr>
          <w:sz w:val="20"/>
          <w:szCs w:val="20"/>
          <w:color w:val="auto"/>
        </w:rPr>
      </w:pPr>
    </w:p>
    <w:p>
      <w:pPr>
        <w:jc w:val="both"/>
        <w:ind w:right="40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Incur</w:t>
      </w:r>
      <w:r>
        <w:rPr>
          <w:rFonts w:ascii="Arial" w:cs="Arial" w:eastAsia="Arial" w:hAnsi="Arial"/>
          <w:sz w:val="16"/>
          <w:szCs w:val="16"/>
          <w:color w:val="auto"/>
        </w:rPr>
        <w:t>” means, with respect to any Indebtedness, Capital Stock or other Obligation of any Person, to create, issue, assume, guarantee, incur (by conversion, exchange, or otherwise) or otherwise become liable in respect of such Indebtedness, Capital Stock or other Obligation or the recording, as required pursuant to U.S. GAAP or otherwise, of any such Indebtedness or other Obligation on the balance sheet of such Person.</w:t>
      </w:r>
    </w:p>
    <w:p>
      <w:pPr>
        <w:spacing w:after="0" w:line="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Indebtedness or Capital Stock otherwise Incurred by a Person before it becomes a Restricted Subsidiary of the Company shall be deemed to be Incurred at the time at which such Person becomes a Restricted Subsidiary of the Company. The accretion of original issue discount, the accrual of interest, the accrual of dividends, the payment of interest in the form of additional Indebtedness and the payment of dividends on Preferred Stock in the form of additional shares of Preferred Stock shall not be considered an Incurrence of Indebtedness.</w:t>
      </w:r>
    </w:p>
    <w:p>
      <w:pPr>
        <w:spacing w:after="0" w:line="176"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62" w:lineRule="exact"/>
        <w:rPr>
          <w:sz w:val="20"/>
          <w:szCs w:val="20"/>
          <w:color w:val="auto"/>
        </w:rPr>
      </w:pPr>
    </w:p>
    <w:p>
      <w:pPr>
        <w:ind w:left="1820" w:hanging="432"/>
        <w:spacing w:after="0"/>
        <w:tabs>
          <w:tab w:leader="none" w:pos="182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102" w:lineRule="exact"/>
        <w:rPr>
          <w:rFonts w:ascii="Arial" w:cs="Arial" w:eastAsia="Arial" w:hAnsi="Arial"/>
          <w:sz w:val="17"/>
          <w:szCs w:val="17"/>
          <w:color w:val="auto"/>
        </w:rPr>
      </w:pPr>
    </w:p>
    <w:p>
      <w:pPr>
        <w:ind w:left="1820" w:hanging="432"/>
        <w:spacing w:after="0"/>
        <w:tabs>
          <w:tab w:leader="none" w:pos="182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17" w:lineRule="exact"/>
        <w:rPr>
          <w:rFonts w:ascii="Arial" w:cs="Arial" w:eastAsia="Arial" w:hAnsi="Arial"/>
          <w:sz w:val="18"/>
          <w:szCs w:val="18"/>
          <w:color w:val="auto"/>
        </w:rPr>
      </w:pPr>
    </w:p>
    <w:p>
      <w:pPr>
        <w:ind w:left="980" w:right="380" w:firstLine="408"/>
        <w:spacing w:after="0" w:line="277" w:lineRule="auto"/>
        <w:tabs>
          <w:tab w:leader="none" w:pos="1771" w:val="left"/>
        </w:tabs>
        <w:numPr>
          <w:ilvl w:val="0"/>
          <w:numId w:val="590"/>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one year after such property is acquired or such services are completed; or</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if and to the extent any of the preceding items (other than letters of credit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71"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Notwithstanding the foregoing, “Indebtedness” will not include (i) any capital commitments, deposits or advances from customers or any contingent obligations to refund payments (including deposits) to customers (or any guarantee thereof), (ii) obligations of the Company or a Restricted Subsidiary of the Company to pay the deferred and unpaid purchase price of property or services due to suppliers of equipment or other assets (including parts thereof) not more than one year after such property is acquired or such services are completed and the amount of unpaid purchase price retained by the Company or any of its Restricted Subsidiaries in the ordinary course of business in connection with an acquisition of equipment or other assets (including parts thereof) pending full operation or contingent on certain conditions during a warranty period of such equipment or assets in accordance with the terms of the acquisition; </w:t>
      </w:r>
      <w:r>
        <w:rPr>
          <w:rFonts w:ascii="Arial" w:cs="Arial" w:eastAsia="Arial" w:hAnsi="Arial"/>
          <w:sz w:val="16"/>
          <w:szCs w:val="16"/>
          <w:i w:val="1"/>
          <w:iCs w:val="1"/>
          <w:color w:val="auto"/>
        </w:rPr>
        <w:t>provided that</w:t>
      </w:r>
      <w:r>
        <w:rPr>
          <w:rFonts w:ascii="Arial" w:cs="Arial" w:eastAsia="Arial" w:hAnsi="Arial"/>
          <w:sz w:val="16"/>
          <w:szCs w:val="16"/>
          <w:color w:val="auto"/>
        </w:rPr>
        <w:t>, in each case of clause (i) and (ii), such Indebtedness is not reflected as borrowings on the consolidated balance sheet of the Company (contingent obligations and commitments referred to in a footnote to financial statements and not otherwise reflected as borrowings on the balance sheet will not be deemed to be reflected on such balance sheet), or (iii) any lease of property which would be considered an operating lease under U.S. GAAP and any guarantee given by the Company or a Restricted Subsidiary in the ordinary course of business solely in connection with, or in respect of, the obligations of the Company or a Restricted Subsidiary under any operating lease.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3" w:right="439" w:bottom="1440" w:gutter="0" w:footer="0" w:header="0"/>
        </w:sectPr>
      </w:pPr>
    </w:p>
    <w:bookmarkStart w:id="481" w:name="page482"/>
    <w:bookmarkEnd w:id="481"/>
    <w:p>
      <w:pPr>
        <w:ind w:right="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of Indebtedness of any Person at any time shall be the outstanding balance at such time of all unconditional obligations as described above and, with respect to contingent obligations, the maximum liability upon the occurrence of the contingency giving rise to the obligation;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89" w:lineRule="exact"/>
        <w:rPr>
          <w:sz w:val="20"/>
          <w:szCs w:val="20"/>
          <w:color w:val="auto"/>
        </w:rPr>
      </w:pPr>
    </w:p>
    <w:p>
      <w:pPr>
        <w:ind w:left="2400" w:right="20" w:hanging="433"/>
        <w:spacing w:after="0" w:line="263" w:lineRule="auto"/>
        <w:tabs>
          <w:tab w:leader="none" w:pos="240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amount outstanding at any time of any Indebtedness issued with original issue discount is the face amount of such Indebtedness less the remaining unamortized portion of the original issue discount of such Indebtedness at such time as determined in conformity with U.S. GAAP;</w:t>
      </w:r>
    </w:p>
    <w:p>
      <w:pPr>
        <w:spacing w:after="0" w:line="89" w:lineRule="exact"/>
        <w:rPr>
          <w:rFonts w:ascii="Arial" w:cs="Arial" w:eastAsia="Arial" w:hAnsi="Arial"/>
          <w:sz w:val="18"/>
          <w:szCs w:val="18"/>
          <w:color w:val="auto"/>
        </w:rPr>
      </w:pPr>
    </w:p>
    <w:p>
      <w:pPr>
        <w:ind w:left="2400" w:right="60" w:hanging="433"/>
        <w:spacing w:after="0" w:line="263" w:lineRule="auto"/>
        <w:tabs>
          <w:tab w:leader="none" w:pos="240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money borrowed and set aside at the time of the Incurrence of any Indebtedness in order to prefund the payment of the interest on such Indebtedness shall not be deemed to be “Indebtedness” so long as such money is held to secure the payment of such interest; and</w:t>
      </w:r>
    </w:p>
    <w:p>
      <w:pPr>
        <w:spacing w:after="0" w:line="89" w:lineRule="exact"/>
        <w:rPr>
          <w:rFonts w:ascii="Arial" w:cs="Arial" w:eastAsia="Arial" w:hAnsi="Arial"/>
          <w:sz w:val="18"/>
          <w:szCs w:val="18"/>
          <w:color w:val="auto"/>
        </w:rPr>
      </w:pPr>
    </w:p>
    <w:p>
      <w:pPr>
        <w:ind w:left="2400" w:hanging="433"/>
        <w:spacing w:after="0" w:line="342" w:lineRule="auto"/>
        <w:tabs>
          <w:tab w:leader="none" w:pos="2400" w:val="left"/>
        </w:tabs>
        <w:numPr>
          <w:ilvl w:val="0"/>
          <w:numId w:val="591"/>
        </w:numPr>
        <w:rPr>
          <w:rFonts w:ascii="Arial" w:cs="Arial" w:eastAsia="Arial" w:hAnsi="Arial"/>
          <w:sz w:val="16"/>
          <w:szCs w:val="16"/>
          <w:color w:val="auto"/>
        </w:rPr>
      </w:pPr>
      <w:r>
        <w:rPr>
          <w:rFonts w:ascii="Arial" w:cs="Arial" w:eastAsia="Arial" w:hAnsi="Arial"/>
          <w:sz w:val="16"/>
          <w:szCs w:val="16"/>
          <w:color w:val="auto"/>
        </w:rPr>
        <w:t>that the amount of or the principal amount of Indebtedness with respect to any Hedging Obligation shall be equal to the net amount payable if such Hedging Obligation terminated at or prior to that time due to a default by such Person.</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Financial Advisor</w:t>
      </w:r>
      <w:r>
        <w:rPr>
          <w:rFonts w:ascii="Arial" w:cs="Arial" w:eastAsia="Arial" w:hAnsi="Arial"/>
          <w:sz w:val="18"/>
          <w:szCs w:val="18"/>
          <w:color w:val="auto"/>
        </w:rPr>
        <w:t>” means accounting, appraisal or investment banking firm of international standing.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Notes</w:t>
      </w:r>
      <w:r>
        <w:rPr>
          <w:rFonts w:ascii="Arial" w:cs="Arial" w:eastAsia="Arial" w:hAnsi="Arial"/>
          <w:sz w:val="17"/>
          <w:szCs w:val="17"/>
          <w:color w:val="auto"/>
        </w:rPr>
        <w:t>” means the first US$750,000,000 aggregate principal amount of Notes issued under this Indenture on the date hereof.</w:t>
      </w:r>
    </w:p>
    <w:p>
      <w:pPr>
        <w:spacing w:after="0" w:line="237"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Deutsche Bank AG, Singapore Branch, Morgan Stanley &amp; Co. LLC, Bank of China Limited, Macau Branch, Bank of Communications Co., Ltd. Macau Branch, BOCI Asia Limited, Industrial and Commercial Bank of China (Macau) Limited and Mizuho Securities Asia Limited.</w:t>
      </w:r>
    </w:p>
    <w:p>
      <w:pPr>
        <w:spacing w:after="0" w:line="184"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Note Proceeds Loans</w:t>
      </w:r>
      <w:r>
        <w:rPr>
          <w:rFonts w:ascii="Arial" w:cs="Arial" w:eastAsia="Arial" w:hAnsi="Arial"/>
          <w:sz w:val="18"/>
          <w:szCs w:val="18"/>
          <w:color w:val="auto"/>
        </w:rPr>
        <w:t>” means one or more intercompany loans, if any, between the Company and its Subsidiaries pursuant to which the Company on-lends to its Subsidiaries the net proceeds from the issuance of the Notes in accordance with the terms of the definitive documents with respect to the Notes, as amended from time to time, including in connection with any extension, additional issuance or refinancing thereof.</w:t>
      </w:r>
    </w:p>
    <w:p>
      <w:pPr>
        <w:spacing w:after="0" w:line="18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Status</w:t>
      </w:r>
      <w:r>
        <w:rPr>
          <w:rFonts w:ascii="Arial" w:cs="Arial" w:eastAsia="Arial" w:hAnsi="Arial"/>
          <w:sz w:val="18"/>
          <w:szCs w:val="18"/>
          <w:color w:val="auto"/>
        </w:rPr>
        <w:t>” shall apply at any time the Notes receive (i) a rating equal to or higher than BBB- (or the equivalent) from S&amp;P and (ii) a rating equal to or higher than Baa3 (or the equivalent) from Moody’s.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3" w:right="459" w:bottom="1440" w:gutter="0" w:footer="0" w:header="0"/>
        </w:sectPr>
      </w:pPr>
    </w:p>
    <w:bookmarkStart w:id="482" w:name="page483"/>
    <w:bookmarkEnd w:id="482"/>
    <w:p>
      <w:pPr>
        <w:ind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and consultants made in the ordinary course of business), purchases or other acquisitions for consideration of Indebtedness, Equity Interests or other securities, together with all items that are or would be classified as investments on a balance sheet prepared in accordance with U.S.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will be deemed to have made an Investment on the date of any such sale or disposition equal to the Fair Market Value of the Company’s Investments in such Subsidiary that were not sold or disposed of in an amount determined as provided in the final paragraph of Section 4.07 hereof. The acquisition by the Company or any Subsidiary of the Company of a Person that holds an Investment in a third Person will be deemed to be an Investment by the Company or such Subsidiary in such third Person in an amount equal to the Fair Market Value of the Investments held by the acquired Person in such third Person in an amount determined as provided in the final paragraph of Section 4.07 hereof. Except as otherwise provided in this Indenture, the amount of an Investment will be determined at the time the Investment is made and without giving effect to subsequent changes in value.</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(other than any Additional Notes) are originally issued.</w:t>
      </w:r>
    </w:p>
    <w:p>
      <w:pPr>
        <w:spacing w:after="0" w:line="225" w:lineRule="exact"/>
        <w:rPr>
          <w:sz w:val="20"/>
          <w:szCs w:val="20"/>
          <w:color w:val="auto"/>
        </w:rPr>
      </w:pPr>
    </w:p>
    <w:p>
      <w:pPr>
        <w:ind w:right="16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Land Concession</w:t>
      </w:r>
      <w:r>
        <w:rPr>
          <w:rFonts w:ascii="Arial" w:cs="Arial" w:eastAsia="Arial" w:hAnsi="Arial"/>
          <w:sz w:val="17"/>
          <w:szCs w:val="17"/>
          <w:color w:val="auto"/>
        </w:rPr>
        <w:t>” means the land concession by way of lease, for a period of 25 years, subject to renewal as of October 17, 2001 for a plot of land situated in Cotai, Macau, described with the Macau Immovable Property Registry under No. 23059 and registered in Studio City Developments Limited’s name under inscription no. 26642 of Book F, titled by Dispatch of the Secretary for Public Works and Transportation no. 100/2001 of October 9, 2001, published in the Macau Official Gazette no. 42 of October 17, 2001, as amended by Dispatch of the Secretary for Public Works and Transportation no. 31/2012 of July 19, 2012, published in the Macau Official Gazette no. 30 of July 25, 2012, and by Dispatch of Secretary for Public Works and Transportation no. 92/2015 of September 10, 2015, published in the Macau Official Gazette no. 38 of September 23, 2015 and including any other amendments from time to time to such land concession.</w:t>
      </w:r>
    </w:p>
    <w:p>
      <w:pPr>
        <w:spacing w:after="0" w:line="177"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 means a Saturday, a Sunday or a day on which banking institutions in the City of New York, New York, Hong Kong, Macau, the British Virgin Islands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“Measurement Date” </w:t>
      </w:r>
      <w:r>
        <w:rPr>
          <w:rFonts w:ascii="Arial" w:cs="Arial" w:eastAsia="Arial" w:hAnsi="Arial"/>
          <w:sz w:val="18"/>
          <w:szCs w:val="18"/>
          <w:color w:val="auto"/>
        </w:rPr>
        <w:t>means February 11, 2019.</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w:t>
      </w:r>
      <w:r>
        <w:rPr>
          <w:rFonts w:ascii="Arial" w:cs="Arial" w:eastAsia="Arial" w:hAnsi="Arial"/>
          <w:sz w:val="18"/>
          <w:szCs w:val="18"/>
          <w:color w:val="auto"/>
        </w:rPr>
        <w:t>” means Melco Resorts &amp; Entertainment Limited, an exempted company incorporated with limited liability under the laws of the Cayman Islands.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 Macau</w:t>
      </w:r>
      <w:r>
        <w:rPr>
          <w:rFonts w:ascii="Arial" w:cs="Arial" w:eastAsia="Arial" w:hAnsi="Arial"/>
          <w:sz w:val="18"/>
          <w:szCs w:val="18"/>
          <w:color w:val="auto"/>
        </w:rPr>
        <w:t>” means Melco Resorts (Macau) Limited, a Macau company.</w:t>
      </w:r>
    </w:p>
    <w:p>
      <w:pPr>
        <w:spacing w:after="0" w:line="22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 Parties</w:t>
      </w:r>
      <w:r>
        <w:rPr>
          <w:rFonts w:ascii="Arial" w:cs="Arial" w:eastAsia="Arial" w:hAnsi="Arial"/>
          <w:sz w:val="18"/>
          <w:szCs w:val="18"/>
          <w:color w:val="auto"/>
        </w:rPr>
        <w:t>” means COD Resorts Limited, Altira Resorts Limited, Melco Resorts (Macau) Limited, MPEL Services Limited, Golden Future (Management Services) Limited, MPEL Properties (Macau) Limited, Melco Resorts Security Services Limited, Melco Resorts Travel Limited, MCE Transportation Limited, MCE Transportation Two Limited and any other Person which accedes to the MSA as a “</w:t>
      </w:r>
      <w:r>
        <w:rPr>
          <w:rFonts w:ascii="Arial" w:cs="Arial" w:eastAsia="Arial" w:hAnsi="Arial"/>
          <w:sz w:val="18"/>
          <w:szCs w:val="18"/>
          <w:i w:val="1"/>
          <w:iCs w:val="1"/>
          <w:color w:val="auto"/>
        </w:rPr>
        <w:t>Melco Crown Party</w:t>
      </w:r>
      <w:r>
        <w:rPr>
          <w:rFonts w:ascii="Arial" w:cs="Arial" w:eastAsia="Arial" w:hAnsi="Arial"/>
          <w:sz w:val="18"/>
          <w:szCs w:val="18"/>
          <w:color w:val="auto"/>
        </w:rPr>
        <w:t>” pursuant to terms thereof; and a “</w:t>
      </w:r>
      <w:r>
        <w:rPr>
          <w:rFonts w:ascii="Arial" w:cs="Arial" w:eastAsia="Arial" w:hAnsi="Arial"/>
          <w:sz w:val="18"/>
          <w:szCs w:val="18"/>
          <w:i w:val="1"/>
          <w:iCs w:val="1"/>
          <w:color w:val="auto"/>
        </w:rPr>
        <w:t>Melco Resorts Party</w:t>
      </w:r>
      <w:r>
        <w:rPr>
          <w:rFonts w:ascii="Arial" w:cs="Arial" w:eastAsia="Arial" w:hAnsi="Arial"/>
          <w:sz w:val="18"/>
          <w:szCs w:val="18"/>
          <w:color w:val="auto"/>
        </w:rPr>
        <w:t>” means any of them.</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3" w:right="459" w:bottom="1440" w:gutter="0" w:footer="0" w:header="0"/>
        </w:sectPr>
      </w:pPr>
    </w:p>
    <w:bookmarkStart w:id="483" w:name="page484"/>
    <w:bookmarkEnd w:id="48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MSA</w:t>
      </w:r>
      <w:r>
        <w:rPr>
          <w:rFonts w:ascii="Arial" w:cs="Arial" w:eastAsia="Arial" w:hAnsi="Arial"/>
          <w:sz w:val="16"/>
          <w:szCs w:val="16"/>
          <w:color w:val="auto"/>
        </w:rPr>
        <w:t>” means the master services agreement dated December 21, 2015, including any work agreements entered into pursuant to the master services agreement, entered into between the Studio City Parties on the one part and the Melco Resorts Parties on the other part, as amended, modified, supplemented, extended, replaced or renewed from time to time, and any other master services agreement or equivalent agreement or contract, including any work agreements entered into pursuant to any such master services agreement, in each case entered into in connection with the conduct of Permitted Business and on terms that are no less favorable to the Company or the relevant Restricted Subsidiary than those that would have been obtained in an arm’s length commercial transaction, as amended, modified, supplemented, extended, replaced or renewed from time to time.</w:t>
      </w:r>
    </w:p>
    <w:p>
      <w:pPr>
        <w:spacing w:after="0" w:line="16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of such Person, determined in accordance with U.S. GAAP and before any reduction in respect of Preferred Stock dividends, excluding, however:</w:t>
      </w:r>
    </w:p>
    <w:p>
      <w:pPr>
        <w:spacing w:after="0" w:line="62" w:lineRule="exact"/>
        <w:rPr>
          <w:sz w:val="20"/>
          <w:szCs w:val="20"/>
          <w:color w:val="auto"/>
        </w:rPr>
      </w:pPr>
    </w:p>
    <w:p>
      <w:pPr>
        <w:ind w:left="980" w:firstLine="408"/>
        <w:spacing w:after="0" w:line="263" w:lineRule="auto"/>
        <w:tabs>
          <w:tab w:leader="none" w:pos="1771"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any Asset Sale; or (b) the disposition of any securities by such Person or any of its Restricted Subsidiaries or the extinguishment, repurchase or cancellation of any Indebtedness of such Person or any of its Restricted Subsidiaries; and</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225"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any reserve for adjustment in respect of the sale price of such asset or assets established in accordance with U.S. GAAP.</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980" w:right="40" w:firstLine="408"/>
        <w:spacing w:after="0" w:line="291" w:lineRule="auto"/>
        <w:tabs>
          <w:tab w:leader="none" w:pos="1771" w:val="left"/>
        </w:tabs>
        <w:numPr>
          <w:ilvl w:val="1"/>
          <w:numId w:val="593"/>
        </w:numPr>
        <w:rPr>
          <w:rFonts w:ascii="Arial" w:cs="Arial" w:eastAsia="Arial" w:hAnsi="Arial"/>
          <w:sz w:val="16"/>
          <w:szCs w:val="16"/>
          <w:color w:val="auto"/>
        </w:rPr>
      </w:pPr>
      <w:r>
        <w:rPr>
          <w:rFonts w:ascii="Arial" w:cs="Arial" w:eastAsia="Arial" w:hAnsi="Arial"/>
          <w:sz w:val="16"/>
          <w:szCs w:val="16"/>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w:t>
      </w:r>
    </w:p>
    <w:p>
      <w:pPr>
        <w:ind w:left="1240" w:hanging="253"/>
        <w:spacing w:after="0"/>
        <w:tabs>
          <w:tab w:leader="none" w:pos="1240" w:val="left"/>
        </w:tabs>
        <w:numPr>
          <w:ilvl w:val="0"/>
          <w:numId w:val="594"/>
        </w:numPr>
        <w:rPr>
          <w:rFonts w:ascii="Arial" w:cs="Arial" w:eastAsia="Arial" w:hAnsi="Arial"/>
          <w:sz w:val="17"/>
          <w:szCs w:val="17"/>
          <w:color w:val="auto"/>
        </w:rPr>
      </w:pPr>
      <w:r>
        <w:rPr>
          <w:rFonts w:ascii="Arial" w:cs="Arial" w:eastAsia="Arial" w:hAnsi="Arial"/>
          <w:sz w:val="17"/>
          <w:szCs w:val="17"/>
          <w:color w:val="auto"/>
        </w:rPr>
        <w:t>constitutes the lender, other than, in the case of (a) and (b), Indebtedness incurred pursuant to Section 4.09(b)(15) hereof; and</w:t>
      </w:r>
    </w:p>
    <w:p>
      <w:pPr>
        <w:spacing w:after="0" w:line="114" w:lineRule="exact"/>
        <w:rPr>
          <w:rFonts w:ascii="Arial" w:cs="Arial" w:eastAsia="Arial" w:hAnsi="Arial"/>
          <w:sz w:val="17"/>
          <w:szCs w:val="17"/>
          <w:color w:val="auto"/>
        </w:rPr>
      </w:pPr>
    </w:p>
    <w:p>
      <w:pPr>
        <w:ind w:left="980" w:right="100" w:firstLine="408"/>
        <w:spacing w:after="0" w:line="277" w:lineRule="auto"/>
        <w:tabs>
          <w:tab w:leader="none" w:pos="1771" w:val="left"/>
        </w:tabs>
        <w:numPr>
          <w:ilvl w:val="1"/>
          <w:numId w:val="594"/>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 (other than to the Equity Interests of any Unrestricted Subsidiary).</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 Guarantee</w:t>
      </w:r>
      <w:r>
        <w:rPr>
          <w:rFonts w:ascii="Arial" w:cs="Arial" w:eastAsia="Arial" w:hAnsi="Arial"/>
          <w:sz w:val="16"/>
          <w:szCs w:val="16"/>
          <w:color w:val="auto"/>
        </w:rPr>
        <w:t>” means the Guarantee by each Subsidiary Guarantor of the Company’s Obligations under this Indenture and the Notes.</w:t>
      </w:r>
    </w:p>
    <w:p>
      <w:pPr>
        <w:spacing w:after="0" w:line="248"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3" w:right="459" w:bottom="1440" w:gutter="0" w:footer="0" w:header="0"/>
        </w:sectPr>
      </w:pPr>
    </w:p>
    <w:bookmarkStart w:id="484" w:name="page485"/>
    <w:bookmarkEnd w:id="48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dated January 5, 2021 in respect of the Notes.</w:t>
      </w:r>
    </w:p>
    <w:p>
      <w:pPr>
        <w:spacing w:after="0" w:line="225"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of the Board, Chief Executive Officer, Property Chief Financial Officer, President, any Executive Vice President, Senior Vice President or Vice President, Treasurer or Secretary of the Company or any Directors of the Board or any Person acting in that capacity.</w:t>
      </w:r>
    </w:p>
    <w:p>
      <w:pPr>
        <w:spacing w:after="0" w:line="18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Company by an Officer of the Company which meets the requirements of Section 13.05 hereof.</w:t>
      </w:r>
    </w:p>
    <w:p>
      <w:pPr>
        <w:spacing w:after="0" w:line="170"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acceptable to the Trustee that meets the requirements of Section 13.05 hereof. The counsel may be an employee of or counsel to the Company.</w:t>
      </w:r>
    </w:p>
    <w:p>
      <w:pPr>
        <w:spacing w:after="0" w:line="170" w:lineRule="exact"/>
        <w:rPr>
          <w:sz w:val="20"/>
          <w:szCs w:val="20"/>
          <w:color w:val="auto"/>
        </w:rPr>
      </w:pPr>
    </w:p>
    <w:p>
      <w:pPr>
        <w:ind w:right="3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means, with respect to the Depositary, Euroclear or Clearstream, Luxembourg, a Person who has an account with the Depositary, Euroclear or Clearstream, Luxembourg, respectively (and, with respect to DTC, shall include Euroclear and Clearstream, Luxembourg).</w:t>
      </w:r>
    </w:p>
    <w:p>
      <w:pPr>
        <w:spacing w:after="0" w:line="12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Business</w:t>
      </w:r>
      <w:r>
        <w:rPr>
          <w:rFonts w:ascii="Arial" w:cs="Arial" w:eastAsia="Arial" w:hAnsi="Arial"/>
          <w:sz w:val="17"/>
          <w:szCs w:val="17"/>
          <w:color w:val="auto"/>
        </w:rPr>
        <w:t>” means (1) any businesses, services or activities engaged in by the Company or any of its Restricted Subsidiaries on the Issue Date, including, without limitation, the construction, development and operation of the Property, (2) any gaming, hotel, accommodation, hospitality, transport, tourism, resort, food and beverage, retail, entertainment, cinema / cinematic venue, audio-visual production (including provision of sound stage, recording studio and similar facilities), performance, cultural or related business, development, project, undertaking or venture of any kind in the Macau SAR, and (3) any other businesses, services, activities or undertaking that are necessary for, supportive of, or connected, related, complementary, incidental, ancillary or similar to, any of the foregoing or are extensions or developments of any thereof (including in support of the businesses, services, activities and undertakings of the Melco Resorts group as a whole or any member thereof including through participation in shared and centralized services and activities).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820" w:hanging="432"/>
        <w:spacing w:after="0"/>
        <w:tabs>
          <w:tab w:leader="none" w:pos="182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any Investment in cash or Cash Equivalents;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595"/>
        </w:numPr>
        <w:rPr>
          <w:rFonts w:ascii="Arial" w:cs="Arial" w:eastAsia="Arial" w:hAnsi="Arial"/>
          <w:sz w:val="16"/>
          <w:szCs w:val="16"/>
          <w:color w:val="auto"/>
        </w:rPr>
      </w:pPr>
      <w:r>
        <w:rPr>
          <w:rFonts w:ascii="Arial" w:cs="Arial" w:eastAsia="Arial" w:hAnsi="Arial"/>
          <w:sz w:val="16"/>
          <w:szCs w:val="16"/>
          <w:color w:val="auto"/>
        </w:rPr>
        <w:t>any Investment by the Company or any Restricted Subsidiary of the Company in a Person, if as a result of such Investment:</w:t>
      </w:r>
    </w:p>
    <w:p>
      <w:pPr>
        <w:spacing w:after="0" w:line="153" w:lineRule="exact"/>
        <w:rPr>
          <w:rFonts w:ascii="Arial" w:cs="Arial" w:eastAsia="Arial" w:hAnsi="Arial"/>
          <w:sz w:val="16"/>
          <w:szCs w:val="16"/>
          <w:color w:val="auto"/>
        </w:rPr>
      </w:pPr>
    </w:p>
    <w:p>
      <w:pPr>
        <w:ind w:left="2400" w:hanging="433"/>
        <w:spacing w:after="0"/>
        <w:tabs>
          <w:tab w:leader="none" w:pos="2400" w:val="left"/>
        </w:tabs>
        <w:numPr>
          <w:ilvl w:val="1"/>
          <w:numId w:val="595"/>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130" w:lineRule="exact"/>
        <w:rPr>
          <w:rFonts w:ascii="Arial" w:cs="Arial" w:eastAsia="Arial" w:hAnsi="Arial"/>
          <w:sz w:val="18"/>
          <w:szCs w:val="18"/>
          <w:color w:val="auto"/>
        </w:rPr>
      </w:pPr>
    </w:p>
    <w:p>
      <w:pPr>
        <w:ind w:left="2400" w:right="120" w:hanging="433"/>
        <w:spacing w:after="0" w:line="277" w:lineRule="auto"/>
        <w:tabs>
          <w:tab w:leader="none" w:pos="2400" w:val="left"/>
        </w:tabs>
        <w:numPr>
          <w:ilvl w:val="1"/>
          <w:numId w:val="595"/>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62" w:lineRule="exact"/>
        <w:rPr>
          <w:rFonts w:ascii="Arial" w:cs="Arial" w:eastAsia="Arial" w:hAnsi="Arial"/>
          <w:sz w:val="18"/>
          <w:szCs w:val="18"/>
          <w:color w:val="auto"/>
        </w:rPr>
      </w:pPr>
    </w:p>
    <w:p>
      <w:pPr>
        <w:ind w:left="980" w:right="200" w:firstLine="408"/>
        <w:spacing w:after="0" w:line="277" w:lineRule="auto"/>
        <w:tabs>
          <w:tab w:leader="none" w:pos="1771" w:val="left"/>
        </w:tabs>
        <w:numPr>
          <w:ilvl w:val="0"/>
          <w:numId w:val="595"/>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Section 4.10 hereof;</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595"/>
        </w:numPr>
        <w:rPr>
          <w:rFonts w:ascii="Arial" w:cs="Arial" w:eastAsia="Arial" w:hAnsi="Arial"/>
          <w:sz w:val="16"/>
          <w:szCs w:val="16"/>
          <w:color w:val="auto"/>
        </w:rPr>
      </w:pPr>
      <w:r>
        <w:rPr>
          <w:rFonts w:ascii="Arial" w:cs="Arial" w:eastAsia="Arial" w:hAnsi="Arial"/>
          <w:sz w:val="16"/>
          <w:szCs w:val="16"/>
          <w:color w:val="auto"/>
        </w:rPr>
        <w:t>any acquisition of assets or Capital Stock in exchange for the issuance of Equity Interests (other than Disqualified Stock) of the</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jc w:val="both"/>
        <w:ind w:left="980" w:right="200" w:firstLine="408"/>
        <w:spacing w:after="0" w:line="259" w:lineRule="auto"/>
        <w:tabs>
          <w:tab w:leader="none" w:pos="1771" w:val="left"/>
        </w:tabs>
        <w:numPr>
          <w:ilvl w:val="0"/>
          <w:numId w:val="595"/>
        </w:numPr>
        <w:rPr>
          <w:rFonts w:ascii="Arial" w:cs="Arial" w:eastAsia="Arial" w:hAnsi="Arial"/>
          <w:sz w:val="18"/>
          <w:szCs w:val="18"/>
          <w:color w:val="auto"/>
        </w:rPr>
      </w:pPr>
      <w:r>
        <w:rPr>
          <w:rFonts w:ascii="Arial" w:cs="Arial" w:eastAsia="Arial" w:hAnsi="Arial"/>
          <w:sz w:val="18"/>
          <w:szCs w:val="18"/>
          <w:color w:val="auto"/>
        </w:rPr>
        <w:t>any Investments received in compromise or resolution of (A) 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8" w:lineRule="exact"/>
        <w:rPr>
          <w:rFonts w:ascii="Arial" w:cs="Arial" w:eastAsia="Arial" w:hAnsi="Arial"/>
          <w:sz w:val="18"/>
          <w:szCs w:val="18"/>
          <w:color w:val="auto"/>
        </w:rPr>
      </w:pPr>
    </w:p>
    <w:p>
      <w:pPr>
        <w:ind w:left="1820" w:hanging="432"/>
        <w:spacing w:after="0"/>
        <w:tabs>
          <w:tab w:leader="none" w:pos="182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3" w:right="459" w:bottom="1440" w:gutter="0" w:footer="0" w:header="0"/>
        </w:sectPr>
      </w:pPr>
    </w:p>
    <w:bookmarkStart w:id="485" w:name="page486"/>
    <w:bookmarkEnd w:id="485"/>
    <w:p>
      <w:pPr>
        <w:ind w:right="20" w:firstLine="408"/>
        <w:spacing w:after="0" w:line="308" w:lineRule="auto"/>
        <w:tabs>
          <w:tab w:leader="none" w:pos="791" w:val="left"/>
        </w:tabs>
        <w:numPr>
          <w:ilvl w:val="0"/>
          <w:numId w:val="5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or advances to employees, officers, or directors made in the ordinary course of business of the Company or any Restricted Subsidiary of the Company in an aggregate principal amount not to exceed US$2.0 million at any one time outstanding;</w:t>
      </w:r>
    </w:p>
    <w:p>
      <w:pPr>
        <w:spacing w:after="0" w:line="38" w:lineRule="exact"/>
        <w:rPr>
          <w:rFonts w:ascii="Arial" w:cs="Arial" w:eastAsia="Arial" w:hAnsi="Arial"/>
          <w:sz w:val="17"/>
          <w:szCs w:val="17"/>
          <w:color w:val="auto"/>
        </w:rPr>
      </w:pPr>
    </w:p>
    <w:p>
      <w:pPr>
        <w:ind w:left="840" w:hanging="432"/>
        <w:spacing w:after="0"/>
        <w:tabs>
          <w:tab w:leader="none" w:pos="84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repurchases of the Notes;</w:t>
      </w:r>
    </w:p>
    <w:p>
      <w:pPr>
        <w:spacing w:after="0" w:line="117" w:lineRule="exact"/>
        <w:rPr>
          <w:rFonts w:ascii="Arial" w:cs="Arial" w:eastAsia="Arial" w:hAnsi="Arial"/>
          <w:sz w:val="18"/>
          <w:szCs w:val="18"/>
          <w:color w:val="auto"/>
        </w:rPr>
      </w:pPr>
    </w:p>
    <w:p>
      <w:pPr>
        <w:ind w:firstLine="408"/>
        <w:spacing w:after="0" w:line="296" w:lineRule="auto"/>
        <w:tabs>
          <w:tab w:leader="none" w:pos="880" w:val="left"/>
        </w:tabs>
        <w:numPr>
          <w:ilvl w:val="0"/>
          <w:numId w:val="596"/>
        </w:numPr>
        <w:rPr>
          <w:rFonts w:ascii="Arial" w:cs="Arial" w:eastAsia="Arial" w:hAnsi="Arial"/>
          <w:sz w:val="16"/>
          <w:szCs w:val="16"/>
          <w:color w:val="auto"/>
        </w:rPr>
      </w:pPr>
      <w:r>
        <w:rPr>
          <w:rFonts w:ascii="Arial" w:cs="Arial" w:eastAsia="Arial" w:hAnsi="Arial"/>
          <w:sz w:val="16"/>
          <w:szCs w:val="16"/>
          <w:color w:val="auto"/>
        </w:rPr>
        <w:t>any Investments consisting of gaming credit extended to customers and junket operators in the ordinary course of business and consistent with applicable law and any Investments made or deemed to be made in connection with or through any transactions or arrangements involving contractual rights under, pursuant to or in connection with (i) the Services and Right to Use Agreement, the Reinvestment Agreement or the MSA and (ii) any transaction or arrangements made pursuant to clause (10) of the definition of “Asset Sale”, including any amendments, modifications, supplements, extensions, replacements, terminations or renewals;</w:t>
      </w:r>
    </w:p>
    <w:p>
      <w:pPr>
        <w:spacing w:after="0" w:line="53" w:lineRule="exact"/>
        <w:rPr>
          <w:rFonts w:ascii="Arial" w:cs="Arial" w:eastAsia="Arial" w:hAnsi="Arial"/>
          <w:sz w:val="16"/>
          <w:szCs w:val="16"/>
          <w:color w:val="auto"/>
        </w:rPr>
      </w:pPr>
    </w:p>
    <w:p>
      <w:pPr>
        <w:ind w:left="880" w:hanging="472"/>
        <w:spacing w:after="0"/>
        <w:tabs>
          <w:tab w:leader="none" w:pos="880" w:val="left"/>
        </w:tabs>
        <w:numPr>
          <w:ilvl w:val="0"/>
          <w:numId w:val="596"/>
        </w:numPr>
        <w:rPr>
          <w:rFonts w:ascii="Arial" w:cs="Arial" w:eastAsia="Arial" w:hAnsi="Arial"/>
          <w:sz w:val="16"/>
          <w:szCs w:val="16"/>
          <w:color w:val="auto"/>
        </w:rPr>
      </w:pPr>
      <w:r>
        <w:rPr>
          <w:rFonts w:ascii="Arial" w:cs="Arial" w:eastAsia="Arial" w:hAnsi="Arial"/>
          <w:sz w:val="16"/>
          <w:szCs w:val="16"/>
          <w:color w:val="auto"/>
        </w:rPr>
        <w:t>advances to contractors and suppliers and accounts, trade and notes receivables created or acquired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right="640" w:firstLine="408"/>
        <w:spacing w:after="0" w:line="277" w:lineRule="auto"/>
        <w:tabs>
          <w:tab w:leader="none" w:pos="8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receivables owing to the Company or any of its Restricted Subsidiaries if created or acquired in the ordinary course of business and payable or dischargeable in accordance with customary trade terms;</w:t>
      </w:r>
    </w:p>
    <w:p>
      <w:pPr>
        <w:spacing w:after="0" w:line="62" w:lineRule="exact"/>
        <w:rPr>
          <w:rFonts w:ascii="Arial" w:cs="Arial" w:eastAsia="Arial" w:hAnsi="Arial"/>
          <w:sz w:val="18"/>
          <w:szCs w:val="18"/>
          <w:color w:val="auto"/>
        </w:rPr>
      </w:pPr>
    </w:p>
    <w:p>
      <w:pPr>
        <w:ind w:right="20" w:firstLine="408"/>
        <w:spacing w:after="0" w:line="259" w:lineRule="auto"/>
        <w:tabs>
          <w:tab w:leader="none" w:pos="8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 xml:space="preserve">any Investment existing on the Issue Date or made pursuant to binding commitments in effect on the Issue Date or an Investment consisting of any extension, modification or renewal of any Investment existing on the Issue Date;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Investment may be increased (x) as required by the terms of such Investment as in existence on the Issue Date or (y) as otherwise permitted under this Indenture;</w:t>
      </w:r>
    </w:p>
    <w:p>
      <w:pPr>
        <w:spacing w:after="0" w:line="78" w:lineRule="exact"/>
        <w:rPr>
          <w:rFonts w:ascii="Arial" w:cs="Arial" w:eastAsia="Arial" w:hAnsi="Arial"/>
          <w:sz w:val="18"/>
          <w:szCs w:val="18"/>
          <w:color w:val="auto"/>
        </w:rPr>
      </w:pPr>
    </w:p>
    <w:p>
      <w:pPr>
        <w:jc w:val="both"/>
        <w:ind w:right="120" w:firstLine="408"/>
        <w:spacing w:after="0" w:line="263" w:lineRule="auto"/>
        <w:tabs>
          <w:tab w:leader="none" w:pos="8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Investments in prepaid expenses, negotiable instruments held for collection, deposits made in connection with self-insurance, and performance and other similar deposits and prepayments made in connection with an acquisition of assets or property in the ordinary course of business by the Company or any Restricted Subsidiary of the Company;</w:t>
      </w:r>
    </w:p>
    <w:p>
      <w:pPr>
        <w:spacing w:after="0" w:line="75" w:lineRule="exact"/>
        <w:rPr>
          <w:rFonts w:ascii="Arial" w:cs="Arial" w:eastAsia="Arial" w:hAnsi="Arial"/>
          <w:sz w:val="18"/>
          <w:szCs w:val="18"/>
          <w:color w:val="auto"/>
        </w:rPr>
      </w:pPr>
    </w:p>
    <w:p>
      <w:pPr>
        <w:ind w:right="140" w:firstLine="408"/>
        <w:spacing w:after="0" w:line="263" w:lineRule="auto"/>
        <w:tabs>
          <w:tab w:leader="none" w:pos="8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deposits made by the Company or any Restricted Subsidiary of the Company in the ordinary course of business to comply with statutory or regulatory obligations (including land grants) to maintain deposits for the purposes specified by the applicable statute or regulation (including land grants) from time to time;</w:t>
      </w:r>
    </w:p>
    <w:p>
      <w:pPr>
        <w:spacing w:after="0" w:line="75" w:lineRule="exact"/>
        <w:rPr>
          <w:rFonts w:ascii="Arial" w:cs="Arial" w:eastAsia="Arial" w:hAnsi="Arial"/>
          <w:sz w:val="18"/>
          <w:szCs w:val="18"/>
          <w:color w:val="auto"/>
        </w:rPr>
      </w:pPr>
    </w:p>
    <w:p>
      <w:pPr>
        <w:ind w:right="100" w:firstLine="408"/>
        <w:spacing w:after="0" w:line="342" w:lineRule="auto"/>
        <w:tabs>
          <w:tab w:leader="none" w:pos="880" w:val="left"/>
        </w:tabs>
        <w:numPr>
          <w:ilvl w:val="0"/>
          <w:numId w:val="596"/>
        </w:numPr>
        <w:rPr>
          <w:rFonts w:ascii="Arial" w:cs="Arial" w:eastAsia="Arial" w:hAnsi="Arial"/>
          <w:sz w:val="16"/>
          <w:szCs w:val="16"/>
          <w:color w:val="auto"/>
        </w:rPr>
      </w:pPr>
      <w:r>
        <w:rPr>
          <w:rFonts w:ascii="Arial" w:cs="Arial" w:eastAsia="Arial" w:hAnsi="Arial"/>
          <w:sz w:val="16"/>
          <w:szCs w:val="16"/>
          <w:color w:val="auto"/>
        </w:rPr>
        <w:t>any Investment consisting of a Guarantee permitted by Section 4.09 hereof and performance guarantees that do not constitute Indebtedness entered into by the Company or any Restricted Subsidiary of the Company in the ordinary course of business;</w:t>
      </w:r>
    </w:p>
    <w:p>
      <w:pPr>
        <w:spacing w:after="0" w:line="15" w:lineRule="exact"/>
        <w:rPr>
          <w:rFonts w:ascii="Arial" w:cs="Arial" w:eastAsia="Arial" w:hAnsi="Arial"/>
          <w:sz w:val="16"/>
          <w:szCs w:val="16"/>
          <w:color w:val="auto"/>
        </w:rPr>
      </w:pPr>
    </w:p>
    <w:p>
      <w:pPr>
        <w:ind w:right="80" w:firstLine="408"/>
        <w:spacing w:after="0" w:line="263" w:lineRule="auto"/>
        <w:tabs>
          <w:tab w:leader="none" w:pos="8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 xml:space="preserve">to the extent constituting an Investment, licenses of intellectual property rights granted by the Company or any Restricted Subsidiary of the Company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grant does not interfere in any material respect with the ordinary conduct of the business of such Person;</w:t>
      </w:r>
    </w:p>
    <w:p>
      <w:pPr>
        <w:spacing w:after="0" w:line="75" w:lineRule="exact"/>
        <w:rPr>
          <w:rFonts w:ascii="Arial" w:cs="Arial" w:eastAsia="Arial" w:hAnsi="Arial"/>
          <w:sz w:val="18"/>
          <w:szCs w:val="18"/>
          <w:color w:val="auto"/>
        </w:rPr>
      </w:pPr>
    </w:p>
    <w:p>
      <w:pPr>
        <w:ind w:right="160" w:firstLine="408"/>
        <w:spacing w:after="0" w:line="277" w:lineRule="auto"/>
        <w:tabs>
          <w:tab w:leader="none" w:pos="8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materials, services or equipment or purchases of contract rights or licenses or leases of intellectual property, in each case, in the ordinary course of business;</w:t>
      </w:r>
    </w:p>
    <w:p>
      <w:pPr>
        <w:spacing w:after="0" w:line="62" w:lineRule="exact"/>
        <w:rPr>
          <w:rFonts w:ascii="Arial" w:cs="Arial" w:eastAsia="Arial" w:hAnsi="Arial"/>
          <w:sz w:val="18"/>
          <w:szCs w:val="18"/>
          <w:color w:val="auto"/>
        </w:rPr>
      </w:pPr>
    </w:p>
    <w:p>
      <w:pPr>
        <w:ind w:right="40" w:firstLine="408"/>
        <w:spacing w:after="0" w:line="277" w:lineRule="auto"/>
        <w:tabs>
          <w:tab w:leader="none" w:pos="8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 xml:space="preserve">Investments held by a Person that becomes a Restricted Subsidiary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Investments were not acquired in contemplation of the acquisition of such Person;</w:t>
      </w:r>
    </w:p>
    <w:p>
      <w:pPr>
        <w:spacing w:after="0" w:line="62" w:lineRule="exact"/>
        <w:rPr>
          <w:rFonts w:ascii="Arial" w:cs="Arial" w:eastAsia="Arial" w:hAnsi="Arial"/>
          <w:sz w:val="18"/>
          <w:szCs w:val="18"/>
          <w:color w:val="auto"/>
        </w:rPr>
      </w:pPr>
    </w:p>
    <w:p>
      <w:pPr>
        <w:ind w:left="880" w:hanging="472"/>
        <w:spacing w:after="0"/>
        <w:tabs>
          <w:tab w:leader="none" w:pos="8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an Investment in an Unrestricted Subsidiary consisting solely of an Investment in another Unrestricted Subsidiary;</w:t>
      </w:r>
    </w:p>
    <w:p>
      <w:pPr>
        <w:spacing w:after="0" w:line="200" w:lineRule="exact"/>
        <w:rPr>
          <w:sz w:val="20"/>
          <w:szCs w:val="20"/>
          <w:color w:val="auto"/>
        </w:rPr>
      </w:pPr>
    </w:p>
    <w:p>
      <w:pPr>
        <w:spacing w:after="0" w:line="20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20"/>
          </w:cols>
          <w:pgMar w:left="1420" w:top="273" w:right="459" w:bottom="1440" w:gutter="0" w:footer="0" w:header="0"/>
        </w:sectPr>
      </w:pPr>
    </w:p>
    <w:bookmarkStart w:id="486" w:name="page487"/>
    <w:bookmarkEnd w:id="486"/>
    <w:p>
      <w:pPr>
        <w:ind w:left="880" w:hanging="472"/>
        <w:spacing w:after="0"/>
        <w:tabs>
          <w:tab w:leader="none" w:pos="880" w:val="left"/>
        </w:tabs>
        <w:numPr>
          <w:ilvl w:val="1"/>
          <w:numId w:val="5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pledges or deposits (x) with respect to leases or utilities provided to third parties in the ordinary course of business or</w:t>
      </w:r>
    </w:p>
    <w:p>
      <w:pPr>
        <w:spacing w:after="0" w:line="34" w:lineRule="exact"/>
        <w:rPr>
          <w:rFonts w:ascii="Arial" w:cs="Arial" w:eastAsia="Arial" w:hAnsi="Arial"/>
          <w:sz w:val="17"/>
          <w:szCs w:val="17"/>
          <w:color w:val="auto"/>
        </w:rPr>
      </w:pPr>
    </w:p>
    <w:p>
      <w:pPr>
        <w:ind w:left="260" w:hanging="253"/>
        <w:spacing w:after="0"/>
        <w:tabs>
          <w:tab w:leader="none" w:pos="26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otherwise described in the definition of “Permitted Liens”;</w:t>
      </w:r>
    </w:p>
    <w:p>
      <w:pPr>
        <w:spacing w:after="0" w:line="102" w:lineRule="exact"/>
        <w:rPr>
          <w:rFonts w:ascii="Arial" w:cs="Arial" w:eastAsia="Arial" w:hAnsi="Arial"/>
          <w:sz w:val="18"/>
          <w:szCs w:val="18"/>
          <w:color w:val="auto"/>
        </w:rPr>
      </w:pPr>
    </w:p>
    <w:p>
      <w:pPr>
        <w:ind w:right="280" w:firstLine="408"/>
        <w:spacing w:after="0" w:line="277" w:lineRule="auto"/>
        <w:tabs>
          <w:tab w:leader="none" w:pos="88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 xml:space="preserve">Investments (other than Permitted Investments) made with Excluded Contributions;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amount of Excluded Contributions made will not be included in the calculation of Section 4.07(a)(4)(C)(ii) hereof;</w:t>
      </w:r>
    </w:p>
    <w:p>
      <w:pPr>
        <w:spacing w:after="0" w:line="62" w:lineRule="exact"/>
        <w:rPr>
          <w:rFonts w:ascii="Arial" w:cs="Arial" w:eastAsia="Arial" w:hAnsi="Arial"/>
          <w:sz w:val="18"/>
          <w:szCs w:val="18"/>
          <w:color w:val="auto"/>
        </w:rPr>
      </w:pPr>
    </w:p>
    <w:p>
      <w:pPr>
        <w:ind w:right="140" w:firstLine="408"/>
        <w:spacing w:after="0" w:line="277" w:lineRule="auto"/>
        <w:tabs>
          <w:tab w:leader="none" w:pos="88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arrangements with other Persons; and</w:t>
      </w:r>
    </w:p>
    <w:p>
      <w:pPr>
        <w:spacing w:after="0" w:line="62" w:lineRule="exact"/>
        <w:rPr>
          <w:rFonts w:ascii="Arial" w:cs="Arial" w:eastAsia="Arial" w:hAnsi="Arial"/>
          <w:sz w:val="18"/>
          <w:szCs w:val="18"/>
          <w:color w:val="auto"/>
        </w:rPr>
      </w:pPr>
    </w:p>
    <w:p>
      <w:pPr>
        <w:ind w:firstLine="408"/>
        <w:spacing w:after="0" w:line="286" w:lineRule="auto"/>
        <w:tabs>
          <w:tab w:leader="none" w:pos="880" w:val="left"/>
        </w:tabs>
        <w:numPr>
          <w:ilvl w:val="1"/>
          <w:numId w:val="598"/>
        </w:numPr>
        <w:rPr>
          <w:rFonts w:ascii="Arial" w:cs="Arial" w:eastAsia="Arial" w:hAnsi="Arial"/>
          <w:sz w:val="17"/>
          <w:szCs w:val="17"/>
          <w:color w:val="auto"/>
        </w:rPr>
      </w:pPr>
      <w:r>
        <w:rPr>
          <w:rFonts w:ascii="Arial" w:cs="Arial" w:eastAsia="Arial" w:hAnsi="Arial"/>
          <w:sz w:val="17"/>
          <w:szCs w:val="17"/>
          <w:color w:val="auto"/>
        </w:rPr>
        <w:t>other Investments in any Person having an aggregate Fair Market Value (measured on the date each such Investment was made and without giving effect to subsequent changes in value), when taken together with all other Investments made pursuant to this clause (24) under the Indenture that are at the time outstanding not to exceed US$5.0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800" w:hanging="392"/>
        <w:spacing w:after="0"/>
        <w:tabs>
          <w:tab w:leader="none" w:pos="80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Liens to secure Indebtedness permitted by Section 4.09(b)(1)(i)(x) and Section 4.09(b)(3)(a) hereof;</w:t>
      </w:r>
    </w:p>
    <w:p>
      <w:pPr>
        <w:spacing w:after="0" w:line="117" w:lineRule="exact"/>
        <w:rPr>
          <w:rFonts w:ascii="Arial" w:cs="Arial" w:eastAsia="Arial" w:hAnsi="Arial"/>
          <w:sz w:val="18"/>
          <w:szCs w:val="18"/>
          <w:color w:val="auto"/>
        </w:rPr>
      </w:pPr>
    </w:p>
    <w:p>
      <w:pPr>
        <w:ind w:left="800" w:hanging="392"/>
        <w:spacing w:after="0"/>
        <w:tabs>
          <w:tab w:leader="none" w:pos="80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(including any Additional Notes) or the Note Guarantees;</w:t>
      </w:r>
    </w:p>
    <w:p>
      <w:pPr>
        <w:spacing w:after="0" w:line="117" w:lineRule="exact"/>
        <w:rPr>
          <w:rFonts w:ascii="Arial" w:cs="Arial" w:eastAsia="Arial" w:hAnsi="Arial"/>
          <w:sz w:val="18"/>
          <w:szCs w:val="18"/>
          <w:color w:val="auto"/>
        </w:rPr>
      </w:pPr>
    </w:p>
    <w:p>
      <w:pPr>
        <w:ind w:left="660" w:hanging="252"/>
        <w:spacing w:after="0"/>
        <w:tabs>
          <w:tab w:leader="none" w:pos="66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Liens in favor of the Company or the Subsidiary Guarantors;</w:t>
      </w:r>
    </w:p>
    <w:p>
      <w:pPr>
        <w:spacing w:after="0" w:line="117" w:lineRule="exact"/>
        <w:rPr>
          <w:rFonts w:ascii="Arial" w:cs="Arial" w:eastAsia="Arial" w:hAnsi="Arial"/>
          <w:sz w:val="18"/>
          <w:szCs w:val="18"/>
          <w:color w:val="auto"/>
        </w:rPr>
      </w:pPr>
    </w:p>
    <w:p>
      <w:pPr>
        <w:ind w:right="100" w:firstLine="408"/>
        <w:spacing w:after="0" w:line="259" w:lineRule="auto"/>
        <w:tabs>
          <w:tab w:leader="none" w:pos="791" w:val="left"/>
        </w:tabs>
        <w:numPr>
          <w:ilvl w:val="0"/>
          <w:numId w:val="599"/>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the Company or any Subsidiary of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were not created in connection with, or in contemplation of, such merger or consolidation and do not extend to any assets other than those of the Person merged into or consolidated with the Company or the Subsidiary;</w:t>
      </w:r>
    </w:p>
    <w:p>
      <w:pPr>
        <w:spacing w:after="0" w:line="78" w:lineRule="exact"/>
        <w:rPr>
          <w:rFonts w:ascii="Arial" w:cs="Arial" w:eastAsia="Arial" w:hAnsi="Arial"/>
          <w:sz w:val="18"/>
          <w:szCs w:val="18"/>
          <w:color w:val="auto"/>
        </w:rPr>
      </w:pPr>
    </w:p>
    <w:p>
      <w:pPr>
        <w:ind w:right="280" w:firstLine="408"/>
        <w:spacing w:after="0" w:line="263" w:lineRule="auto"/>
        <w:tabs>
          <w:tab w:leader="none" w:pos="791" w:val="left"/>
        </w:tabs>
        <w:numPr>
          <w:ilvl w:val="0"/>
          <w:numId w:val="599"/>
        </w:numPr>
        <w:rPr>
          <w:rFonts w:ascii="Arial" w:cs="Arial" w:eastAsia="Arial" w:hAnsi="Arial"/>
          <w:sz w:val="18"/>
          <w:szCs w:val="18"/>
          <w:color w:val="auto"/>
        </w:rPr>
      </w:pPr>
      <w:r>
        <w:rPr>
          <w:rFonts w:ascii="Arial" w:cs="Arial" w:eastAsia="Arial" w:hAnsi="Arial"/>
          <w:sz w:val="18"/>
          <w:szCs w:val="18"/>
          <w:color w:val="auto"/>
        </w:rPr>
        <w:t xml:space="preserve">Liens on property (including Capital Stock) existing at the time of acquisition of the property by the Company or any Subsidiary of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were in existence prior to, such acquisition, and not incurred in contemplation of, such acquisition;</w:t>
      </w:r>
    </w:p>
    <w:p>
      <w:pPr>
        <w:spacing w:after="0" w:line="75" w:lineRule="exact"/>
        <w:rPr>
          <w:rFonts w:ascii="Arial" w:cs="Arial" w:eastAsia="Arial" w:hAnsi="Arial"/>
          <w:sz w:val="18"/>
          <w:szCs w:val="18"/>
          <w:color w:val="auto"/>
        </w:rPr>
      </w:pPr>
    </w:p>
    <w:p>
      <w:pPr>
        <w:ind w:right="40" w:firstLine="408"/>
        <w:spacing w:after="0" w:line="257" w:lineRule="auto"/>
        <w:tabs>
          <w:tab w:leader="none" w:pos="791" w:val="left"/>
        </w:tabs>
        <w:numPr>
          <w:ilvl w:val="0"/>
          <w:numId w:val="599"/>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workmen’s compensation or employment obligations or other obligations of a like nature, including any Lien securing letters of credit issued in the ordinary course of business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79" w:lineRule="exact"/>
        <w:rPr>
          <w:rFonts w:ascii="Arial" w:cs="Arial" w:eastAsia="Arial" w:hAnsi="Arial"/>
          <w:sz w:val="18"/>
          <w:szCs w:val="18"/>
          <w:color w:val="auto"/>
        </w:rPr>
      </w:pPr>
    </w:p>
    <w:p>
      <w:pPr>
        <w:ind w:firstLine="408"/>
        <w:spacing w:after="0" w:line="263" w:lineRule="auto"/>
        <w:tabs>
          <w:tab w:leader="none" w:pos="791" w:val="left"/>
        </w:tabs>
        <w:numPr>
          <w:ilvl w:val="0"/>
          <w:numId w:val="599"/>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Section 4.09(b)(4) covering only the assets acquired with or financed by such Indebtedness and directly related assets such as proceeds (including insurance proceeds), improvements, replacements and substitutions thereto;</w:t>
      </w:r>
    </w:p>
    <w:p>
      <w:pPr>
        <w:spacing w:after="0" w:line="75" w:lineRule="exact"/>
        <w:rPr>
          <w:rFonts w:ascii="Arial" w:cs="Arial" w:eastAsia="Arial" w:hAnsi="Arial"/>
          <w:sz w:val="18"/>
          <w:szCs w:val="18"/>
          <w:color w:val="auto"/>
        </w:rPr>
      </w:pPr>
    </w:p>
    <w:p>
      <w:pPr>
        <w:ind w:left="840" w:hanging="432"/>
        <w:spacing w:after="0"/>
        <w:tabs>
          <w:tab w:leader="none" w:pos="84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17" w:lineRule="exact"/>
        <w:rPr>
          <w:rFonts w:ascii="Arial" w:cs="Arial" w:eastAsia="Arial" w:hAnsi="Arial"/>
          <w:sz w:val="18"/>
          <w:szCs w:val="18"/>
          <w:color w:val="auto"/>
        </w:rPr>
      </w:pPr>
    </w:p>
    <w:p>
      <w:pPr>
        <w:ind w:right="120" w:firstLine="408"/>
        <w:spacing w:after="0" w:line="263" w:lineRule="auto"/>
        <w:tabs>
          <w:tab w:leader="none" w:pos="791" w:val="left"/>
        </w:tabs>
        <w:numPr>
          <w:ilvl w:val="0"/>
          <w:numId w:val="599"/>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is required in conformity with U.S. GAAP has been made therefor;</w:t>
      </w:r>
    </w:p>
    <w:p>
      <w:pPr>
        <w:spacing w:after="0" w:line="75" w:lineRule="exact"/>
        <w:rPr>
          <w:rFonts w:ascii="Arial" w:cs="Arial" w:eastAsia="Arial" w:hAnsi="Arial"/>
          <w:sz w:val="18"/>
          <w:szCs w:val="18"/>
          <w:color w:val="auto"/>
        </w:rPr>
      </w:pPr>
    </w:p>
    <w:p>
      <w:pPr>
        <w:ind w:right="20" w:firstLine="408"/>
        <w:spacing w:after="0" w:line="277" w:lineRule="auto"/>
        <w:tabs>
          <w:tab w:leader="none" w:pos="88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landlord’s, suppliers’ and mechanics’ Liens, in each case, incurred in the ordinary course of business;</w:t>
      </w:r>
    </w:p>
    <w:p>
      <w:pPr>
        <w:spacing w:after="0" w:line="34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020"/>
          </w:cols>
          <w:pgMar w:left="1420" w:top="273" w:right="459" w:bottom="1440" w:gutter="0" w:footer="0" w:header="0"/>
        </w:sectPr>
      </w:pPr>
    </w:p>
    <w:bookmarkStart w:id="487" w:name="page488"/>
    <w:bookmarkEnd w:id="487"/>
    <w:p>
      <w:pPr>
        <w:ind w:right="20" w:firstLine="408"/>
        <w:spacing w:after="0" w:line="259" w:lineRule="auto"/>
        <w:tabs>
          <w:tab w:leader="none" w:pos="874" w:val="left"/>
        </w:tabs>
        <w:numPr>
          <w:ilvl w:val="0"/>
          <w:numId w:val="6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78" w:lineRule="exact"/>
        <w:rPr>
          <w:rFonts w:ascii="Arial" w:cs="Arial" w:eastAsia="Arial" w:hAnsi="Arial"/>
          <w:sz w:val="18"/>
          <w:szCs w:val="18"/>
          <w:color w:val="auto"/>
        </w:rPr>
      </w:pPr>
    </w:p>
    <w:p>
      <w:pPr>
        <w:ind w:left="880" w:hanging="472"/>
        <w:spacing w:after="0"/>
        <w:tabs>
          <w:tab w:leader="none" w:pos="880" w:val="left"/>
        </w:tabs>
        <w:numPr>
          <w:ilvl w:val="0"/>
          <w:numId w:val="600"/>
        </w:numPr>
        <w:rPr>
          <w:rFonts w:ascii="Arial" w:cs="Arial" w:eastAsia="Arial" w:hAnsi="Arial"/>
          <w:sz w:val="16"/>
          <w:szCs w:val="16"/>
          <w:color w:val="auto"/>
        </w:rPr>
      </w:pPr>
      <w:r>
        <w:rPr>
          <w:rFonts w:ascii="Arial" w:cs="Arial" w:eastAsia="Arial" w:hAnsi="Arial"/>
          <w:sz w:val="16"/>
          <w:szCs w:val="16"/>
          <w:color w:val="auto"/>
        </w:rPr>
        <w:t xml:space="preserve">Liens to secure any Permitted Refinancing Indebtedness permitted to be Incurred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116" w:lineRule="exact"/>
        <w:rPr>
          <w:rFonts w:ascii="Arial" w:cs="Arial" w:eastAsia="Arial" w:hAnsi="Arial"/>
          <w:sz w:val="16"/>
          <w:szCs w:val="16"/>
          <w:color w:val="auto"/>
        </w:rPr>
      </w:pPr>
    </w:p>
    <w:p>
      <w:pPr>
        <w:ind w:left="1420" w:hanging="433"/>
        <w:spacing w:after="0" w:line="263" w:lineRule="auto"/>
        <w:tabs>
          <w:tab w:leader="none" w:pos="142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89" w:lineRule="exact"/>
        <w:rPr>
          <w:rFonts w:ascii="Arial" w:cs="Arial" w:eastAsia="Arial" w:hAnsi="Arial"/>
          <w:sz w:val="18"/>
          <w:szCs w:val="18"/>
          <w:color w:val="auto"/>
        </w:rPr>
      </w:pPr>
    </w:p>
    <w:p>
      <w:pPr>
        <w:ind w:left="1420" w:right="240" w:hanging="433"/>
        <w:spacing w:after="0" w:line="259" w:lineRule="auto"/>
        <w:tabs>
          <w:tab w:leader="none" w:pos="142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78" w:lineRule="exact"/>
        <w:rPr>
          <w:rFonts w:ascii="Arial" w:cs="Arial" w:eastAsia="Arial" w:hAnsi="Arial"/>
          <w:sz w:val="18"/>
          <w:szCs w:val="18"/>
          <w:color w:val="auto"/>
        </w:rPr>
      </w:pPr>
    </w:p>
    <w:p>
      <w:pPr>
        <w:ind w:right="40" w:firstLine="408"/>
        <w:spacing w:after="0" w:line="277" w:lineRule="auto"/>
        <w:tabs>
          <w:tab w:leader="none" w:pos="88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Liens securing Hedging Obligations so long as the related Indebtedness is, and is permitted to be under this Indenture, secured by a Lien on the same assets or property securing such Hedging Obligations;</w:t>
      </w:r>
    </w:p>
    <w:p>
      <w:pPr>
        <w:spacing w:after="0" w:line="62" w:lineRule="exact"/>
        <w:rPr>
          <w:rFonts w:ascii="Arial" w:cs="Arial" w:eastAsia="Arial" w:hAnsi="Arial"/>
          <w:sz w:val="18"/>
          <w:szCs w:val="18"/>
          <w:color w:val="auto"/>
        </w:rPr>
      </w:pPr>
    </w:p>
    <w:p>
      <w:pPr>
        <w:ind w:right="160" w:firstLine="408"/>
        <w:spacing w:after="0" w:line="257" w:lineRule="auto"/>
        <w:tabs>
          <w:tab w:leader="none" w:pos="88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Liens that are contractual rights of set-off (i) relating to the establishment of depository relations with banks not given in connection with the money borrowed, (ii) relating to pooled deposit or sweep accounts of the Company or any of its Restricted Subsidiaries to permit satisfaction of overdraft or similar obligations incurred in the ordinary course of business of the Company and its Restricted Subsidiaries or (iii) relating to purchase orders and other agreements entered into with customers of the Company or any of its Restricted Subsidiaries in the ordinary course of business;</w:t>
      </w:r>
    </w:p>
    <w:p>
      <w:pPr>
        <w:spacing w:after="0" w:line="79" w:lineRule="exact"/>
        <w:rPr>
          <w:rFonts w:ascii="Arial" w:cs="Arial" w:eastAsia="Arial" w:hAnsi="Arial"/>
          <w:sz w:val="18"/>
          <w:szCs w:val="18"/>
          <w:color w:val="auto"/>
        </w:rPr>
      </w:pPr>
    </w:p>
    <w:p>
      <w:pPr>
        <w:jc w:val="both"/>
        <w:ind w:right="160" w:firstLine="408"/>
        <w:spacing w:after="0" w:line="263" w:lineRule="auto"/>
        <w:tabs>
          <w:tab w:leader="none" w:pos="88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Liens arising out of judgments against such Person not giving rise to an Event of Default, with respect to which such Person shall then be proceeding with an appeal or other proceedings for review,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shall be required in conformity with U.S. GAAP shall have been made therefor;</w:t>
      </w:r>
    </w:p>
    <w:p>
      <w:pPr>
        <w:spacing w:after="0" w:line="75" w:lineRule="exact"/>
        <w:rPr>
          <w:rFonts w:ascii="Arial" w:cs="Arial" w:eastAsia="Arial" w:hAnsi="Arial"/>
          <w:sz w:val="18"/>
          <w:szCs w:val="18"/>
          <w:color w:val="auto"/>
        </w:rPr>
      </w:pPr>
    </w:p>
    <w:p>
      <w:pPr>
        <w:ind w:left="940" w:hanging="532"/>
        <w:spacing w:after="0"/>
        <w:tabs>
          <w:tab w:leader="none" w:pos="94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Liens granted to the Trustee for its compensation and indemnities pursuant to this Indenture;</w:t>
      </w:r>
    </w:p>
    <w:p>
      <w:pPr>
        <w:spacing w:after="0" w:line="117" w:lineRule="exact"/>
        <w:rPr>
          <w:rFonts w:ascii="Arial" w:cs="Arial" w:eastAsia="Arial" w:hAnsi="Arial"/>
          <w:sz w:val="18"/>
          <w:szCs w:val="18"/>
          <w:color w:val="auto"/>
        </w:rPr>
      </w:pPr>
    </w:p>
    <w:p>
      <w:pPr>
        <w:ind w:right="400" w:firstLine="408"/>
        <w:spacing w:after="0" w:line="342" w:lineRule="auto"/>
        <w:tabs>
          <w:tab w:leader="none" w:pos="880" w:val="left"/>
        </w:tabs>
        <w:numPr>
          <w:ilvl w:val="0"/>
          <w:numId w:val="600"/>
        </w:numPr>
        <w:rPr>
          <w:rFonts w:ascii="Arial" w:cs="Arial" w:eastAsia="Arial" w:hAnsi="Arial"/>
          <w:sz w:val="16"/>
          <w:szCs w:val="16"/>
          <w:color w:val="auto"/>
        </w:rPr>
      </w:pPr>
      <w:r>
        <w:rPr>
          <w:rFonts w:ascii="Arial" w:cs="Arial" w:eastAsia="Arial" w:hAnsi="Arial"/>
          <w:sz w:val="16"/>
          <w:szCs w:val="16"/>
          <w:color w:val="auto"/>
        </w:rPr>
        <w:t>Liens arising out of or in connection with licenses, sublicenses, leases (other than capital leases) and subleases (including rights to use) of assets (including, without limitation, intellectual property) entered into in the ordinary course of business;</w:t>
      </w:r>
    </w:p>
    <w:p>
      <w:pPr>
        <w:spacing w:after="0" w:line="15" w:lineRule="exact"/>
        <w:rPr>
          <w:rFonts w:ascii="Arial" w:cs="Arial" w:eastAsia="Arial" w:hAnsi="Arial"/>
          <w:sz w:val="16"/>
          <w:szCs w:val="16"/>
          <w:color w:val="auto"/>
        </w:rPr>
      </w:pPr>
    </w:p>
    <w:p>
      <w:pPr>
        <w:ind w:right="180" w:firstLine="408"/>
        <w:spacing w:after="0" w:line="263" w:lineRule="auto"/>
        <w:tabs>
          <w:tab w:leader="none" w:pos="88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the Company or any of its Restricted Subsidiaries securing obligations in respect of bankers’ acceptances issued or created to facilitate the purchase, shipment or storage of such inventory or other goods in the ordinary course of business;</w:t>
      </w:r>
    </w:p>
    <w:p>
      <w:pPr>
        <w:spacing w:after="0" w:line="75" w:lineRule="exact"/>
        <w:rPr>
          <w:rFonts w:ascii="Arial" w:cs="Arial" w:eastAsia="Arial" w:hAnsi="Arial"/>
          <w:sz w:val="18"/>
          <w:szCs w:val="18"/>
          <w:color w:val="auto"/>
        </w:rPr>
      </w:pPr>
    </w:p>
    <w:p>
      <w:pPr>
        <w:ind w:right="40" w:firstLine="408"/>
        <w:spacing w:after="0" w:line="277" w:lineRule="auto"/>
        <w:tabs>
          <w:tab w:leader="none" w:pos="88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hire purchase, consignment or similar arrangement for the sale of goods in the ordinary course of business;</w:t>
      </w:r>
    </w:p>
    <w:p>
      <w:pPr>
        <w:spacing w:after="0" w:line="62" w:lineRule="exact"/>
        <w:rPr>
          <w:rFonts w:ascii="Arial" w:cs="Arial" w:eastAsia="Arial" w:hAnsi="Arial"/>
          <w:sz w:val="18"/>
          <w:szCs w:val="18"/>
          <w:color w:val="auto"/>
        </w:rPr>
      </w:pPr>
    </w:p>
    <w:p>
      <w:pPr>
        <w:ind w:right="280" w:firstLine="408"/>
        <w:spacing w:after="0" w:line="259" w:lineRule="auto"/>
        <w:tabs>
          <w:tab w:leader="none" w:pos="88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Liens arising under customary provisions limiting the disposition or distribution of assets or property or any related restrictions thereon in operating agreements, joint venture agreements, partnership agreements, contracts for sale and other agreements arising in the ordinary course of business;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do not extend to any assets of the Company or any of its Restricted Subsidiaries other than the assets subject to such agreements or contracts;</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20"/>
          </w:cols>
          <w:pgMar w:left="1420" w:top="273" w:right="459" w:bottom="1440" w:gutter="0" w:footer="0" w:header="0"/>
        </w:sectPr>
      </w:pPr>
    </w:p>
    <w:bookmarkStart w:id="488" w:name="page489"/>
    <w:bookmarkEnd w:id="488"/>
    <w:p>
      <w:pPr>
        <w:ind w:left="1860" w:hanging="472"/>
        <w:spacing w:after="0"/>
        <w:tabs>
          <w:tab w:leader="none" w:pos="18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1920" w:hanging="532"/>
        <w:spacing w:after="0"/>
        <w:tabs>
          <w:tab w:leader="none" w:pos="192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Liens on the Equity Interests of Unrestricted Subsidiaries;</w:t>
      </w:r>
    </w:p>
    <w:p>
      <w:pPr>
        <w:spacing w:after="0" w:line="117" w:lineRule="exact"/>
        <w:rPr>
          <w:rFonts w:ascii="Arial" w:cs="Arial" w:eastAsia="Arial" w:hAnsi="Arial"/>
          <w:sz w:val="18"/>
          <w:szCs w:val="18"/>
          <w:color w:val="auto"/>
        </w:rPr>
      </w:pPr>
    </w:p>
    <w:p>
      <w:pPr>
        <w:ind w:left="980" w:right="520" w:firstLine="408"/>
        <w:spacing w:after="0" w:line="342" w:lineRule="auto"/>
        <w:tabs>
          <w:tab w:leader="none" w:pos="1860" w:val="left"/>
        </w:tabs>
        <w:numPr>
          <w:ilvl w:val="0"/>
          <w:numId w:val="601"/>
        </w:numPr>
        <w:rPr>
          <w:rFonts w:ascii="Arial" w:cs="Arial" w:eastAsia="Arial" w:hAnsi="Arial"/>
          <w:sz w:val="16"/>
          <w:szCs w:val="16"/>
          <w:color w:val="auto"/>
        </w:rPr>
      </w:pPr>
      <w:r>
        <w:rPr>
          <w:rFonts w:ascii="Arial" w:cs="Arial" w:eastAsia="Arial" w:hAnsi="Arial"/>
          <w:sz w:val="16"/>
          <w:szCs w:val="16"/>
          <w:color w:val="auto"/>
        </w:rPr>
        <w:t>Liens created or Incurred under, pursuant to or in connection with the Services and Right to Use Agreement or the Reinvestment Agreement, including Liens on any revenues or receipts thereunder or any accounts created or maintained thereunder;</w:t>
      </w:r>
    </w:p>
    <w:p>
      <w:pPr>
        <w:spacing w:after="0" w:line="15" w:lineRule="exact"/>
        <w:rPr>
          <w:rFonts w:ascii="Arial" w:cs="Arial" w:eastAsia="Arial" w:hAnsi="Arial"/>
          <w:sz w:val="16"/>
          <w:szCs w:val="16"/>
          <w:color w:val="auto"/>
        </w:rPr>
      </w:pPr>
    </w:p>
    <w:p>
      <w:pPr>
        <w:ind w:left="980" w:right="100" w:firstLine="408"/>
        <w:spacing w:after="0" w:line="277" w:lineRule="auto"/>
        <w:tabs>
          <w:tab w:leader="none" w:pos="18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limited recourse Liens in respect of the ownership interests in, or assets owned by, any joint ventures which are not Restricted Subsidiaries of the Company securing obligations of such joint ventures;</w:t>
      </w:r>
    </w:p>
    <w:p>
      <w:pPr>
        <w:spacing w:after="0" w:line="62" w:lineRule="exact"/>
        <w:rPr>
          <w:rFonts w:ascii="Arial" w:cs="Arial" w:eastAsia="Arial" w:hAnsi="Arial"/>
          <w:sz w:val="18"/>
          <w:szCs w:val="18"/>
          <w:color w:val="auto"/>
        </w:rPr>
      </w:pPr>
    </w:p>
    <w:p>
      <w:pPr>
        <w:ind w:left="1920" w:hanging="532"/>
        <w:spacing w:after="0"/>
        <w:tabs>
          <w:tab w:leader="none" w:pos="192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Liens securing Indebtedness Incurred pursuant to Section 4.09(b)(17) hereof;</w:t>
      </w:r>
    </w:p>
    <w:p>
      <w:pPr>
        <w:spacing w:after="0" w:line="117" w:lineRule="exact"/>
        <w:rPr>
          <w:rFonts w:ascii="Arial" w:cs="Arial" w:eastAsia="Arial" w:hAnsi="Arial"/>
          <w:sz w:val="18"/>
          <w:szCs w:val="18"/>
          <w:color w:val="auto"/>
        </w:rPr>
      </w:pPr>
    </w:p>
    <w:p>
      <w:pPr>
        <w:ind w:left="980" w:right="820" w:firstLine="408"/>
        <w:spacing w:after="0" w:line="277" w:lineRule="auto"/>
        <w:tabs>
          <w:tab w:leader="none" w:pos="18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Company or any Subsidiary of the Company with respect to Obligations that do not exceed US$5.0 million at any one time outstanding; and</w:t>
      </w:r>
    </w:p>
    <w:p>
      <w:pPr>
        <w:spacing w:after="0" w:line="62" w:lineRule="exact"/>
        <w:rPr>
          <w:rFonts w:ascii="Arial" w:cs="Arial" w:eastAsia="Arial" w:hAnsi="Arial"/>
          <w:sz w:val="18"/>
          <w:szCs w:val="18"/>
          <w:color w:val="auto"/>
        </w:rPr>
      </w:pPr>
    </w:p>
    <w:p>
      <w:pPr>
        <w:ind w:left="980" w:right="320" w:firstLine="408"/>
        <w:spacing w:after="0" w:line="259" w:lineRule="auto"/>
        <w:tabs>
          <w:tab w:leader="none" w:pos="18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Liens securing obligations under a debt service reserve account or interest reserve account (including all dividends, instruments, cash and Cash Equivalents and other property, as applicable, on deposit in such account) established for the benefit of creditors securing Indebtedness to the extent such debt service reserve account or interest reserve account is established in the ordinary course of business consistent with past practice.</w:t>
      </w:r>
    </w:p>
    <w:p>
      <w:pPr>
        <w:spacing w:after="0" w:line="187"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the Company or any of its Restricted Subsidiaries issued in exchange for, or the net proceeds of which are used to renew, refund, refinance, replace, defease or discharge other Indebtedness of the Company or any of its Restricted Subsidiaries (other than intercompany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6" w:lineRule="exact"/>
        <w:rPr>
          <w:sz w:val="20"/>
          <w:szCs w:val="20"/>
          <w:color w:val="auto"/>
        </w:rPr>
      </w:pPr>
    </w:p>
    <w:p>
      <w:pPr>
        <w:ind w:left="980" w:firstLine="408"/>
        <w:spacing w:after="0" w:line="311" w:lineRule="auto"/>
        <w:tabs>
          <w:tab w:leader="none" w:pos="1771" w:val="left"/>
        </w:tabs>
        <w:numPr>
          <w:ilvl w:val="0"/>
          <w:numId w:val="602"/>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40" w:lineRule="exact"/>
        <w:rPr>
          <w:rFonts w:ascii="Arial" w:cs="Arial" w:eastAsia="Arial" w:hAnsi="Arial"/>
          <w:sz w:val="16"/>
          <w:szCs w:val="16"/>
          <w:color w:val="auto"/>
        </w:rPr>
      </w:pPr>
    </w:p>
    <w:p>
      <w:pPr>
        <w:ind w:left="980" w:right="320" w:firstLine="408"/>
        <w:spacing w:after="0" w:line="263" w:lineRule="auto"/>
        <w:tabs>
          <w:tab w:leader="none" w:pos="1771" w:val="left"/>
        </w:tabs>
        <w:numPr>
          <w:ilvl w:val="0"/>
          <w:numId w:val="602"/>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75" w:lineRule="exact"/>
        <w:rPr>
          <w:rFonts w:ascii="Arial" w:cs="Arial" w:eastAsia="Arial" w:hAnsi="Arial"/>
          <w:sz w:val="18"/>
          <w:szCs w:val="18"/>
          <w:color w:val="auto"/>
        </w:rPr>
      </w:pPr>
    </w:p>
    <w:p>
      <w:pPr>
        <w:ind w:left="980" w:right="20" w:firstLine="408"/>
        <w:spacing w:after="0" w:line="301" w:lineRule="auto"/>
        <w:tabs>
          <w:tab w:leader="none" w:pos="1771" w:val="left"/>
        </w:tabs>
        <w:numPr>
          <w:ilvl w:val="0"/>
          <w:numId w:val="602"/>
        </w:numPr>
        <w:rPr>
          <w:rFonts w:ascii="Arial" w:cs="Arial" w:eastAsia="Arial" w:hAnsi="Arial"/>
          <w:sz w:val="16"/>
          <w:szCs w:val="16"/>
          <w:color w:val="auto"/>
        </w:rPr>
      </w:pPr>
      <w:r>
        <w:rPr>
          <w:rFonts w:ascii="Arial" w:cs="Arial" w:eastAsia="Arial" w:hAnsi="Arial"/>
          <w:sz w:val="16"/>
          <w:szCs w:val="16"/>
          <w:color w:val="auto"/>
        </w:rPr>
        <w:t>if the Indebtedness being renewed, refunded, refinanced, replaced, defeased or discharged is subordinated in right of payment to the Notes or the Note Guarantees, such Permitted Refinancing Indebtedness has a final maturity date later than the final maturity date of, and is subordinated in right of payment to, the Notes and the Note Guarantees on terms at least as favorable to the Holders as those contained in the documentation governing the Indebtedness being renewed, refunded, refinanced, replaced, defeased or discharged; and</w:t>
      </w:r>
    </w:p>
    <w:p>
      <w:pPr>
        <w:spacing w:after="0" w:line="49" w:lineRule="exact"/>
        <w:rPr>
          <w:rFonts w:ascii="Arial" w:cs="Arial" w:eastAsia="Arial" w:hAnsi="Arial"/>
          <w:sz w:val="16"/>
          <w:szCs w:val="16"/>
          <w:color w:val="auto"/>
        </w:rPr>
      </w:pPr>
    </w:p>
    <w:p>
      <w:pPr>
        <w:ind w:left="980" w:right="320" w:firstLine="408"/>
        <w:spacing w:after="0" w:line="277" w:lineRule="auto"/>
        <w:tabs>
          <w:tab w:leader="none" w:pos="1771" w:val="left"/>
        </w:tabs>
        <w:numPr>
          <w:ilvl w:val="0"/>
          <w:numId w:val="602"/>
        </w:numPr>
        <w:rPr>
          <w:rFonts w:ascii="Arial" w:cs="Arial" w:eastAsia="Arial" w:hAnsi="Arial"/>
          <w:sz w:val="18"/>
          <w:szCs w:val="18"/>
          <w:color w:val="auto"/>
        </w:rPr>
      </w:pPr>
      <w:r>
        <w:rPr>
          <w:rFonts w:ascii="Arial" w:cs="Arial" w:eastAsia="Arial" w:hAnsi="Arial"/>
          <w:sz w:val="18"/>
          <w:szCs w:val="18"/>
          <w:color w:val="auto"/>
        </w:rPr>
        <w:t>such Indebtedness is Incurred either by the Company or by the Restricted Subsidiary who is the obligor on the Indebtedness being renewed, refunded, refinanced, replaced, defeased or discharged.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3" w:right="439" w:bottom="1440" w:gutter="0" w:footer="0" w:header="0"/>
        </w:sectPr>
      </w:pPr>
    </w:p>
    <w:bookmarkStart w:id="489" w:name="page490"/>
    <w:bookmarkEnd w:id="489"/>
    <w:p>
      <w:pPr>
        <w:ind w:right="86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46"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w:t>
      </w:r>
      <w:r>
        <w:rPr>
          <w:rFonts w:ascii="Arial" w:cs="Arial" w:eastAsia="Arial" w:hAnsi="Arial"/>
          <w:sz w:val="18"/>
          <w:szCs w:val="18"/>
          <w:color w:val="auto"/>
        </w:rPr>
        <w:t>” means the approximately 477,110 gross square-meter complex on the Site which contains retail, hotel, gaming, entertainment, food and beverage outlets and entertainment studios and other facilities.</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development of the remainder of the Site, which is expected to include one or more types of Permitted Business and will be developed in accordance with the applicable governmental requirements regarding the Site.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Preferred Stock</w:t>
      </w:r>
      <w:r>
        <w:rPr>
          <w:rFonts w:ascii="Arial" w:cs="Arial" w:eastAsia="Arial" w:hAnsi="Arial"/>
          <w:sz w:val="17"/>
          <w:szCs w:val="17"/>
          <w:color w:val="auto"/>
        </w:rPr>
        <w:t>” means any Equity Interest with preferential right of payment of dividends or upon liquidation, dissolution, or winding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up.</w:t>
      </w:r>
    </w:p>
    <w:p>
      <w:pPr>
        <w:spacing w:after="0" w:line="211"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Pre-Opening Expenses</w:t>
      </w:r>
      <w:r>
        <w:rPr>
          <w:rFonts w:ascii="Arial" w:cs="Arial" w:eastAsia="Arial" w:hAnsi="Arial"/>
          <w:sz w:val="18"/>
          <w:szCs w:val="18"/>
          <w:color w:val="auto"/>
        </w:rPr>
        <w:t>” means, with respect to any fiscal period, the amount of expenses (other than interest expense) incurred with respect to capital projects that are classified as “pre-opening expenses” on the applicable financial statements of the Company and its Restricted Subsidiaries for such period, prepared in accordance with U.S. GAAP.</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2.06(f)(1) hereof to be placed on all Notes issued under this Indenture except where otherwise permitted by the provisions of this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Phase I and the Phase II Project.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issued in a denomination equal (subject to a maximum denomination of US$500 million) to the outstanding principal amount of the Notes sold in reliance on Rule 903 of Regulation S.</w:t>
      </w:r>
    </w:p>
    <w:p>
      <w:pPr>
        <w:spacing w:after="0" w:line="187"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Reinvestment Agreement</w:t>
      </w:r>
      <w:r>
        <w:rPr>
          <w:rFonts w:ascii="Arial" w:cs="Arial" w:eastAsia="Arial" w:hAnsi="Arial"/>
          <w:sz w:val="16"/>
          <w:szCs w:val="16"/>
          <w:color w:val="auto"/>
        </w:rPr>
        <w:t>” means the reimbursement agreement dated June 15, 2012, between Melco Resorts Macau and Studio City Entertainment Limited, as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r>
        <w:rPr>
          <w:rFonts w:ascii="Arial" w:cs="Arial" w:eastAsia="Arial" w:hAnsi="Arial"/>
          <w:sz w:val="18"/>
          <w:szCs w:val="18"/>
          <w:i w:val="1"/>
          <w:iCs w:val="1"/>
          <w:color w:val="auto"/>
        </w:rPr>
        <w:t>:</w:t>
      </w:r>
    </w:p>
    <w:p>
      <w:pPr>
        <w:spacing w:after="0" w:line="117" w:lineRule="exact"/>
        <w:rPr>
          <w:sz w:val="20"/>
          <w:szCs w:val="20"/>
          <w:color w:val="auto"/>
        </w:rPr>
      </w:pPr>
    </w:p>
    <w:p>
      <w:pPr>
        <w:ind w:left="1820" w:hanging="432"/>
        <w:spacing w:after="0"/>
        <w:tabs>
          <w:tab w:leader="none" w:pos="182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any controlling stockholder or majority-owned Subsidiary of Melco Resorts; or</w:t>
      </w:r>
    </w:p>
    <w:p>
      <w:pPr>
        <w:spacing w:after="0" w:line="117" w:lineRule="exact"/>
        <w:rPr>
          <w:rFonts w:ascii="Arial" w:cs="Arial" w:eastAsia="Arial" w:hAnsi="Arial"/>
          <w:sz w:val="18"/>
          <w:szCs w:val="18"/>
          <w:color w:val="auto"/>
        </w:rPr>
      </w:pPr>
    </w:p>
    <w:p>
      <w:pPr>
        <w:ind w:left="980" w:firstLine="408"/>
        <w:spacing w:after="0" w:line="263" w:lineRule="auto"/>
        <w:tabs>
          <w:tab w:leader="none" w:pos="1816"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at least 50.1% interest of which consist of Melco Resorts and/or such other Persons referred to in the immediately preceding clause (1).</w:t>
      </w:r>
    </w:p>
    <w:p>
      <w:pPr>
        <w:spacing w:after="0" w:line="184"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with direct responsibility for the administration of this Indenture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3" w:right="499" w:bottom="1440" w:gutter="0" w:footer="0" w:header="0"/>
        </w:sectPr>
      </w:pPr>
    </w:p>
    <w:bookmarkStart w:id="490" w:name="page491"/>
    <w:bookmarkEnd w:id="49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Revenue Sharing Agreement</w:t>
      </w:r>
      <w:r>
        <w:rPr>
          <w:rFonts w:ascii="Arial" w:cs="Arial" w:eastAsia="Arial" w:hAnsi="Arial"/>
          <w:sz w:val="18"/>
          <w:szCs w:val="18"/>
          <w:color w:val="auto"/>
        </w:rPr>
        <w:t>” means any joint venture, development, management, operating or similar agreement or arrangement for the sharing of revenues, profits, losses, costs or expenses entered into in connection with developments or services complementary or ancillary to the Property in the ordinary course of business (including, for the avoidance of doubt, such agreements or arrangements reasonably necessary to conduct a Permitted Business) and on arms’ length terms.</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or any successor to the rating agency business thereof.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United States Securities Act of 1933, as amended, and the rules and regulations of the SEC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means the amended and restated senior secured credit facilities dated November 30, 2016 among Studio City Company Limited, the guarantors named therein, the financial institutions named as lenders therein and the agent for such lenders, including any related notes, guarantees, collateral documents, instruments and agreements executed in connection therewith, as such facilities may be amended, restated, modified, renewed, supplemented, replaced or refinanced from time to time.</w:t>
      </w:r>
    </w:p>
    <w:p>
      <w:pPr>
        <w:spacing w:after="0" w:line="18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Services and Right to Use Agreement</w:t>
      </w:r>
      <w:r>
        <w:rPr>
          <w:rFonts w:ascii="Arial" w:cs="Arial" w:eastAsia="Arial" w:hAnsi="Arial"/>
          <w:sz w:val="18"/>
          <w:szCs w:val="18"/>
          <w:color w:val="auto"/>
        </w:rPr>
        <w:t>” means the services and right to use agreement originally dated May 11, 2007 and as amended and restated on June 15, 2012, executed with Studio City Entertainment Limited (formerly named MSC Diversões, Limitada and New Cotai Entertainment (Macau) Limited), a wholly owned indirect subsidiary of the Company, as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SGX-ST</w:t>
      </w:r>
      <w:r>
        <w:rPr>
          <w:rFonts w:ascii="Arial" w:cs="Arial" w:eastAsia="Arial" w:hAnsi="Arial"/>
          <w:sz w:val="18"/>
          <w:szCs w:val="18"/>
          <w:color w:val="auto"/>
        </w:rPr>
        <w:t>” means the Singapore Exchange Securities Trading Limited or its successor.</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 Subordinated Debt</w:t>
      </w:r>
      <w:r>
        <w:rPr>
          <w:rFonts w:ascii="Arial" w:cs="Arial" w:eastAsia="Arial" w:hAnsi="Arial"/>
          <w:sz w:val="18"/>
          <w:szCs w:val="18"/>
          <w:color w:val="auto"/>
        </w:rPr>
        <w:t xml:space="preserve">” means, collectively, any debt provided to the Company by any direct or indirect parent holding company of the Company (or Melco Resorts), in exchange for or pursuant to any security, instrument or agreement other than Capital Stock, together with any such security, instrument or agreement and any other security or instrument other than Capital Stock issued in payment of any obligation under any Shareholder Subordinated 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Shareholder Subordinated Debt:</w:t>
      </w:r>
    </w:p>
    <w:p>
      <w:pPr>
        <w:spacing w:after="0" w:line="79" w:lineRule="exact"/>
        <w:rPr>
          <w:sz w:val="20"/>
          <w:szCs w:val="20"/>
          <w:color w:val="auto"/>
        </w:rPr>
      </w:pPr>
    </w:p>
    <w:p>
      <w:pPr>
        <w:jc w:val="both"/>
        <w:ind w:left="980" w:right="40" w:firstLine="408"/>
        <w:spacing w:after="0" w:line="259" w:lineRule="auto"/>
        <w:tabs>
          <w:tab w:leader="none" w:pos="1816" w:val="left"/>
        </w:tabs>
        <w:numPr>
          <w:ilvl w:val="0"/>
          <w:numId w:val="604"/>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mature or require any amortization or other payment of principal prior to the first anniversary of the maturity of the Notes (other than through conversion or exchange of any such security or instrument for Equity Interests of the Company (other than Disqualified Stock) or for any other security or instrument meeting the requirements of the definition);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3" w:right="459" w:bottom="1440" w:gutter="0" w:footer="0" w:header="0"/>
        </w:sectPr>
      </w:pPr>
    </w:p>
    <w:bookmarkStart w:id="491" w:name="page492"/>
    <w:bookmarkEnd w:id="491"/>
    <w:p>
      <w:pPr>
        <w:ind w:left="980" w:right="220" w:firstLine="408"/>
        <w:spacing w:after="0" w:line="277" w:lineRule="auto"/>
        <w:tabs>
          <w:tab w:leader="none" w:pos="1771" w:val="left"/>
        </w:tabs>
        <w:numPr>
          <w:ilvl w:val="0"/>
          <w:numId w:val="6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does not (including upon the happening of any event) require the payment of cash interest prior to the first anniversary of the maturity of the Notes;</w:t>
      </w:r>
    </w:p>
    <w:p>
      <w:pPr>
        <w:spacing w:after="0" w:line="62" w:lineRule="exact"/>
        <w:rPr>
          <w:rFonts w:ascii="Arial" w:cs="Arial" w:eastAsia="Arial" w:hAnsi="Arial"/>
          <w:sz w:val="18"/>
          <w:szCs w:val="18"/>
          <w:color w:val="auto"/>
        </w:rPr>
      </w:pPr>
    </w:p>
    <w:p>
      <w:pPr>
        <w:jc w:val="both"/>
        <w:ind w:left="980" w:right="40" w:firstLine="408"/>
        <w:spacing w:after="0" w:line="263" w:lineRule="auto"/>
        <w:tabs>
          <w:tab w:leader="none" w:pos="1771" w:val="left"/>
        </w:tabs>
        <w:numPr>
          <w:ilvl w:val="0"/>
          <w:numId w:val="605"/>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provide for the acceleration of its maturity nor confer on its shareholders any right (including upon the happening of any event) to declare a default or event of default or take any enforcement action, in each case, prior to the first anniversary of the maturity of the Notes;</w:t>
      </w:r>
    </w:p>
    <w:p>
      <w:pPr>
        <w:spacing w:after="0" w:line="75" w:lineRule="exact"/>
        <w:rPr>
          <w:rFonts w:ascii="Arial" w:cs="Arial" w:eastAsia="Arial" w:hAnsi="Arial"/>
          <w:sz w:val="18"/>
          <w:szCs w:val="18"/>
          <w:color w:val="auto"/>
        </w:rPr>
      </w:pPr>
    </w:p>
    <w:p>
      <w:pPr>
        <w:ind w:left="980" w:right="60" w:firstLine="408"/>
        <w:spacing w:after="0" w:line="277" w:lineRule="auto"/>
        <w:tabs>
          <w:tab w:leader="none" w:pos="1771" w:val="left"/>
        </w:tabs>
        <w:numPr>
          <w:ilvl w:val="0"/>
          <w:numId w:val="605"/>
        </w:numPr>
        <w:rPr>
          <w:rFonts w:ascii="Arial" w:cs="Arial" w:eastAsia="Arial" w:hAnsi="Arial"/>
          <w:sz w:val="18"/>
          <w:szCs w:val="18"/>
          <w:color w:val="auto"/>
        </w:rPr>
      </w:pPr>
      <w:r>
        <w:rPr>
          <w:rFonts w:ascii="Arial" w:cs="Arial" w:eastAsia="Arial" w:hAnsi="Arial"/>
          <w:sz w:val="18"/>
          <w:szCs w:val="18"/>
          <w:color w:val="auto"/>
        </w:rPr>
        <w:t>is not secured by a Lien on any assets of the Company or a Restricted Subsidiary of the Company and is not guaranteed by any Subsidiary of the Company;</w:t>
      </w:r>
    </w:p>
    <w:p>
      <w:pPr>
        <w:spacing w:after="0" w:line="62" w:lineRule="exact"/>
        <w:rPr>
          <w:rFonts w:ascii="Arial" w:cs="Arial" w:eastAsia="Arial" w:hAnsi="Arial"/>
          <w:sz w:val="18"/>
          <w:szCs w:val="18"/>
          <w:color w:val="auto"/>
        </w:rPr>
      </w:pPr>
    </w:p>
    <w:p>
      <w:pPr>
        <w:ind w:left="980" w:right="360" w:firstLine="408"/>
        <w:spacing w:after="0" w:line="277" w:lineRule="auto"/>
        <w:tabs>
          <w:tab w:leader="none" w:pos="1771" w:val="left"/>
        </w:tabs>
        <w:numPr>
          <w:ilvl w:val="0"/>
          <w:numId w:val="605"/>
        </w:numPr>
        <w:rPr>
          <w:rFonts w:ascii="Arial" w:cs="Arial" w:eastAsia="Arial" w:hAnsi="Arial"/>
          <w:sz w:val="18"/>
          <w:szCs w:val="18"/>
          <w:color w:val="auto"/>
        </w:rPr>
      </w:pPr>
      <w:r>
        <w:rPr>
          <w:rFonts w:ascii="Arial" w:cs="Arial" w:eastAsia="Arial" w:hAnsi="Arial"/>
          <w:sz w:val="18"/>
          <w:szCs w:val="18"/>
          <w:color w:val="auto"/>
        </w:rPr>
        <w:t>is subordinated in right of payment to the prior payment in full in cash of the Notes in the event of any default, bankruptcy, reorganization, liquidation, winding up or other disposition of assets of the Company;</w:t>
      </w:r>
    </w:p>
    <w:p>
      <w:pPr>
        <w:spacing w:after="0" w:line="62" w:lineRule="exact"/>
        <w:rPr>
          <w:rFonts w:ascii="Arial" w:cs="Arial" w:eastAsia="Arial" w:hAnsi="Arial"/>
          <w:sz w:val="18"/>
          <w:szCs w:val="18"/>
          <w:color w:val="auto"/>
        </w:rPr>
      </w:pPr>
    </w:p>
    <w:p>
      <w:pPr>
        <w:ind w:left="980" w:firstLine="408"/>
        <w:spacing w:after="0" w:line="277" w:lineRule="auto"/>
        <w:tabs>
          <w:tab w:leader="none" w:pos="1771" w:val="left"/>
        </w:tabs>
        <w:numPr>
          <w:ilvl w:val="0"/>
          <w:numId w:val="605"/>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restrict the payment of amounts due in respect of the Notes or compliance by the Company with its obligations under the Notes, the Note Guarantees, and this Indenture;</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does not (including upon the happening of an event) constitute Voting Stock; and</w:t>
      </w:r>
    </w:p>
    <w:p>
      <w:pPr>
        <w:spacing w:after="0" w:line="117" w:lineRule="exact"/>
        <w:rPr>
          <w:rFonts w:ascii="Arial" w:cs="Arial" w:eastAsia="Arial" w:hAnsi="Arial"/>
          <w:sz w:val="18"/>
          <w:szCs w:val="18"/>
          <w:color w:val="auto"/>
        </w:rPr>
      </w:pPr>
    </w:p>
    <w:p>
      <w:pPr>
        <w:ind w:left="980" w:right="80" w:firstLine="408"/>
        <w:spacing w:after="0" w:line="263" w:lineRule="auto"/>
        <w:tabs>
          <w:tab w:leader="none" w:pos="1771" w:val="left"/>
        </w:tabs>
        <w:numPr>
          <w:ilvl w:val="0"/>
          <w:numId w:val="605"/>
        </w:numPr>
        <w:rPr>
          <w:rFonts w:ascii="Arial" w:cs="Arial" w:eastAsia="Arial" w:hAnsi="Arial"/>
          <w:sz w:val="18"/>
          <w:szCs w:val="18"/>
          <w:color w:val="auto"/>
        </w:rPr>
      </w:pPr>
      <w:r>
        <w:rPr>
          <w:rFonts w:ascii="Arial" w:cs="Arial" w:eastAsia="Arial" w:hAnsi="Arial"/>
          <w:sz w:val="18"/>
          <w:szCs w:val="18"/>
          <w:color w:val="auto"/>
        </w:rPr>
        <w:t>is not (including upon the happening of any event) mandatorily convertible or exchangeable, or convertible or exchangeable at the option of the holder, in whole or in part, prior to the date on which the Notes mature other than into or for Capital Stock (other than Disqualified Stock) of the Company.</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Site</w:t>
      </w:r>
      <w:r>
        <w:rPr>
          <w:rFonts w:ascii="Arial" w:cs="Arial" w:eastAsia="Arial" w:hAnsi="Arial"/>
          <w:sz w:val="18"/>
          <w:szCs w:val="18"/>
          <w:color w:val="auto"/>
        </w:rPr>
        <w:t>” means an approximately 130,789 square meter parcel of land in the reclaimed area between Taipa and Coloane Island (Cotai), Lotes G300, G310 and G400, registered with the Macau Real Estate Registry under no. 23059.</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Put Option Triggering Event</w:t>
      </w:r>
      <w:r>
        <w:rPr>
          <w:rFonts w:ascii="Arial" w:cs="Arial" w:eastAsia="Arial" w:hAnsi="Arial"/>
          <w:sz w:val="18"/>
          <w:szCs w:val="18"/>
          <w:color w:val="auto"/>
        </w:rPr>
        <w:t>” means:</w:t>
      </w:r>
    </w:p>
    <w:p>
      <w:pPr>
        <w:spacing w:after="0" w:line="117" w:lineRule="exact"/>
        <w:rPr>
          <w:sz w:val="20"/>
          <w:szCs w:val="20"/>
          <w:color w:val="auto"/>
        </w:rPr>
      </w:pPr>
    </w:p>
    <w:p>
      <w:pPr>
        <w:ind w:left="980" w:right="120" w:firstLine="408"/>
        <w:spacing w:after="0" w:line="259" w:lineRule="auto"/>
        <w:tabs>
          <w:tab w:leader="none" w:pos="1771"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any event after which the Gaming License or other permits or authorizations as are necessary for the operation of the Studio City Casino in substantially the same manner and scope as operations are conducted at the Issue Date cease to be in full force and effect, for a period of ten consecutive days or more, and such event has a material adverse effect on the financial condition, business, properties, or results of operations of the Company and its Subsidiaries, taken as a whole; or</w:t>
      </w:r>
    </w:p>
    <w:p>
      <w:pPr>
        <w:spacing w:after="0" w:line="78" w:lineRule="exact"/>
        <w:rPr>
          <w:rFonts w:ascii="Arial" w:cs="Arial" w:eastAsia="Arial" w:hAnsi="Arial"/>
          <w:sz w:val="18"/>
          <w:szCs w:val="18"/>
          <w:color w:val="auto"/>
        </w:rPr>
      </w:pPr>
    </w:p>
    <w:p>
      <w:pPr>
        <w:ind w:left="980" w:firstLine="408"/>
        <w:spacing w:after="0" w:line="257" w:lineRule="auto"/>
        <w:tabs>
          <w:tab w:leader="none" w:pos="1771" w:val="left"/>
        </w:tabs>
        <w:numPr>
          <w:ilvl w:val="0"/>
          <w:numId w:val="606"/>
        </w:numPr>
        <w:rPr>
          <w:rFonts w:ascii="Arial" w:cs="Arial" w:eastAsia="Arial" w:hAnsi="Arial"/>
          <w:sz w:val="18"/>
          <w:szCs w:val="18"/>
          <w:color w:val="auto"/>
        </w:rPr>
      </w:pPr>
      <w:r>
        <w:rPr>
          <w:rFonts w:ascii="Arial" w:cs="Arial" w:eastAsia="Arial" w:hAnsi="Arial"/>
          <w:sz w:val="18"/>
          <w:szCs w:val="18"/>
          <w:color w:val="auto"/>
        </w:rPr>
        <w:t xml:space="preserve">the termination, rescission, revocation or modification of any Gaming License which has had a material adverse effect on the financial condition, business, properties, or results of operations of the Company and its Subsidiaries, taken as a whole, excluding any termination or rescission resulting from or in connection with any renewal, tender or other process conducted by the government of Macau in connection with the granting or renewal of any Gaming License;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renewal, tender or other process results in the granting or renewal of the relevant Gaming License.</w:t>
      </w:r>
    </w:p>
    <w:p>
      <w:pPr>
        <w:spacing w:after="0" w:line="188" w:lineRule="exact"/>
        <w:rPr>
          <w:sz w:val="20"/>
          <w:szCs w:val="20"/>
          <w:color w:val="auto"/>
        </w:rPr>
      </w:pPr>
    </w:p>
    <w:p>
      <w:pPr>
        <w:ind w:right="20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Issue Date, and will not include any contingent obligations to repay, redeem or repurchase any such interest or principal prior to the date originally scheduled for the payment thereof.</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3" w:right="479" w:bottom="1440" w:gutter="0" w:footer="0" w:header="0"/>
        </w:sectPr>
      </w:pPr>
    </w:p>
    <w:bookmarkStart w:id="492" w:name="page493"/>
    <w:bookmarkEnd w:id="49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Studio City Casino</w:t>
      </w:r>
      <w:r>
        <w:rPr>
          <w:rFonts w:ascii="Arial" w:cs="Arial" w:eastAsia="Arial" w:hAnsi="Arial"/>
          <w:sz w:val="18"/>
          <w:szCs w:val="18"/>
          <w:color w:val="auto"/>
        </w:rPr>
        <w:t>” means any casino, gaming business or activities conducted at the Site.</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International</w:t>
      </w:r>
      <w:r>
        <w:rPr>
          <w:rFonts w:ascii="Arial" w:cs="Arial" w:eastAsia="Arial" w:hAnsi="Arial"/>
          <w:sz w:val="18"/>
          <w:szCs w:val="18"/>
          <w:color w:val="auto"/>
        </w:rPr>
        <w:t>” means Studio City International Holdings Limited, an exempted company incorporated with limited liability under the laws of the Cayman Islands.</w:t>
      </w:r>
    </w:p>
    <w:p>
      <w:pPr>
        <w:spacing w:after="0" w:line="170"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Parties</w:t>
      </w:r>
      <w:r>
        <w:rPr>
          <w:rFonts w:ascii="Arial" w:cs="Arial" w:eastAsia="Arial" w:hAnsi="Arial"/>
          <w:sz w:val="18"/>
          <w:szCs w:val="18"/>
          <w:color w:val="auto"/>
        </w:rPr>
        <w:t>” means Studio City International, Studio City Entertainment Limited, Studio City Hotels Limited, Studio City Retail Services Limited, Studio City Developments Limited, Studio City Ventures Limited, Studio City Services Limited and any other Person which accedes to the MSA as a “Studio City Party” pursuant to terms thereof.</w:t>
      </w:r>
    </w:p>
    <w:p>
      <w:pPr>
        <w:spacing w:after="0" w:line="184" w:lineRule="exact"/>
        <w:rPr>
          <w:sz w:val="20"/>
          <w:szCs w:val="20"/>
          <w:color w:val="auto"/>
        </w:rPr>
      </w:pPr>
    </w:p>
    <w:p>
      <w:pPr>
        <w:jc w:val="both"/>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Subordinated Indebtedness</w:t>
      </w:r>
      <w:r>
        <w:rPr>
          <w:rFonts w:ascii="Arial" w:cs="Arial" w:eastAsia="Arial" w:hAnsi="Arial"/>
          <w:sz w:val="17"/>
          <w:szCs w:val="17"/>
          <w:color w:val="auto"/>
        </w:rPr>
        <w:t>” means (a) with respect to the Company, any Indebtedness of the Company which is by its terms subordinated in right of payment to the Notes, and (b) with respect to any Subsidiary Guarantor, any Indebtedness of such Subsidiary Guarantor which is by its terms subordinated in right of payment to such Subsidiary Guarantor’s Obligations in respect of its Note Guarantee.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980" w:right="60" w:firstLine="408"/>
        <w:spacing w:after="0" w:line="259" w:lineRule="auto"/>
        <w:tabs>
          <w:tab w:leader="none" w:pos="1771" w:val="left"/>
        </w:tabs>
        <w:numPr>
          <w:ilvl w:val="0"/>
          <w:numId w:val="607"/>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8" w:lineRule="exact"/>
        <w:rPr>
          <w:rFonts w:ascii="Arial" w:cs="Arial" w:eastAsia="Arial" w:hAnsi="Arial"/>
          <w:sz w:val="18"/>
          <w:szCs w:val="18"/>
          <w:color w:val="auto"/>
        </w:rPr>
      </w:pPr>
    </w:p>
    <w:p>
      <w:pPr>
        <w:ind w:left="980" w:right="200" w:firstLine="408"/>
        <w:spacing w:after="0" w:line="342" w:lineRule="auto"/>
        <w:tabs>
          <w:tab w:leader="none" w:pos="1771" w:val="left"/>
        </w:tabs>
        <w:numPr>
          <w:ilvl w:val="0"/>
          <w:numId w:val="607"/>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24"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 Guarantor</w:t>
      </w:r>
      <w:r>
        <w:rPr>
          <w:rFonts w:ascii="Arial" w:cs="Arial" w:eastAsia="Arial" w:hAnsi="Arial"/>
          <w:sz w:val="17"/>
          <w:szCs w:val="17"/>
          <w:color w:val="auto"/>
        </w:rPr>
        <w:t>” means each of (1) Studio City Investments Limited, Studio City Company Limited, Studio City Holdings Two Limited, Studio City Holdings Three Limited, Studio City Holdings Four Limited, Studio City Entertainment Limited, Studio City Services Limited, Studio City Hotels Limited, SCP Holdings Limited, Studio City Hospitality and Services Limited, SCIP Holdings Limited, SCP One Limited, SCP Two Limited, Studio City Developments Limited, Studio City Retail Services Limited and Studio City (HK) Two Limited and (2) any other Subsidiary of the Company that provides a Note Guarantee in accordance with the provisions of this Indenture, and their respective successors and assigns, in each case, until the Note Guarantee of such Person has been released in accordance with the provisions of this Indenture.</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means, as of any date, the consolidated total assets of the Company and its Restricted Subsidiaries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as shown on the most recent balance sheet of such Person.</w:t>
      </w:r>
    </w:p>
    <w:p>
      <w:pPr>
        <w:spacing w:after="0" w:line="211"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offering of the Notes and the offer to purchase and/or redemption, as the case may be, of the Company’s US$600,000,000 7.250% senior notes due 2024 as described in the Offering Memorandum.</w:t>
      </w:r>
    </w:p>
    <w:p>
      <w:pPr>
        <w:spacing w:after="0" w:line="170" w:lineRule="exact"/>
        <w:rPr>
          <w:sz w:val="20"/>
          <w:szCs w:val="20"/>
          <w:color w:val="auto"/>
        </w:rPr>
      </w:pPr>
    </w:p>
    <w:p>
      <w:pPr>
        <w:ind w:right="20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as of any redemption date, the yield to maturity as of such redemption date of United States Treasury securities with a constant maturity (as compiled and published in the most recent Federal Reserve Statistical Release H. 15 (519) that has become publicly available at least two business days prior to the redemption date (or, if such Statistical Release is no longer published, any publicly available source of similar market data)) most nearly equal to the period from the redemption date to January 15, 2024; provided, however, that if the period from the redemption date to January 15, 2024 is less than one year, the weekly average yield on actually traded United States Treasury securities adjusted to a constant maturity of one year will be used.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3" w:right="459" w:bottom="1440" w:gutter="0" w:footer="0" w:header="0"/>
        </w:sectPr>
      </w:pPr>
    </w:p>
    <w:bookmarkStart w:id="493" w:name="page494"/>
    <w:bookmarkEnd w:id="493"/>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Trustee</w:t>
      </w:r>
      <w:r>
        <w:rPr>
          <w:rFonts w:ascii="Arial" w:cs="Arial" w:eastAsia="Arial" w:hAnsi="Arial"/>
          <w:sz w:val="18"/>
          <w:szCs w:val="18"/>
          <w:color w:val="auto"/>
        </w:rPr>
        <w:t>” means Deutsche Bank Trust Company Americas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Unrestricted Definitive Note</w:t>
      </w:r>
      <w:r>
        <w:rPr>
          <w:rFonts w:ascii="Arial" w:cs="Arial" w:eastAsia="Arial" w:hAnsi="Arial"/>
          <w:sz w:val="17"/>
          <w:szCs w:val="17"/>
          <w:color w:val="auto"/>
        </w:rPr>
        <w:t>” means a Definitive Note that does not bear and is not required to bear the Private Placement Legend.</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Unrestricted Subsidiary</w:t>
      </w:r>
      <w:r>
        <w:rPr>
          <w:rFonts w:ascii="Arial" w:cs="Arial" w:eastAsia="Arial" w:hAnsi="Arial"/>
          <w:sz w:val="17"/>
          <w:szCs w:val="17"/>
          <w:color w:val="auto"/>
        </w:rPr>
        <w:t>” means any Subsidiary of the Company that is designated by the Board of Directors of the Company as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Unrestricted Subsidiary pursuant to a resolution of the Board of Directors, but only to the extent that such Subsidiary:</w:t>
      </w:r>
    </w:p>
    <w:p>
      <w:pPr>
        <w:spacing w:after="0" w:line="103" w:lineRule="exact"/>
        <w:rPr>
          <w:sz w:val="20"/>
          <w:szCs w:val="20"/>
          <w:color w:val="auto"/>
        </w:rPr>
      </w:pPr>
    </w:p>
    <w:p>
      <w:pPr>
        <w:ind w:left="1820" w:hanging="432"/>
        <w:spacing w:after="0"/>
        <w:tabs>
          <w:tab w:leader="none" w:pos="1820" w:val="left"/>
        </w:tabs>
        <w:numPr>
          <w:ilvl w:val="1"/>
          <w:numId w:val="608"/>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17" w:lineRule="exact"/>
        <w:rPr>
          <w:rFonts w:ascii="Arial" w:cs="Arial" w:eastAsia="Arial" w:hAnsi="Arial"/>
          <w:sz w:val="18"/>
          <w:szCs w:val="18"/>
          <w:color w:val="auto"/>
        </w:rPr>
      </w:pPr>
    </w:p>
    <w:p>
      <w:pPr>
        <w:ind w:left="980" w:right="40" w:firstLine="408"/>
        <w:spacing w:after="0" w:line="259" w:lineRule="auto"/>
        <w:tabs>
          <w:tab w:leader="none" w:pos="1771" w:val="left"/>
        </w:tabs>
        <w:numPr>
          <w:ilvl w:val="1"/>
          <w:numId w:val="608"/>
        </w:numPr>
        <w:rPr>
          <w:rFonts w:ascii="Arial" w:cs="Arial" w:eastAsia="Arial" w:hAnsi="Arial"/>
          <w:sz w:val="18"/>
          <w:szCs w:val="18"/>
          <w:color w:val="auto"/>
        </w:rPr>
      </w:pPr>
      <w:r>
        <w:rPr>
          <w:rFonts w:ascii="Arial" w:cs="Arial" w:eastAsia="Arial" w:hAnsi="Arial"/>
          <w:sz w:val="18"/>
          <w:szCs w:val="18"/>
          <w:color w:val="auto"/>
        </w:rPr>
        <w:t>except as permitted by Section 4.11 hereof, 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608"/>
        </w:numPr>
        <w:rPr>
          <w:rFonts w:ascii="Arial" w:cs="Arial" w:eastAsia="Arial" w:hAnsi="Arial"/>
          <w:sz w:val="16"/>
          <w:szCs w:val="16"/>
          <w:color w:val="auto"/>
        </w:rPr>
      </w:pPr>
      <w:r>
        <w:rPr>
          <w:rFonts w:ascii="Arial" w:cs="Arial" w:eastAsia="Arial" w:hAnsi="Arial"/>
          <w:sz w:val="16"/>
          <w:szCs w:val="16"/>
          <w:color w:val="auto"/>
        </w:rPr>
        <w:t>is a Person with respect to which neither the Company nor any of its Restricted Subsidiaries has any direct or indirect obligation</w:t>
      </w:r>
    </w:p>
    <w:p>
      <w:pPr>
        <w:spacing w:after="0" w:line="46" w:lineRule="exact"/>
        <w:rPr>
          <w:rFonts w:ascii="Arial" w:cs="Arial" w:eastAsia="Arial" w:hAnsi="Arial"/>
          <w:sz w:val="16"/>
          <w:szCs w:val="16"/>
          <w:color w:val="auto"/>
        </w:rPr>
      </w:pPr>
    </w:p>
    <w:p>
      <w:pPr>
        <w:ind w:left="980" w:right="200" w:firstLine="7"/>
        <w:spacing w:after="0" w:line="260" w:lineRule="auto"/>
        <w:tabs>
          <w:tab w:leader="none" w:pos="122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subscribe for additional Equity Interests or (b) to maintain or preserve such Person’s financial condition or to cause such Person to achieve any specified levels of operating results; and</w:t>
      </w:r>
    </w:p>
    <w:p>
      <w:pPr>
        <w:spacing w:after="0" w:line="77" w:lineRule="exact"/>
        <w:rPr>
          <w:rFonts w:ascii="Arial" w:cs="Arial" w:eastAsia="Arial" w:hAnsi="Arial"/>
          <w:sz w:val="18"/>
          <w:szCs w:val="18"/>
          <w:color w:val="auto"/>
        </w:rPr>
      </w:pPr>
    </w:p>
    <w:p>
      <w:pPr>
        <w:ind w:left="980" w:right="20" w:firstLine="408"/>
        <w:spacing w:after="0" w:line="277" w:lineRule="auto"/>
        <w:tabs>
          <w:tab w:leader="none" w:pos="1771" w:val="left"/>
        </w:tabs>
        <w:numPr>
          <w:ilvl w:val="1"/>
          <w:numId w:val="609"/>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w:t>
      </w:r>
    </w:p>
    <w:p>
      <w:pPr>
        <w:spacing w:after="0" w:line="117" w:lineRule="exact"/>
        <w:rPr>
          <w:sz w:val="20"/>
          <w:szCs w:val="20"/>
          <w:color w:val="auto"/>
        </w:rPr>
      </w:pPr>
    </w:p>
    <w:p>
      <w:pPr>
        <w:ind w:left="1780" w:hanging="392"/>
        <w:spacing w:after="0"/>
        <w:tabs>
          <w:tab w:leader="none" w:pos="1780" w:val="left"/>
        </w:tabs>
        <w:numPr>
          <w:ilvl w:val="0"/>
          <w:numId w:val="610"/>
        </w:numPr>
        <w:rPr>
          <w:rFonts w:ascii="Arial" w:cs="Arial" w:eastAsia="Arial" w:hAnsi="Arial"/>
          <w:sz w:val="17"/>
          <w:szCs w:val="17"/>
          <w:color w:val="auto"/>
        </w:rPr>
      </w:pPr>
      <w:r>
        <w:rPr>
          <w:rFonts w:ascii="Arial" w:cs="Arial" w:eastAsia="Arial" w:hAnsi="Arial"/>
          <w:sz w:val="17"/>
          <w:szCs w:val="17"/>
          <w:color w:val="auto"/>
        </w:rPr>
        <w:t>direct obligations of the United States of America for the timely payment of which its full faith and credit is pledged, or</w:t>
      </w:r>
    </w:p>
    <w:p>
      <w:pPr>
        <w:spacing w:after="0" w:line="128" w:lineRule="exact"/>
        <w:rPr>
          <w:rFonts w:ascii="Arial" w:cs="Arial" w:eastAsia="Arial" w:hAnsi="Arial"/>
          <w:sz w:val="17"/>
          <w:szCs w:val="17"/>
          <w:color w:val="auto"/>
        </w:rPr>
      </w:pPr>
    </w:p>
    <w:p>
      <w:pPr>
        <w:ind w:left="980" w:right="100" w:firstLine="408"/>
        <w:spacing w:after="0" w:line="342" w:lineRule="auto"/>
        <w:tabs>
          <w:tab w:leader="none" w:pos="1771" w:val="left"/>
        </w:tabs>
        <w:numPr>
          <w:ilvl w:val="0"/>
          <w:numId w:val="610"/>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24"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 xml:space="preserve">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(except as required by law) such custodian is not authorized to make any deduction from the amount payable to the holder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depository receipt from any amount received by the custodian in respect of the U.S. Government Obligations or the specific payment of principal of or interest on the U.S. Government Obligations evidenced by such depository receipt.</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3" w:right="459" w:bottom="1440" w:gutter="0" w:footer="0" w:header="0"/>
        </w:sectPr>
      </w:pPr>
    </w:p>
    <w:bookmarkStart w:id="494" w:name="page495"/>
    <w:bookmarkEnd w:id="494"/>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129" w:lineRule="exact"/>
        <w:rPr>
          <w:sz w:val="20"/>
          <w:szCs w:val="20"/>
          <w:color w:val="auto"/>
        </w:rPr>
      </w:pPr>
    </w:p>
    <w:p>
      <w:pPr>
        <w:ind w:left="980" w:firstLine="408"/>
        <w:spacing w:after="0" w:line="286" w:lineRule="auto"/>
        <w:tabs>
          <w:tab w:leader="none" w:pos="1771" w:val="left"/>
        </w:tabs>
        <w:numPr>
          <w:ilvl w:val="0"/>
          <w:numId w:val="611"/>
        </w:numPr>
        <w:rPr>
          <w:rFonts w:ascii="Arial" w:cs="Arial" w:eastAsia="Arial" w:hAnsi="Arial"/>
          <w:sz w:val="17"/>
          <w:szCs w:val="17"/>
          <w:color w:val="auto"/>
        </w:rPr>
      </w:pPr>
      <w:r>
        <w:rPr>
          <w:rFonts w:ascii="Arial" w:cs="Arial" w:eastAsia="Arial" w:hAnsi="Arial"/>
          <w:sz w:val="17"/>
          <w:szCs w:val="17"/>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7" w:lineRule="exact"/>
        <w:rPr>
          <w:rFonts w:ascii="Arial" w:cs="Arial" w:eastAsia="Arial" w:hAnsi="Arial"/>
          <w:sz w:val="17"/>
          <w:szCs w:val="17"/>
          <w:color w:val="auto"/>
        </w:rPr>
      </w:pPr>
    </w:p>
    <w:p>
      <w:pPr>
        <w:ind w:left="1820" w:hanging="432"/>
        <w:spacing w:after="0"/>
        <w:tabs>
          <w:tab w:leader="none" w:pos="182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Restricted Subsidiary</w:t>
      </w:r>
      <w:r>
        <w:rPr>
          <w:rFonts w:ascii="Arial" w:cs="Arial" w:eastAsia="Arial" w:hAnsi="Arial"/>
          <w:sz w:val="18"/>
          <w:szCs w:val="18"/>
          <w:color w:val="auto"/>
        </w:rPr>
        <w:t>” is any Wholly-Owned Subsidiary that is a Restricted Subsidiary.</w:t>
      </w:r>
    </w:p>
    <w:p>
      <w:pPr>
        <w:spacing w:after="0" w:line="225"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of any Person means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3" w:right="459" w:bottom="1440" w:gutter="0" w:footer="0" w:header="0"/>
        </w:sectPr>
      </w:pPr>
    </w:p>
    <w:bookmarkStart w:id="495" w:name="page496"/>
    <w:bookmarkEnd w:id="495"/>
    <w:p>
      <w:pPr>
        <w:spacing w:after="0"/>
        <w:tabs>
          <w:tab w:leader="none" w:pos="1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1.02</w:t>
      </w:r>
      <w:r>
        <w:rPr>
          <w:sz w:val="20"/>
          <w:szCs w:val="20"/>
          <w:color w:val="auto"/>
        </w:rPr>
        <w:tab/>
      </w:r>
      <w:r>
        <w:rPr>
          <w:rFonts w:ascii="Arial" w:cs="Arial" w:eastAsia="Arial" w:hAnsi="Arial"/>
          <w:sz w:val="17"/>
          <w:szCs w:val="17"/>
          <w:i w:val="1"/>
          <w:iCs w:val="1"/>
          <w:color w:val="auto"/>
        </w:rPr>
        <w:t>Other Definitions.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color w:val="auto"/>
                <w:w w:val="91"/>
              </w:rPr>
              <w:t>Term</w:t>
            </w:r>
          </w:p>
        </w:tc>
        <w:tc>
          <w:tcPr>
            <w:tcW w:w="5960" w:type="dxa"/>
            <w:vAlign w:val="bottom"/>
            <w:vMerge w:val="restart"/>
          </w:tcPr>
          <w:p>
            <w:pPr>
              <w:spacing w:after="0"/>
              <w:rPr>
                <w:sz w:val="14"/>
                <w:szCs w:val="14"/>
                <w:color w:val="auto"/>
              </w:rPr>
            </w:pPr>
          </w:p>
        </w:tc>
        <w:tc>
          <w:tcPr>
            <w:tcW w:w="2980" w:type="dxa"/>
            <w:vAlign w:val="bottom"/>
            <w:gridSpan w:val="2"/>
          </w:tcPr>
          <w:p>
            <w:pPr>
              <w:jc w:val="center"/>
              <w:ind w:left="2251"/>
              <w:spacing w:after="0"/>
              <w:rPr>
                <w:sz w:val="20"/>
                <w:szCs w:val="20"/>
                <w:color w:val="auto"/>
              </w:rPr>
            </w:pPr>
            <w:r>
              <w:rPr>
                <w:rFonts w:ascii="Arial" w:cs="Arial" w:eastAsia="Arial" w:hAnsi="Arial"/>
                <w:sz w:val="14"/>
                <w:szCs w:val="14"/>
                <w:color w:val="auto"/>
                <w:w w:val="95"/>
              </w:rPr>
              <w:t>Defined in</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line="189"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2360" w:type="dxa"/>
            <w:vAlign w:val="bottom"/>
          </w:tcPr>
          <w:p>
            <w:pPr>
              <w:spacing w:after="0"/>
              <w:rPr>
                <w:sz w:val="16"/>
                <w:szCs w:val="16"/>
                <w:color w:val="auto"/>
              </w:rPr>
            </w:pPr>
          </w:p>
        </w:tc>
        <w:tc>
          <w:tcPr>
            <w:tcW w:w="620" w:type="dxa"/>
            <w:vAlign w:val="bottom"/>
          </w:tcPr>
          <w:p>
            <w:pPr>
              <w:jc w:val="center"/>
              <w:spacing w:after="0" w:line="189" w:lineRule="exact"/>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Authentication Order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8.03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Subsidiary Guarantor Enforcement Sale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88"/>
              </w:rPr>
              <w:t>11.08</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 parent companies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4.10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Guaranteed Obligations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88"/>
              </w:rPr>
              <w:t>11.01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8.02</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Amount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Period</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Debt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Default</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3.07</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Jurisdiction</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4.07</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Reversion Date</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i w:val="1"/>
                <w:iCs w:val="1"/>
                <w:color w:val="auto"/>
              </w:rPr>
              <w:t>“Special Put Option Offer”</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i w:val="1"/>
                <w:iCs w:val="1"/>
                <w:color w:val="auto"/>
              </w:rPr>
              <w:t>“Special Put Option Payment”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Suspended Covenants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Suspension Period</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2980" w:type="dxa"/>
            <w:vAlign w:val="bottom"/>
            <w:gridSpan w:val="2"/>
          </w:tcPr>
          <w:p>
            <w:pPr>
              <w:jc w:val="center"/>
              <w:ind w:left="2251"/>
              <w:spacing w:after="0"/>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i w:val="1"/>
          <w:iCs w:val="1"/>
          <w:color w:val="auto"/>
        </w:rPr>
        <w:t>Rules of Construction.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380" w:hanging="432"/>
        <w:spacing w:after="0"/>
        <w:tabs>
          <w:tab w:leader="none" w:pos="13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340" w:hanging="392"/>
        <w:spacing w:after="0"/>
        <w:tabs>
          <w:tab w:leader="none" w:pos="134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U.S. GAAP;</w:t>
      </w:r>
    </w:p>
    <w:p>
      <w:pPr>
        <w:spacing w:after="0" w:line="117" w:lineRule="exact"/>
        <w:rPr>
          <w:rFonts w:ascii="Arial" w:cs="Arial" w:eastAsia="Arial" w:hAnsi="Arial"/>
          <w:sz w:val="18"/>
          <w:szCs w:val="18"/>
          <w:color w:val="auto"/>
        </w:rPr>
      </w:pPr>
    </w:p>
    <w:p>
      <w:pPr>
        <w:ind w:left="1380" w:hanging="432"/>
        <w:spacing w:after="0"/>
        <w:tabs>
          <w:tab w:leader="none" w:pos="13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380" w:hanging="432"/>
        <w:spacing w:after="0"/>
        <w:tabs>
          <w:tab w:leader="none" w:pos="13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380" w:hanging="432"/>
        <w:spacing w:after="0"/>
        <w:tabs>
          <w:tab w:leader="none" w:pos="13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380" w:hanging="432"/>
        <w:spacing w:after="0"/>
        <w:tabs>
          <w:tab w:leader="none" w:pos="13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17" w:lineRule="exact"/>
        <w:rPr>
          <w:rFonts w:ascii="Arial" w:cs="Arial" w:eastAsia="Arial" w:hAnsi="Arial"/>
          <w:sz w:val="18"/>
          <w:szCs w:val="18"/>
          <w:color w:val="auto"/>
        </w:rPr>
      </w:pPr>
    </w:p>
    <w:p>
      <w:pPr>
        <w:ind w:left="540" w:firstLine="408"/>
        <w:spacing w:after="0" w:line="277" w:lineRule="auto"/>
        <w:tabs>
          <w:tab w:leader="none" w:pos="1331" w:val="left"/>
        </w:tabs>
        <w:numPr>
          <w:ilvl w:val="0"/>
          <w:numId w:val="612"/>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980"/>
          </w:cols>
          <w:pgMar w:left="880" w:top="273" w:right="1039" w:bottom="1440" w:gutter="0" w:footer="0" w:header="0"/>
        </w:sectPr>
      </w:pPr>
    </w:p>
    <w:bookmarkStart w:id="496" w:name="page497"/>
    <w:bookmarkEnd w:id="496"/>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w:t>
      </w:r>
    </w:p>
    <w:p>
      <w:pPr>
        <w:spacing w:after="0" w:line="117" w:lineRule="exact"/>
        <w:rPr>
          <w:sz w:val="20"/>
          <w:szCs w:val="20"/>
          <w:color w:val="auto"/>
        </w:rPr>
      </w:pPr>
    </w:p>
    <w:p>
      <w:pPr>
        <w:ind w:right="20" w:firstLine="987"/>
        <w:spacing w:after="0" w:line="263" w:lineRule="auto"/>
        <w:tabs>
          <w:tab w:leader="none" w:pos="1236" w:val="left"/>
        </w:tabs>
        <w:numPr>
          <w:ilvl w:val="0"/>
          <w:numId w:val="613"/>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notations, legends or endorsements required by law, stock exchange rule or usage. Each Note will be dated the date of its authentication. The Notes shall be in denominations of US$200,000 and integral multiples of US$1,000 in excess thereof.</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Indenture and the Company, the Subsidiary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7" w:lineRule="exact"/>
        <w:rPr>
          <w:sz w:val="20"/>
          <w:szCs w:val="20"/>
          <w:color w:val="auto"/>
        </w:rPr>
      </w:pPr>
    </w:p>
    <w:p>
      <w:pPr>
        <w:ind w:firstLine="987"/>
        <w:spacing w:after="0" w:line="253" w:lineRule="auto"/>
        <w:tabs>
          <w:tab w:leader="none" w:pos="1381" w:val="left"/>
        </w:tabs>
        <w:numPr>
          <w:ilvl w:val="0"/>
          <w:numId w:val="614"/>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Notes issued in global form will be substantially in the form of Exhibit A hereto (including the Global Note Legend</w:t>
      </w:r>
      <w:r>
        <w:rPr>
          <w:rFonts w:ascii="Arial" w:cs="Arial" w:eastAsia="Arial" w:hAnsi="Arial"/>
          <w:sz w:val="18"/>
          <w:szCs w:val="18"/>
          <w:i w:val="1"/>
          <w:iCs w:val="1"/>
          <w:color w:val="auto"/>
        </w:rPr>
        <w:t xml:space="preserve"> </w:t>
      </w:r>
      <w:r>
        <w:rPr>
          <w:rFonts w:ascii="Arial" w:cs="Arial" w:eastAsia="Arial" w:hAnsi="Arial"/>
          <w:sz w:val="18"/>
          <w:szCs w:val="18"/>
          <w:color w:val="auto"/>
        </w:rPr>
        <w:t>thereon and 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Paying Agent, Trustee or the Registrar, at the direction of the Trustee, in accordance with instructions given by the Holder thereof as required by Section 2.06 hereof.</w:t>
      </w:r>
    </w:p>
    <w:p>
      <w:pPr>
        <w:spacing w:after="0" w:line="196" w:lineRule="exact"/>
        <w:rPr>
          <w:rFonts w:ascii="Arial" w:cs="Arial" w:eastAsia="Arial" w:hAnsi="Arial"/>
          <w:sz w:val="18"/>
          <w:szCs w:val="18"/>
          <w:color w:val="auto"/>
        </w:rPr>
      </w:pPr>
    </w:p>
    <w:p>
      <w:pPr>
        <w:ind w:right="160" w:firstLine="987"/>
        <w:spacing w:after="0" w:line="259" w:lineRule="auto"/>
        <w:tabs>
          <w:tab w:leader="none" w:pos="1371" w:val="left"/>
        </w:tabs>
        <w:numPr>
          <w:ilvl w:val="0"/>
          <w:numId w:val="614"/>
        </w:numPr>
        <w:rPr>
          <w:rFonts w:ascii="Arial" w:cs="Arial" w:eastAsia="Arial" w:hAnsi="Arial"/>
          <w:sz w:val="18"/>
          <w:szCs w:val="18"/>
          <w:color w:val="auto"/>
        </w:rPr>
      </w:pPr>
      <w:r>
        <w:rPr>
          <w:rFonts w:ascii="Arial" w:cs="Arial" w:eastAsia="Arial" w:hAnsi="Arial"/>
          <w:sz w:val="18"/>
          <w:szCs w:val="18"/>
          <w:i w:val="1"/>
          <w:iCs w:val="1"/>
          <w:color w:val="auto"/>
        </w:rPr>
        <w:t xml:space="preserve">Euroclear and Clearstream, Luxembourg Procedures Applicable. </w:t>
      </w:r>
      <w:r>
        <w:rPr>
          <w:rFonts w:ascii="Arial" w:cs="Arial" w:eastAsia="Arial" w:hAnsi="Arial"/>
          <w:sz w:val="18"/>
          <w:szCs w:val="18"/>
          <w:color w:val="auto"/>
        </w:rPr>
        <w:t>The provisions of the “Operating Procedures of the Euroclear</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“Terms and Conditions Governing Use of Euroclear” and the “General Terms and Conditions—Clearstream Banking, Luxembourg” and “Customer Handbook” of Clearstream, Luxembourg will be applicable to transfers of beneficial interests in the Regulation S Global Note that are held by Participants through Euroclear or Clearstream, Luxembourg.</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 least one Officer must sign the Notes for the Company by manual or facsimile signature.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A Note will not be valid until authenticated by the manual or electronic signature of the Trustee. The signature will be conclusive evidence that the Note has been authenticated under this Indenture.</w:t>
      </w:r>
    </w:p>
    <w:p>
      <w:pPr>
        <w:spacing w:after="0" w:line="170"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The Company may issue additional notes under the Indenture from time to time after the Issue Date. Any issuance of Additional Notes shall be subject to all of the covenants described under Article 4 of this Indenture, including Section 4.09 hereof. The Notes and any Additional Notes subsequently issued under this Indenture will be treated as a single class for all purposes under the Indenture, including, without limitation, waivers, amendments,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if the Additional Notes are not fungible with the Notes for U.S. federal income tax purposes, such Additional Notes will have a separate CUSIP, ISIN or other identifying number.</w:t>
      </w:r>
    </w:p>
    <w:p>
      <w:pPr>
        <w:spacing w:after="0" w:line="176"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The Trustee will, upon receipt of a written order of the Company signed by an Officer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Section 2.07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69" w:right="459" w:bottom="1440" w:gutter="0" w:footer="0" w:header="0"/>
        </w:sectPr>
      </w:pPr>
    </w:p>
    <w:bookmarkStart w:id="497" w:name="page498"/>
    <w:bookmarkEnd w:id="497"/>
    <w:p>
      <w:pPr>
        <w:ind w:right="24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27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Paying Agent and Transfer Agent.</w:t>
      </w:r>
    </w:p>
    <w:p>
      <w:pPr>
        <w:spacing w:after="0" w:line="117" w:lineRule="exact"/>
        <w:rPr>
          <w:sz w:val="20"/>
          <w:szCs w:val="20"/>
          <w:color w:val="auto"/>
        </w:rPr>
      </w:pPr>
    </w:p>
    <w:p>
      <w:pPr>
        <w:ind w:right="80" w:firstLine="991"/>
        <w:spacing w:after="0" w:line="290" w:lineRule="auto"/>
        <w:rPr>
          <w:sz w:val="20"/>
          <w:szCs w:val="20"/>
          <w:color w:val="auto"/>
        </w:rPr>
      </w:pPr>
      <w:r>
        <w:rPr>
          <w:rFonts w:ascii="Arial" w:cs="Arial" w:eastAsia="Arial" w:hAnsi="Arial"/>
          <w:sz w:val="16"/>
          <w:szCs w:val="16"/>
          <w:color w:val="auto"/>
        </w:rPr>
        <w:t>The Company will maintain an office or agency where Notes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Company will also maintain a transfer agent (the “</w:t>
      </w:r>
      <w:r>
        <w:rPr>
          <w:rFonts w:ascii="Arial" w:cs="Arial" w:eastAsia="Arial" w:hAnsi="Arial"/>
          <w:sz w:val="16"/>
          <w:szCs w:val="16"/>
          <w:i w:val="1"/>
          <w:iCs w:val="1"/>
          <w:color w:val="auto"/>
        </w:rPr>
        <w:t>Transfer</w:t>
      </w:r>
      <w:r>
        <w:rPr>
          <w:rFonts w:ascii="Arial" w:cs="Arial" w:eastAsia="Arial" w:hAnsi="Arial"/>
          <w:sz w:val="16"/>
          <w:szCs w:val="16"/>
          <w:color w:val="auto"/>
        </w:rPr>
        <w:t xml:space="preserve"> </w:t>
      </w:r>
      <w:r>
        <w:rPr>
          <w:rFonts w:ascii="Arial" w:cs="Arial" w:eastAsia="Arial" w:hAnsi="Arial"/>
          <w:sz w:val="16"/>
          <w:szCs w:val="16"/>
          <w:i w:val="1"/>
          <w:iCs w:val="1"/>
          <w:color w:val="auto"/>
        </w:rPr>
        <w:t>Agent</w:t>
      </w:r>
      <w:r>
        <w:rPr>
          <w:rFonts w:ascii="Arial" w:cs="Arial" w:eastAsia="Arial" w:hAnsi="Arial"/>
          <w:sz w:val="16"/>
          <w:szCs w:val="16"/>
          <w:color w:val="auto"/>
        </w:rPr>
        <w:t>”). The Registrar will keep a register of the Notes and of their transfer and exchange. The Transfer Agent shall perform the functions of a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agent. The Company may appoint one or more co-registrars, one or more additional transfer agents and one or more additional paying agents. The term “Registrar” includes any co-registrar and the term “Paying Agent” includes any additional paying agent. The Company may change any Paying Agent, the Transfer Agent or Registrar without notice to any Holder and shall so notify the Trustee and each Paying Agent thereof in writing of the name and address of any Agent not a party to this Indenture. If the Company fails to appoint or maintain another entity as Registrar, Transfer Agent or Paying Agent, the Trustee shall act as such. The Company or any of its Subsidiaries may act as Paying Agent or Registrar.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Company initially appoints Deutsche Bank Trust Company Americas to act as the Registrar, Transfer Agent and Paying Agent and to act as Custodian, with respect to the Global Notes.</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117"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or the Trustee all money held by the Paying Agent for the payment of principal, premium or Additional Amounts,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Registrar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3" w:right="499" w:bottom="1440" w:gutter="0" w:footer="0" w:header="0"/>
        </w:sectPr>
      </w:pPr>
    </w:p>
    <w:bookmarkStart w:id="498" w:name="page499"/>
    <w:bookmarkEnd w:id="498"/>
    <w:p>
      <w:pPr>
        <w:ind w:left="444"/>
        <w:spacing w:after="0"/>
        <w:tabs>
          <w:tab w:leader="none" w:pos="1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2.06</w:t>
      </w:r>
      <w:r>
        <w:rPr>
          <w:sz w:val="20"/>
          <w:szCs w:val="20"/>
          <w:color w:val="auto"/>
        </w:rPr>
        <w:tab/>
      </w:r>
      <w:r>
        <w:rPr>
          <w:rFonts w:ascii="Arial" w:cs="Arial" w:eastAsia="Arial" w:hAnsi="Arial"/>
          <w:sz w:val="16"/>
          <w:szCs w:val="16"/>
          <w:i w:val="1"/>
          <w:iCs w:val="1"/>
          <w:color w:val="auto"/>
        </w:rPr>
        <w:t>Transfer and Exchange.</w:t>
      </w:r>
    </w:p>
    <w:p>
      <w:pPr>
        <w:spacing w:after="0" w:line="117" w:lineRule="exact"/>
        <w:rPr>
          <w:sz w:val="20"/>
          <w:szCs w:val="20"/>
          <w:color w:val="auto"/>
        </w:rPr>
      </w:pPr>
    </w:p>
    <w:p>
      <w:pPr>
        <w:ind w:left="4" w:firstLine="987"/>
        <w:spacing w:after="0" w:line="311" w:lineRule="auto"/>
        <w:tabs>
          <w:tab w:leader="none" w:pos="1420" w:val="left"/>
        </w:tabs>
        <w:numPr>
          <w:ilvl w:val="0"/>
          <w:numId w:val="615"/>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except as a whole by the Depositary to a nominee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40" w:lineRule="exact"/>
        <w:rPr>
          <w:rFonts w:ascii="Arial" w:cs="Arial" w:eastAsia="Arial" w:hAnsi="Arial"/>
          <w:sz w:val="16"/>
          <w:szCs w:val="16"/>
          <w:color w:val="auto"/>
        </w:rPr>
      </w:pPr>
    </w:p>
    <w:p>
      <w:pPr>
        <w:jc w:val="both"/>
        <w:ind w:left="984" w:right="40" w:firstLine="408"/>
        <w:spacing w:after="0" w:line="263" w:lineRule="auto"/>
        <w:tabs>
          <w:tab w:leader="none" w:pos="1775" w:val="left"/>
        </w:tabs>
        <w:numPr>
          <w:ilvl w:val="1"/>
          <w:numId w:val="615"/>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75" w:lineRule="exact"/>
        <w:rPr>
          <w:rFonts w:ascii="Arial" w:cs="Arial" w:eastAsia="Arial" w:hAnsi="Arial"/>
          <w:sz w:val="18"/>
          <w:szCs w:val="18"/>
          <w:color w:val="auto"/>
        </w:rPr>
      </w:pPr>
    </w:p>
    <w:p>
      <w:pPr>
        <w:ind w:left="984" w:right="700" w:firstLine="408"/>
        <w:spacing w:after="0" w:line="277" w:lineRule="auto"/>
        <w:tabs>
          <w:tab w:leader="none" w:pos="1775" w:val="left"/>
        </w:tabs>
        <w:numPr>
          <w:ilvl w:val="1"/>
          <w:numId w:val="615"/>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62" w:lineRule="exact"/>
        <w:rPr>
          <w:rFonts w:ascii="Arial" w:cs="Arial" w:eastAsia="Arial" w:hAnsi="Arial"/>
          <w:sz w:val="18"/>
          <w:szCs w:val="18"/>
          <w:color w:val="auto"/>
        </w:rPr>
      </w:pPr>
    </w:p>
    <w:p>
      <w:pPr>
        <w:ind w:left="1824" w:hanging="432"/>
        <w:spacing w:after="0"/>
        <w:tabs>
          <w:tab w:leader="none" w:pos="1824" w:val="left"/>
        </w:tabs>
        <w:numPr>
          <w:ilvl w:val="1"/>
          <w:numId w:val="615"/>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w:t>
      </w:r>
    </w:p>
    <w:p>
      <w:pPr>
        <w:spacing w:after="0" w:line="2" w:lineRule="exact"/>
        <w:rPr>
          <w:sz w:val="20"/>
          <w:szCs w:val="20"/>
          <w:color w:val="auto"/>
        </w:rPr>
      </w:pPr>
    </w:p>
    <w:p>
      <w:pPr>
        <w:ind w:left="244" w:hanging="244"/>
        <w:spacing w:after="0"/>
        <w:tabs>
          <w:tab w:leader="none" w:pos="244" w:val="left"/>
        </w:tabs>
        <w:numPr>
          <w:ilvl w:val="0"/>
          <w:numId w:val="616"/>
        </w:numPr>
        <w:rPr>
          <w:rFonts w:ascii="Arial" w:cs="Arial" w:eastAsia="Arial" w:hAnsi="Arial"/>
          <w:sz w:val="18"/>
          <w:szCs w:val="18"/>
          <w:color w:val="auto"/>
        </w:rPr>
      </w:pPr>
      <w:r>
        <w:rPr>
          <w:rFonts w:ascii="Arial" w:cs="Arial" w:eastAsia="Arial" w:hAnsi="Arial"/>
          <w:sz w:val="18"/>
          <w:szCs w:val="18"/>
          <w:color w:val="auto"/>
        </w:rPr>
        <w:t>or (f) hereof.</w:t>
      </w:r>
    </w:p>
    <w:p>
      <w:pPr>
        <w:spacing w:after="0" w:line="210" w:lineRule="exact"/>
        <w:rPr>
          <w:rFonts w:ascii="Arial" w:cs="Arial" w:eastAsia="Arial" w:hAnsi="Arial"/>
          <w:sz w:val="18"/>
          <w:szCs w:val="18"/>
          <w:color w:val="auto"/>
        </w:rPr>
      </w:pPr>
    </w:p>
    <w:p>
      <w:pPr>
        <w:ind w:left="4" w:right="60" w:firstLine="987"/>
        <w:spacing w:after="0" w:line="257" w:lineRule="auto"/>
        <w:tabs>
          <w:tab w:leader="none" w:pos="1250" w:val="left"/>
        </w:tabs>
        <w:numPr>
          <w:ilvl w:val="1"/>
          <w:numId w:val="616"/>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79" w:lineRule="exact"/>
        <w:rPr>
          <w:rFonts w:ascii="Arial" w:cs="Arial" w:eastAsia="Arial" w:hAnsi="Arial"/>
          <w:sz w:val="18"/>
          <w:szCs w:val="18"/>
          <w:color w:val="auto"/>
        </w:rPr>
      </w:pPr>
    </w:p>
    <w:p>
      <w:pPr>
        <w:ind w:left="984" w:right="60" w:firstLine="408"/>
        <w:spacing w:after="0" w:line="272" w:lineRule="auto"/>
        <w:tabs>
          <w:tab w:leader="none" w:pos="1774" w:val="left"/>
        </w:tabs>
        <w:numPr>
          <w:ilvl w:val="2"/>
          <w:numId w:val="616"/>
        </w:numPr>
        <w:rPr>
          <w:rFonts w:ascii="Arial" w:cs="Arial" w:eastAsia="Arial" w:hAnsi="Arial"/>
          <w:sz w:val="17"/>
          <w:szCs w:val="17"/>
          <w:color w:val="auto"/>
        </w:rPr>
      </w:pPr>
      <w:r>
        <w:rPr>
          <w:rFonts w:ascii="Arial" w:cs="Arial" w:eastAsia="Arial" w:hAnsi="Arial"/>
          <w:sz w:val="17"/>
          <w:szCs w:val="17"/>
          <w:i w:val="1"/>
          <w:iCs w:val="1"/>
          <w:color w:val="auto"/>
        </w:rPr>
        <w:t>Transfer of Beneficial Interests in the Same Global Note</w:t>
      </w:r>
      <w:r>
        <w:rPr>
          <w:rFonts w:ascii="Arial" w:cs="Arial" w:eastAsia="Arial" w:hAnsi="Arial"/>
          <w:sz w:val="17"/>
          <w:szCs w:val="17"/>
          <w:color w:val="auto"/>
        </w:rPr>
        <w:t>. Beneficial interests in any Restricted Global Note may be transferred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Persons who take delivery thereof in the form of a beneficial interest in the same Restricted Global Note in accordance with the transfer restrictions set forth in the Private Placement Legend;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69" w:lineRule="exact"/>
        <w:rPr>
          <w:rFonts w:ascii="Arial" w:cs="Arial" w:eastAsia="Arial" w:hAnsi="Arial"/>
          <w:sz w:val="17"/>
          <w:szCs w:val="17"/>
          <w:color w:val="auto"/>
        </w:rPr>
      </w:pPr>
    </w:p>
    <w:p>
      <w:pPr>
        <w:ind w:left="984" w:right="180" w:firstLine="408"/>
        <w:spacing w:after="0" w:line="263" w:lineRule="auto"/>
        <w:tabs>
          <w:tab w:leader="none" w:pos="1774" w:val="left"/>
        </w:tabs>
        <w:numPr>
          <w:ilvl w:val="2"/>
          <w:numId w:val="616"/>
        </w:numPr>
        <w:rPr>
          <w:rFonts w:ascii="Arial" w:cs="Arial" w:eastAsia="Arial" w:hAnsi="Arial"/>
          <w:sz w:val="18"/>
          <w:szCs w:val="18"/>
          <w:color w:val="auto"/>
        </w:rPr>
      </w:pPr>
      <w:r>
        <w:rPr>
          <w:rFonts w:ascii="Arial" w:cs="Arial" w:eastAsia="Arial" w:hAnsi="Arial"/>
          <w:sz w:val="18"/>
          <w:szCs w:val="18"/>
          <w:i w:val="1"/>
          <w:iCs w:val="1"/>
          <w:color w:val="auto"/>
        </w:rPr>
        <w:t xml:space="preserve">All Other Transfers and Exchanges of Beneficial Interests in Global Notes. </w:t>
      </w:r>
      <w:r>
        <w:rPr>
          <w:rFonts w:ascii="Arial" w:cs="Arial" w:eastAsia="Arial" w:hAnsi="Arial"/>
          <w:sz w:val="18"/>
          <w:szCs w:val="18"/>
          <w:color w:val="auto"/>
        </w:rPr>
        <w:t>In connection with all transfers and exchanges of</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interests that are not subject to Section 2.06(b)(1) above, the transferor of such beneficial interest must deliver to the Registrar either:</w:t>
      </w:r>
    </w:p>
    <w:p>
      <w:pPr>
        <w:spacing w:after="0" w:line="75" w:lineRule="exact"/>
        <w:rPr>
          <w:rFonts w:ascii="Arial" w:cs="Arial" w:eastAsia="Arial" w:hAnsi="Arial"/>
          <w:sz w:val="18"/>
          <w:szCs w:val="18"/>
          <w:color w:val="auto"/>
        </w:rPr>
      </w:pPr>
    </w:p>
    <w:p>
      <w:pPr>
        <w:ind w:left="2284" w:hanging="469"/>
        <w:spacing w:after="0"/>
        <w:tabs>
          <w:tab w:leader="none" w:pos="2284" w:val="left"/>
        </w:tabs>
        <w:numPr>
          <w:ilvl w:val="3"/>
          <w:numId w:val="616"/>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984" w:right="140" w:firstLine="360"/>
        <w:spacing w:after="0" w:line="263" w:lineRule="auto"/>
        <w:tabs>
          <w:tab w:leader="none" w:pos="2695" w:val="left"/>
        </w:tabs>
        <w:numPr>
          <w:ilvl w:val="4"/>
          <w:numId w:val="616"/>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5" w:lineRule="exact"/>
        <w:rPr>
          <w:rFonts w:ascii="Arial" w:cs="Arial" w:eastAsia="Arial" w:hAnsi="Arial"/>
          <w:sz w:val="18"/>
          <w:szCs w:val="18"/>
          <w:color w:val="auto"/>
        </w:rPr>
      </w:pPr>
    </w:p>
    <w:p>
      <w:pPr>
        <w:ind w:left="1984" w:right="100" w:firstLine="360"/>
        <w:spacing w:after="0" w:line="277" w:lineRule="auto"/>
        <w:tabs>
          <w:tab w:leader="none" w:pos="2745" w:val="left"/>
        </w:tabs>
        <w:numPr>
          <w:ilvl w:val="4"/>
          <w:numId w:val="616"/>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3" w:right="459" w:bottom="1440" w:gutter="0" w:footer="0" w:header="0"/>
        </w:sectPr>
      </w:pPr>
    </w:p>
    <w:bookmarkStart w:id="499" w:name="page500"/>
    <w:bookmarkEnd w:id="499"/>
    <w:p>
      <w:pPr>
        <w:ind w:left="2280" w:hanging="469"/>
        <w:spacing w:after="0"/>
        <w:tabs>
          <w:tab w:leader="none" w:pos="2280" w:val="left"/>
        </w:tabs>
        <w:numPr>
          <w:ilvl w:val="0"/>
          <w:numId w:val="6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both:</w:t>
      </w:r>
    </w:p>
    <w:p>
      <w:pPr>
        <w:spacing w:after="0" w:line="117" w:lineRule="exact"/>
        <w:rPr>
          <w:rFonts w:ascii="Arial" w:cs="Arial" w:eastAsia="Arial" w:hAnsi="Arial"/>
          <w:sz w:val="18"/>
          <w:szCs w:val="18"/>
          <w:color w:val="auto"/>
        </w:rPr>
      </w:pPr>
    </w:p>
    <w:p>
      <w:pPr>
        <w:ind w:left="1980" w:right="160" w:firstLine="360"/>
        <w:spacing w:after="0" w:line="263" w:lineRule="auto"/>
        <w:tabs>
          <w:tab w:leader="none" w:pos="2691" w:val="left"/>
        </w:tabs>
        <w:numPr>
          <w:ilvl w:val="1"/>
          <w:numId w:val="617"/>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75" w:lineRule="exact"/>
        <w:rPr>
          <w:rFonts w:ascii="Arial" w:cs="Arial" w:eastAsia="Arial" w:hAnsi="Arial"/>
          <w:sz w:val="18"/>
          <w:szCs w:val="18"/>
          <w:color w:val="auto"/>
        </w:rPr>
      </w:pPr>
    </w:p>
    <w:p>
      <w:pPr>
        <w:ind w:left="1980" w:right="140" w:firstLine="360"/>
        <w:spacing w:after="0" w:line="277" w:lineRule="auto"/>
        <w:tabs>
          <w:tab w:leader="none" w:pos="2741" w:val="left"/>
        </w:tabs>
        <w:numPr>
          <w:ilvl w:val="1"/>
          <w:numId w:val="617"/>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76" w:lineRule="exact"/>
        <w:rPr>
          <w:sz w:val="20"/>
          <w:szCs w:val="20"/>
          <w:color w:val="auto"/>
        </w:rPr>
      </w:pPr>
    </w:p>
    <w:p>
      <w:pPr>
        <w:ind w:left="980" w:right="160" w:firstLine="408"/>
        <w:spacing w:after="0" w:line="286" w:lineRule="auto"/>
        <w:tabs>
          <w:tab w:leader="none" w:pos="1770" w:val="left"/>
        </w:tabs>
        <w:numPr>
          <w:ilvl w:val="0"/>
          <w:numId w:val="618"/>
        </w:numPr>
        <w:rPr>
          <w:rFonts w:ascii="Arial" w:cs="Arial" w:eastAsia="Arial" w:hAnsi="Arial"/>
          <w:sz w:val="17"/>
          <w:szCs w:val="17"/>
          <w:color w:val="auto"/>
        </w:rPr>
      </w:pPr>
      <w:r>
        <w:rPr>
          <w:rFonts w:ascii="Arial" w:cs="Arial" w:eastAsia="Arial" w:hAnsi="Arial"/>
          <w:sz w:val="17"/>
          <w:szCs w:val="17"/>
          <w:i w:val="1"/>
          <w:iCs w:val="1"/>
          <w:color w:val="auto"/>
        </w:rPr>
        <w:t xml:space="preserve">Transfer of Beneficial Interests to Another Restricted Global Note. </w:t>
      </w:r>
      <w:r>
        <w:rPr>
          <w:rFonts w:ascii="Arial" w:cs="Arial" w:eastAsia="Arial" w:hAnsi="Arial"/>
          <w:sz w:val="17"/>
          <w:szCs w:val="17"/>
          <w:color w:val="auto"/>
        </w:rPr>
        <w:t>A beneficial interest in any Restricted Global Note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to a Person who takes delivery thereof in the form of a beneficial interest in another Restricted Global Note if the transfer complies with the requirements of Section 2.06(b)(2) above and the Registrar receives the following:</w:t>
      </w:r>
    </w:p>
    <w:p>
      <w:pPr>
        <w:spacing w:after="0" w:line="57" w:lineRule="exact"/>
        <w:rPr>
          <w:rFonts w:ascii="Arial" w:cs="Arial" w:eastAsia="Arial" w:hAnsi="Arial"/>
          <w:sz w:val="17"/>
          <w:szCs w:val="17"/>
          <w:color w:val="auto"/>
        </w:rPr>
      </w:pPr>
    </w:p>
    <w:p>
      <w:pPr>
        <w:ind w:left="1420" w:right="200" w:firstLine="391"/>
        <w:spacing w:after="0" w:line="277" w:lineRule="auto"/>
        <w:tabs>
          <w:tab w:leader="none" w:pos="2233" w:val="left"/>
        </w:tabs>
        <w:numPr>
          <w:ilvl w:val="1"/>
          <w:numId w:val="618"/>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 and</w:t>
      </w:r>
    </w:p>
    <w:p>
      <w:pPr>
        <w:spacing w:after="0" w:line="62" w:lineRule="exact"/>
        <w:rPr>
          <w:rFonts w:ascii="Arial" w:cs="Arial" w:eastAsia="Arial" w:hAnsi="Arial"/>
          <w:sz w:val="18"/>
          <w:szCs w:val="18"/>
          <w:color w:val="auto"/>
        </w:rPr>
      </w:pPr>
    </w:p>
    <w:p>
      <w:pPr>
        <w:ind w:left="1420" w:right="80" w:firstLine="391"/>
        <w:spacing w:after="0" w:line="277" w:lineRule="auto"/>
        <w:tabs>
          <w:tab w:leader="none" w:pos="2223" w:val="left"/>
        </w:tabs>
        <w:numPr>
          <w:ilvl w:val="1"/>
          <w:numId w:val="618"/>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Regulation S Global Note, then the transferor must deliver a certificate in the form of Exhibit B hereto, including the certifications in item (2) thereof.</w:t>
      </w:r>
    </w:p>
    <w:p>
      <w:pPr>
        <w:spacing w:after="0" w:line="62" w:lineRule="exact"/>
        <w:rPr>
          <w:rFonts w:ascii="Arial" w:cs="Arial" w:eastAsia="Arial" w:hAnsi="Arial"/>
          <w:sz w:val="18"/>
          <w:szCs w:val="18"/>
          <w:color w:val="auto"/>
        </w:rPr>
      </w:pPr>
    </w:p>
    <w:p>
      <w:pPr>
        <w:ind w:left="980" w:firstLine="408"/>
        <w:spacing w:after="0" w:line="301" w:lineRule="auto"/>
        <w:tabs>
          <w:tab w:leader="none" w:pos="1767" w:val="left"/>
        </w:tabs>
        <w:numPr>
          <w:ilvl w:val="0"/>
          <w:numId w:val="618"/>
        </w:numPr>
        <w:rPr>
          <w:rFonts w:ascii="Arial" w:cs="Arial" w:eastAsia="Arial" w:hAnsi="Arial"/>
          <w:sz w:val="16"/>
          <w:szCs w:val="16"/>
          <w:color w:val="auto"/>
        </w:rPr>
      </w:pPr>
      <w:r>
        <w:rPr>
          <w:rFonts w:ascii="Arial" w:cs="Arial" w:eastAsia="Arial" w:hAnsi="Arial"/>
          <w:sz w:val="16"/>
          <w:szCs w:val="16"/>
          <w:color w:val="auto"/>
        </w:rPr>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49" w:lineRule="exact"/>
        <w:rPr>
          <w:rFonts w:ascii="Arial" w:cs="Arial" w:eastAsia="Arial" w:hAnsi="Arial"/>
          <w:sz w:val="16"/>
          <w:szCs w:val="16"/>
          <w:color w:val="auto"/>
        </w:rPr>
      </w:pPr>
    </w:p>
    <w:p>
      <w:pPr>
        <w:ind w:left="1980" w:right="180" w:firstLine="360"/>
        <w:spacing w:after="0" w:line="263" w:lineRule="auto"/>
        <w:tabs>
          <w:tab w:leader="none" w:pos="2691" w:val="left"/>
        </w:tabs>
        <w:numPr>
          <w:ilvl w:val="2"/>
          <w:numId w:val="618"/>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75" w:lineRule="exact"/>
        <w:rPr>
          <w:rFonts w:ascii="Arial" w:cs="Arial" w:eastAsia="Arial" w:hAnsi="Arial"/>
          <w:sz w:val="18"/>
          <w:szCs w:val="18"/>
          <w:color w:val="auto"/>
        </w:rPr>
      </w:pPr>
    </w:p>
    <w:p>
      <w:pPr>
        <w:jc w:val="both"/>
        <w:ind w:left="1980" w:right="40" w:firstLine="360"/>
        <w:spacing w:after="0" w:line="263" w:lineRule="auto"/>
        <w:tabs>
          <w:tab w:leader="none" w:pos="2741" w:val="left"/>
        </w:tabs>
        <w:numPr>
          <w:ilvl w:val="2"/>
          <w:numId w:val="618"/>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76" w:lineRule="exact"/>
        <w:rPr>
          <w:sz w:val="20"/>
          <w:szCs w:val="20"/>
          <w:color w:val="auto"/>
        </w:rPr>
      </w:pPr>
    </w:p>
    <w:p>
      <w:pPr>
        <w:ind w:left="1420" w:right="120"/>
        <w:spacing w:after="0" w:line="259" w:lineRule="auto"/>
        <w:rPr>
          <w:sz w:val="20"/>
          <w:szCs w:val="20"/>
          <w:color w:val="auto"/>
        </w:rPr>
      </w:pPr>
      <w:r>
        <w:rPr>
          <w:rFonts w:ascii="Arial" w:cs="Arial" w:eastAsia="Arial" w:hAnsi="Arial"/>
          <w:sz w:val="18"/>
          <w:szCs w:val="18"/>
          <w:color w:val="auto"/>
        </w:rPr>
        <w:t>and, in each such case set forth,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3" w:right="459" w:bottom="1440" w:gutter="0" w:footer="0" w:header="0"/>
        </w:sectPr>
      </w:pPr>
    </w:p>
    <w:bookmarkStart w:id="500" w:name="page501"/>
    <w:bookmarkEnd w:id="500"/>
    <w:p>
      <w:pPr>
        <w:jc w:val="both"/>
        <w:ind w:right="2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such transfer is effected pursuant to the paragraph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the paragraph above.</w:t>
      </w:r>
    </w:p>
    <w:p>
      <w:pPr>
        <w:spacing w:after="0" w:line="187"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70" w:lineRule="exact"/>
        <w:rPr>
          <w:sz w:val="20"/>
          <w:szCs w:val="20"/>
          <w:color w:val="auto"/>
        </w:rPr>
      </w:pPr>
    </w:p>
    <w:p>
      <w:pPr>
        <w:ind w:left="1420" w:hanging="433"/>
        <w:spacing w:after="0"/>
        <w:tabs>
          <w:tab w:leader="none" w:pos="1420" w:val="left"/>
        </w:tabs>
        <w:numPr>
          <w:ilvl w:val="0"/>
          <w:numId w:val="619"/>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60" w:firstLine="408"/>
        <w:spacing w:after="0" w:line="259" w:lineRule="auto"/>
        <w:tabs>
          <w:tab w:leader="none" w:pos="1815" w:val="left"/>
        </w:tabs>
        <w:numPr>
          <w:ilvl w:val="1"/>
          <w:numId w:val="619"/>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Notes to Restricted Definitive Notes. </w:t>
      </w:r>
      <w:r>
        <w:rPr>
          <w:rFonts w:ascii="Arial" w:cs="Arial" w:eastAsia="Arial" w:hAnsi="Arial"/>
          <w:sz w:val="18"/>
          <w:szCs w:val="18"/>
          <w:color w:val="auto"/>
        </w:rPr>
        <w:t>If any Holder of a beneficial interest in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78" w:lineRule="exact"/>
        <w:rPr>
          <w:rFonts w:ascii="Arial" w:cs="Arial" w:eastAsia="Arial" w:hAnsi="Arial"/>
          <w:sz w:val="18"/>
          <w:szCs w:val="18"/>
          <w:color w:val="auto"/>
        </w:rPr>
      </w:pPr>
    </w:p>
    <w:p>
      <w:pPr>
        <w:ind w:left="1420" w:right="120" w:firstLine="391"/>
        <w:spacing w:after="0" w:line="263" w:lineRule="auto"/>
        <w:tabs>
          <w:tab w:leader="none" w:pos="2233" w:val="left"/>
        </w:tabs>
        <w:numPr>
          <w:ilvl w:val="2"/>
          <w:numId w:val="619"/>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75" w:lineRule="exact"/>
        <w:rPr>
          <w:rFonts w:ascii="Arial" w:cs="Arial" w:eastAsia="Arial" w:hAnsi="Arial"/>
          <w:sz w:val="18"/>
          <w:szCs w:val="18"/>
          <w:color w:val="auto"/>
        </w:rPr>
      </w:pPr>
    </w:p>
    <w:p>
      <w:pPr>
        <w:ind w:left="1420" w:right="140" w:firstLine="391"/>
        <w:spacing w:after="0" w:line="277" w:lineRule="auto"/>
        <w:tabs>
          <w:tab w:leader="none" w:pos="2223" w:val="left"/>
        </w:tabs>
        <w:numPr>
          <w:ilvl w:val="2"/>
          <w:numId w:val="619"/>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1420" w:right="280" w:firstLine="391"/>
        <w:spacing w:after="0" w:line="308" w:lineRule="auto"/>
        <w:tabs>
          <w:tab w:leader="none" w:pos="2223" w:val="left"/>
        </w:tabs>
        <w:numPr>
          <w:ilvl w:val="2"/>
          <w:numId w:val="619"/>
        </w:numPr>
        <w:rPr>
          <w:rFonts w:ascii="Arial" w:cs="Arial" w:eastAsia="Arial" w:hAnsi="Arial"/>
          <w:sz w:val="17"/>
          <w:szCs w:val="17"/>
          <w:color w:val="auto"/>
        </w:rPr>
      </w:pPr>
      <w:r>
        <w:rPr>
          <w:rFonts w:ascii="Arial" w:cs="Arial" w:eastAsia="Arial" w:hAnsi="Arial"/>
          <w:sz w:val="17"/>
          <w:szCs w:val="17"/>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38" w:lineRule="exact"/>
        <w:rPr>
          <w:rFonts w:ascii="Arial" w:cs="Arial" w:eastAsia="Arial" w:hAnsi="Arial"/>
          <w:sz w:val="17"/>
          <w:szCs w:val="17"/>
          <w:color w:val="auto"/>
        </w:rPr>
      </w:pPr>
    </w:p>
    <w:p>
      <w:pPr>
        <w:ind w:left="1420" w:firstLine="391"/>
        <w:spacing w:after="0" w:line="291" w:lineRule="auto"/>
        <w:tabs>
          <w:tab w:leader="none" w:pos="2233" w:val="left"/>
        </w:tabs>
        <w:numPr>
          <w:ilvl w:val="2"/>
          <w:numId w:val="619"/>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w:t>
      </w:r>
    </w:p>
    <w:p>
      <w:pPr>
        <w:ind w:left="1420"/>
        <w:spacing w:after="0"/>
        <w:rPr>
          <w:rFonts w:ascii="Arial" w:cs="Arial" w:eastAsia="Arial" w:hAnsi="Arial"/>
          <w:sz w:val="16"/>
          <w:szCs w:val="16"/>
          <w:color w:val="auto"/>
        </w:rPr>
      </w:pPr>
      <w:r>
        <w:rPr>
          <w:rFonts w:ascii="Arial" w:cs="Arial" w:eastAsia="Arial" w:hAnsi="Arial"/>
          <w:sz w:val="18"/>
          <w:szCs w:val="18"/>
          <w:color w:val="auto"/>
        </w:rPr>
        <w:t>(3)(a) thereof;</w:t>
      </w:r>
    </w:p>
    <w:p>
      <w:pPr>
        <w:spacing w:after="0" w:line="102" w:lineRule="exact"/>
        <w:rPr>
          <w:rFonts w:ascii="Arial" w:cs="Arial" w:eastAsia="Arial" w:hAnsi="Arial"/>
          <w:sz w:val="16"/>
          <w:szCs w:val="16"/>
          <w:color w:val="auto"/>
        </w:rPr>
      </w:pPr>
    </w:p>
    <w:p>
      <w:pPr>
        <w:ind w:left="1420" w:right="20" w:firstLine="391"/>
        <w:spacing w:after="0" w:line="277" w:lineRule="auto"/>
        <w:tabs>
          <w:tab w:leader="none" w:pos="2213" w:val="left"/>
        </w:tabs>
        <w:numPr>
          <w:ilvl w:val="2"/>
          <w:numId w:val="619"/>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1420" w:right="260" w:firstLine="391"/>
        <w:spacing w:after="0" w:line="277" w:lineRule="auto"/>
        <w:tabs>
          <w:tab w:leader="none" w:pos="2203" w:val="left"/>
        </w:tabs>
        <w:numPr>
          <w:ilvl w:val="2"/>
          <w:numId w:val="619"/>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3" w:right="459" w:bottom="1440" w:gutter="0" w:footer="0" w:header="0"/>
        </w:sectPr>
      </w:pPr>
    </w:p>
    <w:bookmarkStart w:id="501" w:name="page502"/>
    <w:bookmarkEnd w:id="501"/>
    <w:p>
      <w:pPr>
        <w:ind w:left="-7" w:firstLine="408"/>
        <w:spacing w:after="0" w:line="311" w:lineRule="auto"/>
        <w:tabs>
          <w:tab w:leader="none" w:pos="828" w:val="left"/>
        </w:tabs>
        <w:numPr>
          <w:ilvl w:val="0"/>
          <w:numId w:val="62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Beneficial Interests in Restricted Global Notes to Unrestricted Definitive Notes. </w:t>
      </w:r>
      <w:r>
        <w:rPr>
          <w:rFonts w:ascii="Arial" w:cs="Arial" w:eastAsia="Arial" w:hAnsi="Arial"/>
          <w:sz w:val="16"/>
          <w:szCs w:val="16"/>
          <w:color w:val="auto"/>
        </w:rPr>
        <w:t>A Holder of a beneficial interest in a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40" w:lineRule="exact"/>
        <w:rPr>
          <w:rFonts w:ascii="Arial" w:cs="Arial" w:eastAsia="Arial" w:hAnsi="Arial"/>
          <w:sz w:val="16"/>
          <w:szCs w:val="16"/>
          <w:color w:val="auto"/>
        </w:rPr>
      </w:pPr>
    </w:p>
    <w:p>
      <w:pPr>
        <w:ind w:left="993" w:right="180" w:firstLine="360"/>
        <w:spacing w:after="0" w:line="263" w:lineRule="auto"/>
        <w:tabs>
          <w:tab w:leader="none" w:pos="1703" w:val="left"/>
        </w:tabs>
        <w:numPr>
          <w:ilvl w:val="1"/>
          <w:numId w:val="620"/>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75" w:lineRule="exact"/>
        <w:rPr>
          <w:rFonts w:ascii="Arial" w:cs="Arial" w:eastAsia="Arial" w:hAnsi="Arial"/>
          <w:sz w:val="18"/>
          <w:szCs w:val="18"/>
          <w:color w:val="auto"/>
        </w:rPr>
      </w:pPr>
    </w:p>
    <w:p>
      <w:pPr>
        <w:jc w:val="both"/>
        <w:ind w:left="993" w:right="80" w:firstLine="360"/>
        <w:spacing w:after="0" w:line="263" w:lineRule="auto"/>
        <w:tabs>
          <w:tab w:leader="none" w:pos="1753" w:val="left"/>
        </w:tabs>
        <w:numPr>
          <w:ilvl w:val="1"/>
          <w:numId w:val="620"/>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76" w:lineRule="exact"/>
        <w:rPr>
          <w:sz w:val="20"/>
          <w:szCs w:val="20"/>
          <w:color w:val="auto"/>
        </w:rPr>
      </w:pPr>
    </w:p>
    <w:p>
      <w:pPr>
        <w:ind w:left="433" w:right="26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ind w:left="-7" w:right="80" w:firstLine="408"/>
        <w:spacing w:after="0" w:line="288" w:lineRule="auto"/>
        <w:tabs>
          <w:tab w:leader="none" w:pos="828" w:val="left"/>
        </w:tabs>
        <w:numPr>
          <w:ilvl w:val="1"/>
          <w:numId w:val="621"/>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Notes to Unrestricted Definitive Notes. </w:t>
      </w:r>
      <w:r>
        <w:rPr>
          <w:rFonts w:ascii="Arial" w:cs="Arial" w:eastAsia="Arial" w:hAnsi="Arial"/>
          <w:sz w:val="16"/>
          <w:szCs w:val="16"/>
          <w:color w:val="auto"/>
        </w:rPr>
        <w:t>If any Holder of a beneficial interest in an</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68" w:lineRule="exact"/>
        <w:rPr>
          <w:rFonts w:ascii="Arial" w:cs="Arial" w:eastAsia="Arial" w:hAnsi="Arial"/>
          <w:sz w:val="16"/>
          <w:szCs w:val="16"/>
          <w:color w:val="auto"/>
        </w:rPr>
      </w:pPr>
    </w:p>
    <w:p>
      <w:pPr>
        <w:ind w:left="433" w:hanging="433"/>
        <w:spacing w:after="0"/>
        <w:tabs>
          <w:tab w:leader="none" w:pos="433"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7" w:right="20" w:firstLine="408"/>
        <w:spacing w:after="0" w:line="259" w:lineRule="auto"/>
        <w:tabs>
          <w:tab w:leader="none" w:pos="828" w:val="left"/>
        </w:tabs>
        <w:numPr>
          <w:ilvl w:val="1"/>
          <w:numId w:val="622"/>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Restricted Global Notes. </w:t>
      </w:r>
      <w:r>
        <w:rPr>
          <w:rFonts w:ascii="Arial" w:cs="Arial" w:eastAsia="Arial" w:hAnsi="Arial"/>
          <w:sz w:val="18"/>
          <w:szCs w:val="18"/>
          <w:color w:val="auto"/>
        </w:rPr>
        <w:t>If any Holder of a 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8" w:lineRule="exact"/>
        <w:rPr>
          <w:rFonts w:ascii="Arial" w:cs="Arial" w:eastAsia="Arial" w:hAnsi="Arial"/>
          <w:sz w:val="18"/>
          <w:szCs w:val="18"/>
          <w:color w:val="auto"/>
        </w:rPr>
      </w:pPr>
    </w:p>
    <w:p>
      <w:pPr>
        <w:ind w:left="433" w:right="180" w:firstLine="391"/>
        <w:spacing w:after="0" w:line="342" w:lineRule="auto"/>
        <w:tabs>
          <w:tab w:leader="none" w:pos="1246" w:val="left"/>
        </w:tabs>
        <w:numPr>
          <w:ilvl w:val="2"/>
          <w:numId w:val="622"/>
        </w:numPr>
        <w:rPr>
          <w:rFonts w:ascii="Arial" w:cs="Arial" w:eastAsia="Arial" w:hAnsi="Arial"/>
          <w:sz w:val="16"/>
          <w:szCs w:val="16"/>
          <w:color w:val="auto"/>
        </w:rPr>
      </w:pPr>
      <w:r>
        <w:rPr>
          <w:rFonts w:ascii="Arial" w:cs="Arial" w:eastAsia="Arial" w:hAnsi="Arial"/>
          <w:sz w:val="16"/>
          <w:szCs w:val="16"/>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15" w:lineRule="exact"/>
        <w:rPr>
          <w:rFonts w:ascii="Arial" w:cs="Arial" w:eastAsia="Arial" w:hAnsi="Arial"/>
          <w:sz w:val="16"/>
          <w:szCs w:val="16"/>
          <w:color w:val="auto"/>
        </w:rPr>
      </w:pPr>
    </w:p>
    <w:p>
      <w:pPr>
        <w:ind w:left="433" w:right="180" w:firstLine="391"/>
        <w:spacing w:after="0" w:line="277" w:lineRule="auto"/>
        <w:tabs>
          <w:tab w:leader="none" w:pos="1236" w:val="left"/>
        </w:tabs>
        <w:numPr>
          <w:ilvl w:val="2"/>
          <w:numId w:val="622"/>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433" w:right="40" w:firstLine="391"/>
        <w:spacing w:after="0" w:line="308" w:lineRule="auto"/>
        <w:tabs>
          <w:tab w:leader="none" w:pos="1236" w:val="left"/>
        </w:tabs>
        <w:numPr>
          <w:ilvl w:val="2"/>
          <w:numId w:val="622"/>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79"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013"/>
          </w:cols>
          <w:pgMar w:left="1427" w:top="273" w:right="459" w:bottom="1440" w:gutter="0" w:footer="0" w:header="0"/>
        </w:sectPr>
      </w:pPr>
    </w:p>
    <w:bookmarkStart w:id="502" w:name="page503"/>
    <w:bookmarkEnd w:id="502"/>
    <w:p>
      <w:pPr>
        <w:ind w:left="1420" w:right="20" w:firstLine="391"/>
        <w:spacing w:after="0" w:line="291" w:lineRule="auto"/>
        <w:tabs>
          <w:tab w:leader="none" w:pos="2233" w:val="left"/>
        </w:tabs>
        <w:numPr>
          <w:ilvl w:val="0"/>
          <w:numId w:val="6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such Restricted Definitive Note is being transferred pursuant to an exemption from the registration requirements of the Securities Act in accordance with Rule 144, a certificate to the effect set forth in Exhibit B hereto, including the certifications in item</w:t>
      </w:r>
    </w:p>
    <w:p>
      <w:pPr>
        <w:ind w:left="1420"/>
        <w:spacing w:after="0"/>
        <w:rPr>
          <w:rFonts w:ascii="Arial" w:cs="Arial" w:eastAsia="Arial" w:hAnsi="Arial"/>
          <w:sz w:val="16"/>
          <w:szCs w:val="16"/>
          <w:color w:val="auto"/>
        </w:rPr>
      </w:pPr>
      <w:r>
        <w:rPr>
          <w:rFonts w:ascii="Arial" w:cs="Arial" w:eastAsia="Arial" w:hAnsi="Arial"/>
          <w:sz w:val="18"/>
          <w:szCs w:val="18"/>
          <w:color w:val="auto"/>
        </w:rPr>
        <w:t>(3)(a) thereof;</w:t>
      </w:r>
    </w:p>
    <w:p>
      <w:pPr>
        <w:spacing w:after="0" w:line="102" w:lineRule="exact"/>
        <w:rPr>
          <w:rFonts w:ascii="Arial" w:cs="Arial" w:eastAsia="Arial" w:hAnsi="Arial"/>
          <w:sz w:val="16"/>
          <w:szCs w:val="16"/>
          <w:color w:val="auto"/>
        </w:rPr>
      </w:pPr>
    </w:p>
    <w:p>
      <w:pPr>
        <w:ind w:left="1420" w:right="80" w:firstLine="391"/>
        <w:spacing w:after="0" w:line="277" w:lineRule="auto"/>
        <w:tabs>
          <w:tab w:leader="none" w:pos="2213" w:val="left"/>
        </w:tabs>
        <w:numPr>
          <w:ilvl w:val="0"/>
          <w:numId w:val="623"/>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1420" w:right="140" w:firstLine="391"/>
        <w:spacing w:after="0" w:line="308" w:lineRule="auto"/>
        <w:tabs>
          <w:tab w:leader="none" w:pos="2203" w:val="left"/>
        </w:tabs>
        <w:numPr>
          <w:ilvl w:val="0"/>
          <w:numId w:val="623"/>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38" w:lineRule="exact"/>
        <w:rPr>
          <w:sz w:val="20"/>
          <w:szCs w:val="20"/>
          <w:color w:val="auto"/>
        </w:rPr>
      </w:pPr>
    </w:p>
    <w:p>
      <w:pPr>
        <w:ind w:left="1420" w:right="580"/>
        <w:spacing w:after="0" w:line="277" w:lineRule="auto"/>
        <w:rPr>
          <w:sz w:val="20"/>
          <w:szCs w:val="20"/>
          <w:color w:val="auto"/>
        </w:rPr>
      </w:pPr>
      <w:r>
        <w:rPr>
          <w:rFonts w:ascii="Arial" w:cs="Arial" w:eastAsia="Arial" w:hAnsi="Arial"/>
          <w:sz w:val="18"/>
          <w:szCs w:val="18"/>
          <w:color w:val="auto"/>
        </w:rPr>
        <w:t>the Trustee will cancel the Restricted Definitive Note, increase or cause to be increased the aggregate principal amount of the appropriate Restricted Global Note.</w:t>
      </w:r>
    </w:p>
    <w:p>
      <w:pPr>
        <w:spacing w:after="0" w:line="62" w:lineRule="exact"/>
        <w:rPr>
          <w:sz w:val="20"/>
          <w:szCs w:val="20"/>
          <w:color w:val="auto"/>
        </w:rPr>
      </w:pPr>
    </w:p>
    <w:p>
      <w:pPr>
        <w:ind w:left="980" w:right="120" w:firstLine="408"/>
        <w:spacing w:after="0" w:line="311" w:lineRule="auto"/>
        <w:tabs>
          <w:tab w:leader="none" w:pos="1815" w:val="left"/>
        </w:tabs>
        <w:numPr>
          <w:ilvl w:val="0"/>
          <w:numId w:val="624"/>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Beneficial Interests in Unrestricted Global Notes. </w:t>
      </w:r>
      <w:r>
        <w:rPr>
          <w:rFonts w:ascii="Arial" w:cs="Arial" w:eastAsia="Arial" w:hAnsi="Arial"/>
          <w:sz w:val="16"/>
          <w:szCs w:val="16"/>
          <w:color w:val="auto"/>
        </w:rPr>
        <w:t>A Holder of a Restricted Definitive Note may</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40" w:lineRule="exact"/>
        <w:rPr>
          <w:rFonts w:ascii="Arial" w:cs="Arial" w:eastAsia="Arial" w:hAnsi="Arial"/>
          <w:sz w:val="16"/>
          <w:szCs w:val="16"/>
          <w:color w:val="auto"/>
        </w:rPr>
      </w:pPr>
    </w:p>
    <w:p>
      <w:pPr>
        <w:ind w:left="1980" w:firstLine="360"/>
        <w:spacing w:after="0" w:line="263" w:lineRule="auto"/>
        <w:tabs>
          <w:tab w:leader="none" w:pos="2691" w:val="left"/>
        </w:tabs>
        <w:numPr>
          <w:ilvl w:val="1"/>
          <w:numId w:val="624"/>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75" w:lineRule="exact"/>
        <w:rPr>
          <w:rFonts w:ascii="Arial" w:cs="Arial" w:eastAsia="Arial" w:hAnsi="Arial"/>
          <w:sz w:val="18"/>
          <w:szCs w:val="18"/>
          <w:color w:val="auto"/>
        </w:rPr>
      </w:pPr>
    </w:p>
    <w:p>
      <w:pPr>
        <w:ind w:left="1980" w:right="140" w:firstLine="360"/>
        <w:spacing w:after="0" w:line="263" w:lineRule="auto"/>
        <w:tabs>
          <w:tab w:leader="none" w:pos="2741" w:val="left"/>
        </w:tabs>
        <w:numPr>
          <w:ilvl w:val="1"/>
          <w:numId w:val="624"/>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76" w:lineRule="exact"/>
        <w:rPr>
          <w:sz w:val="20"/>
          <w:szCs w:val="20"/>
          <w:color w:val="auto"/>
        </w:rPr>
      </w:pPr>
    </w:p>
    <w:p>
      <w:pPr>
        <w:ind w:left="1420" w:right="28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Upon satisfaction of the conditions in this Section 2.06(d)(2), the Trustee will cancel the Definitive Notes and increase or cause to be increased the aggregate principal amount of the Unrestricted Global Note.</w:t>
      </w:r>
    </w:p>
    <w:p>
      <w:pPr>
        <w:spacing w:after="0" w:line="62" w:lineRule="exact"/>
        <w:rPr>
          <w:sz w:val="20"/>
          <w:szCs w:val="20"/>
          <w:color w:val="auto"/>
        </w:rPr>
      </w:pPr>
    </w:p>
    <w:p>
      <w:pPr>
        <w:ind w:left="980" w:right="60" w:firstLine="408"/>
        <w:spacing w:after="0" w:line="257" w:lineRule="auto"/>
        <w:tabs>
          <w:tab w:leader="none" w:pos="1815" w:val="left"/>
        </w:tabs>
        <w:numPr>
          <w:ilvl w:val="0"/>
          <w:numId w:val="625"/>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Beneficial Interests in Unrestricted Global Notes. </w:t>
      </w:r>
      <w:r>
        <w:rPr>
          <w:rFonts w:ascii="Arial" w:cs="Arial" w:eastAsia="Arial" w:hAnsi="Arial"/>
          <w:sz w:val="18"/>
          <w:szCs w:val="18"/>
          <w:color w:val="auto"/>
        </w:rPr>
        <w:t>A Holder of an Unrestricted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8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If any such exchange or transfer from a Definitive Note to a beneficial interest is effected pursuant to subparagraphs (1)(B), (1)(D) or</w:t>
      </w:r>
    </w:p>
    <w:p>
      <w:pPr>
        <w:spacing w:after="0" w:line="46" w:lineRule="exact"/>
        <w:rPr>
          <w:sz w:val="20"/>
          <w:szCs w:val="20"/>
          <w:color w:val="auto"/>
        </w:rPr>
      </w:pPr>
    </w:p>
    <w:p>
      <w:pPr>
        <w:ind w:left="980" w:right="280" w:firstLine="7"/>
        <w:spacing w:after="0" w:line="255" w:lineRule="auto"/>
        <w:tabs>
          <w:tab w:leader="none" w:pos="1235" w:val="left"/>
        </w:tabs>
        <w:numPr>
          <w:ilvl w:val="0"/>
          <w:numId w:val="626"/>
        </w:numPr>
        <w:rPr>
          <w:rFonts w:ascii="Arial" w:cs="Arial" w:eastAsia="Arial" w:hAnsi="Arial"/>
          <w:sz w:val="18"/>
          <w:szCs w:val="18"/>
          <w:color w:val="auto"/>
        </w:rPr>
      </w:pPr>
      <w:r>
        <w:rPr>
          <w:rFonts w:ascii="Arial" w:cs="Arial" w:eastAsia="Arial" w:hAnsi="Arial"/>
          <w:sz w:val="18"/>
          <w:szCs w:val="18"/>
          <w:color w:val="auto"/>
        </w:rPr>
        <w:t>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3" w:right="439" w:bottom="1440" w:gutter="0" w:footer="0" w:header="0"/>
        </w:sectPr>
      </w:pPr>
    </w:p>
    <w:bookmarkStart w:id="503" w:name="page504"/>
    <w:bookmarkEnd w:id="503"/>
    <w:p>
      <w:pPr>
        <w:ind w:firstLine="987"/>
        <w:spacing w:after="0" w:line="255" w:lineRule="auto"/>
        <w:tabs>
          <w:tab w:leader="none" w:pos="1416"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 and Exchange of Definitive Notes for Definitive Notes. </w:t>
      </w:r>
      <w:r>
        <w:rPr>
          <w:rFonts w:ascii="Arial" w:cs="Arial" w:eastAsia="Arial" w:hAnsi="Arial"/>
          <w:sz w:val="18"/>
          <w:szCs w:val="18"/>
          <w:color w:val="auto"/>
        </w:rPr>
        <w:t>Upon request by a Holder of Definitive Notes and such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84" w:lineRule="exact"/>
        <w:rPr>
          <w:rFonts w:ascii="Arial" w:cs="Arial" w:eastAsia="Arial" w:hAnsi="Arial"/>
          <w:sz w:val="18"/>
          <w:szCs w:val="18"/>
          <w:color w:val="auto"/>
        </w:rPr>
      </w:pPr>
    </w:p>
    <w:p>
      <w:pPr>
        <w:ind w:left="980" w:right="140" w:firstLine="408"/>
        <w:spacing w:after="0" w:line="342" w:lineRule="auto"/>
        <w:tabs>
          <w:tab w:leader="none" w:pos="1770" w:val="left"/>
        </w:tabs>
        <w:numPr>
          <w:ilvl w:val="1"/>
          <w:numId w:val="627"/>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Restricted Definitive Notes. </w:t>
      </w:r>
      <w:r>
        <w:rPr>
          <w:rFonts w:ascii="Arial" w:cs="Arial" w:eastAsia="Arial" w:hAnsi="Arial"/>
          <w:sz w:val="16"/>
          <w:szCs w:val="16"/>
          <w:color w:val="auto"/>
        </w:rPr>
        <w:t>Any Restricted Definitive Note may be transferred to and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name of Persons who take delivery thereof in the form of a Restricted Definitive Note if the Registrar receives the following:</w:t>
      </w:r>
    </w:p>
    <w:p>
      <w:pPr>
        <w:spacing w:after="0" w:line="15" w:lineRule="exact"/>
        <w:rPr>
          <w:rFonts w:ascii="Arial" w:cs="Arial" w:eastAsia="Arial" w:hAnsi="Arial"/>
          <w:sz w:val="16"/>
          <w:szCs w:val="16"/>
          <w:color w:val="auto"/>
        </w:rPr>
      </w:pPr>
    </w:p>
    <w:p>
      <w:pPr>
        <w:ind w:left="1420" w:right="120" w:firstLine="391"/>
        <w:spacing w:after="0" w:line="277" w:lineRule="auto"/>
        <w:tabs>
          <w:tab w:leader="none" w:pos="2233" w:val="left"/>
        </w:tabs>
        <w:numPr>
          <w:ilvl w:val="3"/>
          <w:numId w:val="627"/>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62" w:lineRule="exact"/>
        <w:rPr>
          <w:rFonts w:ascii="Arial" w:cs="Arial" w:eastAsia="Arial" w:hAnsi="Arial"/>
          <w:sz w:val="18"/>
          <w:szCs w:val="18"/>
          <w:color w:val="auto"/>
        </w:rPr>
      </w:pPr>
    </w:p>
    <w:p>
      <w:pPr>
        <w:ind w:left="1420" w:right="100" w:firstLine="391"/>
        <w:spacing w:after="0" w:line="277" w:lineRule="auto"/>
        <w:tabs>
          <w:tab w:leader="none" w:pos="2223" w:val="left"/>
        </w:tabs>
        <w:numPr>
          <w:ilvl w:val="3"/>
          <w:numId w:val="627"/>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 must deliver a certificate in the form of Exhibit B hereto, including the certifications in item (2) thereof; and</w:t>
      </w:r>
    </w:p>
    <w:p>
      <w:pPr>
        <w:spacing w:after="0" w:line="62" w:lineRule="exact"/>
        <w:rPr>
          <w:rFonts w:ascii="Arial" w:cs="Arial" w:eastAsia="Arial" w:hAnsi="Arial"/>
          <w:sz w:val="18"/>
          <w:szCs w:val="18"/>
          <w:color w:val="auto"/>
        </w:rPr>
      </w:pPr>
    </w:p>
    <w:p>
      <w:pPr>
        <w:ind w:left="1420" w:right="20" w:firstLine="391"/>
        <w:spacing w:after="0" w:line="291" w:lineRule="auto"/>
        <w:tabs>
          <w:tab w:leader="none" w:pos="2223" w:val="left"/>
        </w:tabs>
        <w:numPr>
          <w:ilvl w:val="3"/>
          <w:numId w:val="627"/>
        </w:numPr>
        <w:rPr>
          <w:rFonts w:ascii="Arial" w:cs="Arial" w:eastAsia="Arial" w:hAnsi="Arial"/>
          <w:sz w:val="16"/>
          <w:szCs w:val="16"/>
          <w:color w:val="auto"/>
        </w:rPr>
      </w:pPr>
      <w:r>
        <w:rPr>
          <w:rFonts w:ascii="Arial" w:cs="Arial" w:eastAsia="Arial" w:hAnsi="Arial"/>
          <w:sz w:val="16"/>
          <w:szCs w:val="16"/>
          <w:color w:val="auto"/>
        </w:rPr>
        <w:t>if the transfer will be made pursuant to any other exemption from the registration requirements of the Securities Act, then the transferor must deliver a certificate in the form of Exhibit B hereto, including the certifications and certificates required by item</w:t>
      </w:r>
    </w:p>
    <w:p>
      <w:pPr>
        <w:ind w:left="1680" w:hanging="252"/>
        <w:spacing w:after="0"/>
        <w:tabs>
          <w:tab w:leader="none" w:pos="1680" w:val="left"/>
        </w:tabs>
        <w:numPr>
          <w:ilvl w:val="2"/>
          <w:numId w:val="627"/>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102" w:lineRule="exact"/>
        <w:rPr>
          <w:rFonts w:ascii="Arial" w:cs="Arial" w:eastAsia="Arial" w:hAnsi="Arial"/>
          <w:sz w:val="18"/>
          <w:szCs w:val="18"/>
          <w:color w:val="auto"/>
        </w:rPr>
      </w:pPr>
    </w:p>
    <w:p>
      <w:pPr>
        <w:jc w:val="both"/>
        <w:ind w:left="980" w:right="180" w:firstLine="408"/>
        <w:spacing w:after="0" w:line="263" w:lineRule="auto"/>
        <w:tabs>
          <w:tab w:leader="none" w:pos="1770" w:val="left"/>
        </w:tabs>
        <w:numPr>
          <w:ilvl w:val="1"/>
          <w:numId w:val="627"/>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Unrestricted Definitive Notes. </w:t>
      </w:r>
      <w:r>
        <w:rPr>
          <w:rFonts w:ascii="Arial" w:cs="Arial" w:eastAsia="Arial" w:hAnsi="Arial"/>
          <w:sz w:val="18"/>
          <w:szCs w:val="18"/>
          <w:color w:val="auto"/>
        </w:rPr>
        <w:t>Any Restricted Definitive Note may be exchanged by the Holder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for an Unrestricted Definitive Note or transferred to a Person or Persons who take delivery thereof in the form of an Unrestricted Definitive Note if the Registrar receives the following:</w:t>
      </w:r>
    </w:p>
    <w:p>
      <w:pPr>
        <w:spacing w:after="0" w:line="75" w:lineRule="exact"/>
        <w:rPr>
          <w:rFonts w:ascii="Arial" w:cs="Arial" w:eastAsia="Arial" w:hAnsi="Arial"/>
          <w:sz w:val="18"/>
          <w:szCs w:val="18"/>
          <w:color w:val="auto"/>
        </w:rPr>
      </w:pPr>
    </w:p>
    <w:p>
      <w:pPr>
        <w:ind w:left="1980" w:right="200" w:firstLine="360"/>
        <w:spacing w:after="0" w:line="342" w:lineRule="auto"/>
        <w:tabs>
          <w:tab w:leader="none" w:pos="2691" w:val="left"/>
        </w:tabs>
        <w:numPr>
          <w:ilvl w:val="4"/>
          <w:numId w:val="627"/>
        </w:numPr>
        <w:rPr>
          <w:rFonts w:ascii="Arial" w:cs="Arial" w:eastAsia="Arial" w:hAnsi="Arial"/>
          <w:sz w:val="16"/>
          <w:szCs w:val="16"/>
          <w:color w:val="auto"/>
        </w:rPr>
      </w:pPr>
      <w:r>
        <w:rPr>
          <w:rFonts w:ascii="Arial" w:cs="Arial" w:eastAsia="Arial" w:hAnsi="Arial"/>
          <w:sz w:val="16"/>
          <w:szCs w:val="16"/>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15" w:lineRule="exact"/>
        <w:rPr>
          <w:rFonts w:ascii="Arial" w:cs="Arial" w:eastAsia="Arial" w:hAnsi="Arial"/>
          <w:sz w:val="16"/>
          <w:szCs w:val="16"/>
          <w:color w:val="auto"/>
        </w:rPr>
      </w:pPr>
    </w:p>
    <w:p>
      <w:pPr>
        <w:jc w:val="both"/>
        <w:ind w:left="1980" w:right="500" w:firstLine="360"/>
        <w:spacing w:after="0" w:line="263" w:lineRule="auto"/>
        <w:tabs>
          <w:tab w:leader="none" w:pos="2741" w:val="left"/>
        </w:tabs>
        <w:numPr>
          <w:ilvl w:val="4"/>
          <w:numId w:val="627"/>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76" w:lineRule="exact"/>
        <w:rPr>
          <w:sz w:val="20"/>
          <w:szCs w:val="20"/>
          <w:color w:val="auto"/>
        </w:rPr>
      </w:pPr>
    </w:p>
    <w:p>
      <w:pPr>
        <w:ind w:left="1420" w:right="6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jc w:val="both"/>
        <w:ind w:left="980" w:right="260" w:firstLine="408"/>
        <w:spacing w:after="0" w:line="311" w:lineRule="auto"/>
        <w:tabs>
          <w:tab w:leader="none" w:pos="1815" w:val="left"/>
        </w:tabs>
        <w:numPr>
          <w:ilvl w:val="0"/>
          <w:numId w:val="628"/>
        </w:numPr>
        <w:rPr>
          <w:rFonts w:ascii="Arial" w:cs="Arial" w:eastAsia="Arial" w:hAnsi="Arial"/>
          <w:sz w:val="16"/>
          <w:szCs w:val="16"/>
          <w:color w:val="auto"/>
        </w:rPr>
      </w:pPr>
      <w:r>
        <w:rPr>
          <w:rFonts w:ascii="Arial" w:cs="Arial" w:eastAsia="Arial" w:hAnsi="Arial"/>
          <w:sz w:val="16"/>
          <w:szCs w:val="16"/>
          <w:i w:val="1"/>
          <w:iCs w:val="1"/>
          <w:color w:val="auto"/>
        </w:rPr>
        <w:t xml:space="preserve">Unrestricted Definitive Notes to Unrestricted Definitive Notes. </w:t>
      </w:r>
      <w:r>
        <w:rPr>
          <w:rFonts w:ascii="Arial" w:cs="Arial" w:eastAsia="Arial" w:hAnsi="Arial"/>
          <w:sz w:val="16"/>
          <w:szCs w:val="16"/>
          <w:color w:val="auto"/>
        </w:rPr>
        <w:t>A Holder of Unrestricted Definitive Notes may transfer such</w:t>
      </w:r>
      <w:r>
        <w:rPr>
          <w:rFonts w:ascii="Arial" w:cs="Arial" w:eastAsia="Arial" w:hAnsi="Arial"/>
          <w:sz w:val="16"/>
          <w:szCs w:val="16"/>
          <w:i w:val="1"/>
          <w:iCs w:val="1"/>
          <w:color w:val="auto"/>
        </w:rPr>
        <w:t xml:space="preserve"> </w:t>
      </w:r>
      <w:r>
        <w:rPr>
          <w:rFonts w:ascii="Arial" w:cs="Arial" w:eastAsia="Arial" w:hAnsi="Arial"/>
          <w:sz w:val="16"/>
          <w:szCs w:val="16"/>
          <w:color w:val="auto"/>
        </w:rPr>
        <w:t>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3" w:right="459" w:bottom="1440" w:gutter="0" w:footer="0" w:header="0"/>
        </w:sectPr>
      </w:pPr>
    </w:p>
    <w:bookmarkStart w:id="504" w:name="page505"/>
    <w:bookmarkEnd w:id="504"/>
    <w:p>
      <w:pPr>
        <w:ind w:left="4" w:right="100" w:firstLine="987"/>
        <w:spacing w:after="0" w:line="277" w:lineRule="auto"/>
        <w:tabs>
          <w:tab w:leader="none" w:pos="1400" w:val="left"/>
        </w:tabs>
        <w:numPr>
          <w:ilvl w:val="0"/>
          <w:numId w:val="62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w:t>
      </w:r>
    </w:p>
    <w:p>
      <w:pPr>
        <w:spacing w:after="0" w:line="62" w:lineRule="exact"/>
        <w:rPr>
          <w:rFonts w:ascii="Arial" w:cs="Arial" w:eastAsia="Arial" w:hAnsi="Arial"/>
          <w:sz w:val="18"/>
          <w:szCs w:val="18"/>
          <w:color w:val="auto"/>
        </w:rPr>
      </w:pPr>
    </w:p>
    <w:p>
      <w:pPr>
        <w:ind w:left="1824" w:hanging="432"/>
        <w:spacing w:after="0"/>
        <w:tabs>
          <w:tab w:leader="none" w:pos="1824" w:val="left"/>
        </w:tabs>
        <w:numPr>
          <w:ilvl w:val="1"/>
          <w:numId w:val="629"/>
        </w:numPr>
        <w:rPr>
          <w:rFonts w:ascii="Arial" w:cs="Arial" w:eastAsia="Arial" w:hAnsi="Arial"/>
          <w:sz w:val="18"/>
          <w:szCs w:val="18"/>
          <w:color w:val="auto"/>
        </w:rPr>
      </w:pPr>
      <w:r>
        <w:rPr>
          <w:rFonts w:ascii="Arial" w:cs="Arial" w:eastAsia="Arial" w:hAnsi="Arial"/>
          <w:sz w:val="18"/>
          <w:szCs w:val="18"/>
          <w:color w:val="auto"/>
        </w:rPr>
        <w:t>Private Placement Legend.</w:t>
      </w:r>
    </w:p>
    <w:p>
      <w:pPr>
        <w:spacing w:after="0" w:line="117" w:lineRule="exact"/>
        <w:rPr>
          <w:rFonts w:ascii="Arial" w:cs="Arial" w:eastAsia="Arial" w:hAnsi="Arial"/>
          <w:sz w:val="18"/>
          <w:szCs w:val="18"/>
          <w:color w:val="auto"/>
        </w:rPr>
      </w:pPr>
    </w:p>
    <w:p>
      <w:pPr>
        <w:ind w:left="1424" w:right="80" w:firstLine="391"/>
        <w:spacing w:after="0" w:line="277" w:lineRule="auto"/>
        <w:tabs>
          <w:tab w:leader="none" w:pos="2237" w:val="left"/>
        </w:tabs>
        <w:numPr>
          <w:ilvl w:val="2"/>
          <w:numId w:val="629"/>
        </w:numPr>
        <w:rPr>
          <w:rFonts w:ascii="Arial" w:cs="Arial" w:eastAsia="Arial" w:hAnsi="Arial"/>
          <w:sz w:val="18"/>
          <w:szCs w:val="18"/>
          <w:color w:val="auto"/>
        </w:rPr>
      </w:pPr>
      <w:r>
        <w:rPr>
          <w:rFonts w:ascii="Arial" w:cs="Arial" w:eastAsia="Arial" w:hAnsi="Arial"/>
          <w:sz w:val="18"/>
          <w:szCs w:val="18"/>
          <w:color w:val="auto"/>
        </w:rPr>
        <w:t>Except as permitted by subparagraph (C) below, each 144A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w:t>
      </w:r>
    </w:p>
    <w:p>
      <w:pPr>
        <w:spacing w:after="0" w:line="170"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IF AT ANY TIME THE COMPANY DETERMINES IN GOOD FAITH THAT A HOLDER OR BENEFICIAL OWNER OF THIS SECURITY OR BENEFICIAL INTERESTS HEREIN IS IN BREACH, AT THE TIME GIVEN, OF ANY OF THE TRANSFER RESTRICTIONS SET FORTH HEREIN AND IN THE INDENTURE, THE COMPANY SHALL REQUIRE SUCH HOLDER TO TRANSFER THIS SECURITY (OR INTEREST HEREIN) TO A TRANSFEREE ACCEPTABLE TO THE COMPANY WHO IS ABLE TO AND WHO DOES SATISFY ALL OF THE REQUIREMENTS SET FORTH HEREIN AND IN THE INDENTURE. PENDING SUCH TRANSFER, SUCH HOLDER WILL BE DEEMED NOT TO BE THE HOLDER OF THIS SECURITY (OR INTEREST HEREIN) FOR ANY PURPOSE, INCLUDING BUT NOT LIMITED TO RECEIPT OF PRINCIPAL AND INTEREST PAYMENTS ON THE SECURITY, AND SUCH HOLDER WILL BE DEEMED TO HAVE NO INTEREST WHATSOEVER IN THE SECURITY EXCEPT AS OTHERWISE REQUIRED TO SELL ITS INTEREST THEREIN AS DESCRIBED HEREIN.</w:t>
      </w:r>
    </w:p>
    <w:p>
      <w:pPr>
        <w:spacing w:after="0" w:line="178" w:lineRule="exact"/>
        <w:rPr>
          <w:sz w:val="20"/>
          <w:szCs w:val="20"/>
          <w:color w:val="auto"/>
        </w:rPr>
      </w:pPr>
    </w:p>
    <w:p>
      <w:pPr>
        <w:ind w:left="4" w:right="200"/>
        <w:spacing w:after="0" w:line="275" w:lineRule="auto"/>
        <w:rPr>
          <w:sz w:val="20"/>
          <w:szCs w:val="20"/>
          <w:color w:val="auto"/>
        </w:rPr>
      </w:pPr>
      <w:r>
        <w:rPr>
          <w:rFonts w:ascii="Arial" w:cs="Arial" w:eastAsia="Arial" w:hAnsi="Arial"/>
          <w:sz w:val="17"/>
          <w:szCs w:val="17"/>
          <w:color w:val="auto"/>
        </w:rPr>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6" w:lineRule="exact"/>
        <w:rPr>
          <w:sz w:val="20"/>
          <w:szCs w:val="20"/>
          <w:color w:val="auto"/>
        </w:rPr>
      </w:pPr>
    </w:p>
    <w:p>
      <w:pPr>
        <w:ind w:left="4"/>
        <w:spacing w:after="0" w:line="266" w:lineRule="auto"/>
        <w:rPr>
          <w:sz w:val="20"/>
          <w:szCs w:val="20"/>
          <w:color w:val="auto"/>
        </w:rPr>
      </w:pPr>
      <w:r>
        <w:rPr>
          <w:rFonts w:ascii="Arial" w:cs="Arial" w:eastAsia="Arial" w:hAnsi="Arial"/>
          <w:sz w:val="17"/>
          <w:szCs w:val="17"/>
          <w:color w:val="auto"/>
        </w:rPr>
        <w:t>THE HOLDER OF THIS NOTE BY ITS ACCEPTANCE HEREOF AGREES TO OFFER, SELL OR OTHERWISE TRANSFER SUCH NOTE, PRIOR TO THE DATE (THE “RESALE RESTRICTION TERMINATION DATE”) WHICH IS ONE YEAR AFTER THE LATER OF THE ORIGINAL ISSUE DATE HEREOF AND THE LAST DATE ON WHICH THE COMPANY OR ANY AFFILIATE OF THE COMPANY WAS THE OWNER OF THIS NOTE (OR ANY PREDECESSOR OF THIS NOTE) ONLY (A) TO THE COMPANY, THE SUBSIDIARY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w:t>
      </w:r>
    </w:p>
    <w:p>
      <w:pPr>
        <w:spacing w:after="0" w:line="8" w:lineRule="exact"/>
        <w:rPr>
          <w:sz w:val="20"/>
          <w:szCs w:val="20"/>
          <w:color w:val="auto"/>
        </w:rPr>
      </w:pPr>
    </w:p>
    <w:p>
      <w:pPr>
        <w:ind w:left="4" w:hanging="4"/>
        <w:spacing w:after="0" w:line="265" w:lineRule="auto"/>
        <w:tabs>
          <w:tab w:leader="none" w:pos="279" w:val="left"/>
        </w:tabs>
        <w:numPr>
          <w:ilvl w:val="0"/>
          <w:numId w:val="630"/>
        </w:numPr>
        <w:rPr>
          <w:rFonts w:ascii="Arial" w:cs="Arial" w:eastAsia="Arial" w:hAnsi="Arial"/>
          <w:sz w:val="17"/>
          <w:szCs w:val="17"/>
          <w:color w:val="auto"/>
        </w:rPr>
      </w:pPr>
      <w:r>
        <w:rPr>
          <w:rFonts w:ascii="Arial" w:cs="Arial" w:eastAsia="Arial" w:hAnsi="Arial"/>
          <w:sz w:val="17"/>
          <w:szCs w:val="17"/>
          <w:color w:val="auto"/>
        </w:rPr>
        <w:t>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w:t>
      </w:r>
    </w:p>
    <w:p>
      <w:pPr>
        <w:ind w:left="4" w:hanging="4"/>
        <w:spacing w:after="0" w:line="252" w:lineRule="auto"/>
        <w:tabs>
          <w:tab w:leader="none" w:pos="229" w:val="left"/>
        </w:tabs>
        <w:numPr>
          <w:ilvl w:val="0"/>
          <w:numId w:val="631"/>
        </w:numPr>
        <w:rPr>
          <w:rFonts w:ascii="Arial" w:cs="Arial" w:eastAsia="Arial" w:hAnsi="Arial"/>
          <w:sz w:val="18"/>
          <w:szCs w:val="18"/>
          <w:color w:val="auto"/>
        </w:rPr>
      </w:pPr>
      <w:r>
        <w:rPr>
          <w:rFonts w:ascii="Arial" w:cs="Arial" w:eastAsia="Arial" w:hAnsi="Arial"/>
          <w:sz w:val="18"/>
          <w:szCs w:val="18"/>
          <w:color w:val="auto"/>
        </w:rPr>
        <w:t>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12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4"/>
          </w:cols>
          <w:pgMar w:left="436" w:top="273" w:right="519" w:bottom="1440" w:gutter="0" w:footer="0" w:header="0"/>
        </w:sectPr>
      </w:pPr>
    </w:p>
    <w:bookmarkStart w:id="505" w:name="page506"/>
    <w:bookmarkEnd w:id="505"/>
    <w:p>
      <w:pPr>
        <w:ind w:left="1424" w:right="60" w:firstLine="391"/>
        <w:spacing w:after="0" w:line="308" w:lineRule="auto"/>
        <w:tabs>
          <w:tab w:leader="none" w:pos="2227" w:val="left"/>
        </w:tabs>
        <w:numPr>
          <w:ilvl w:val="0"/>
          <w:numId w:val="6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permitted by subparagraph (C) below, each Regulation S Global Note and each Definitive Note (and all Notes issued in exchange therefor or substitution thereof) shall bear the legend in substantially the following form:</w:t>
      </w:r>
    </w:p>
    <w:p>
      <w:pPr>
        <w:spacing w:after="0" w:line="146"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w:t>
      </w:r>
    </w:p>
    <w:p>
      <w:pPr>
        <w:spacing w:after="0" w:line="170" w:lineRule="exact"/>
        <w:rPr>
          <w:sz w:val="20"/>
          <w:szCs w:val="20"/>
          <w:color w:val="auto"/>
        </w:rPr>
      </w:pPr>
    </w:p>
    <w:p>
      <w:pPr>
        <w:ind w:left="4" w:right="180"/>
        <w:spacing w:after="0" w:line="275" w:lineRule="auto"/>
        <w:rPr>
          <w:sz w:val="20"/>
          <w:szCs w:val="20"/>
          <w:color w:val="auto"/>
        </w:rPr>
      </w:pPr>
      <w:r>
        <w:rPr>
          <w:rFonts w:ascii="Arial" w:cs="Arial" w:eastAsia="Arial" w:hAnsi="Arial"/>
          <w:sz w:val="17"/>
          <w:szCs w:val="17"/>
          <w:color w:val="auto"/>
        </w:rPr>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6" w:lineRule="exact"/>
        <w:rPr>
          <w:sz w:val="20"/>
          <w:szCs w:val="20"/>
          <w:color w:val="auto"/>
        </w:rPr>
      </w:pPr>
    </w:p>
    <w:p>
      <w:pPr>
        <w:ind w:left="4"/>
        <w:spacing w:after="0" w:line="266" w:lineRule="auto"/>
        <w:rPr>
          <w:sz w:val="20"/>
          <w:szCs w:val="20"/>
          <w:color w:val="auto"/>
        </w:rPr>
      </w:pPr>
      <w:r>
        <w:rPr>
          <w:rFonts w:ascii="Arial" w:cs="Arial" w:eastAsia="Arial" w:hAnsi="Arial"/>
          <w:sz w:val="17"/>
          <w:szCs w:val="17"/>
          <w:color w:val="auto"/>
        </w:rPr>
        <w:t>THE HOLDER OF THIS NOTE BY ITS ACCEPTANCE HEREOF AGREES TO OFFER, SELL OR OTHERWISE TRANSFER SUCH NOTE, PRIOR TO THE DATE (THE “RESALE RESTRICTION TERMINATION DATE”) WHICH IS 40 DAYS AFTER THE LATER OF THE ORIGINAL ISSUE DATE HEREOF AND THE LAST DATE ON WHICH THE COMPANY OR ANY AFFILIATE OF THE COMPANY WAS THE OWNER OF THIS NOTE (OR ANY PREDECESSOR OF THIS NOTE) ONLY (A) TO THE COMPANY, THE SUBSIDIARY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w:t>
      </w:r>
    </w:p>
    <w:p>
      <w:pPr>
        <w:spacing w:after="0" w:line="8" w:lineRule="exact"/>
        <w:rPr>
          <w:sz w:val="20"/>
          <w:szCs w:val="20"/>
          <w:color w:val="auto"/>
        </w:rPr>
      </w:pPr>
    </w:p>
    <w:p>
      <w:pPr>
        <w:ind w:left="4" w:hanging="4"/>
        <w:spacing w:after="0" w:line="265" w:lineRule="auto"/>
        <w:tabs>
          <w:tab w:leader="none" w:pos="279" w:val="left"/>
        </w:tabs>
        <w:numPr>
          <w:ilvl w:val="0"/>
          <w:numId w:val="633"/>
        </w:numPr>
        <w:rPr>
          <w:rFonts w:ascii="Arial" w:cs="Arial" w:eastAsia="Arial" w:hAnsi="Arial"/>
          <w:sz w:val="17"/>
          <w:szCs w:val="17"/>
          <w:color w:val="auto"/>
        </w:rPr>
      </w:pPr>
      <w:r>
        <w:rPr>
          <w:rFonts w:ascii="Arial" w:cs="Arial" w:eastAsia="Arial" w:hAnsi="Arial"/>
          <w:sz w:val="17"/>
          <w:szCs w:val="17"/>
          <w:color w:val="auto"/>
        </w:rPr>
        <w:t>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w:t>
      </w:r>
    </w:p>
    <w:p>
      <w:pPr>
        <w:ind w:left="4" w:hanging="4"/>
        <w:spacing w:after="0" w:line="252" w:lineRule="auto"/>
        <w:tabs>
          <w:tab w:leader="none" w:pos="229" w:val="left"/>
        </w:tabs>
        <w:numPr>
          <w:ilvl w:val="0"/>
          <w:numId w:val="634"/>
        </w:numPr>
        <w:rPr>
          <w:rFonts w:ascii="Arial" w:cs="Arial" w:eastAsia="Arial" w:hAnsi="Arial"/>
          <w:sz w:val="18"/>
          <w:szCs w:val="18"/>
          <w:color w:val="auto"/>
        </w:rPr>
      </w:pPr>
      <w:r>
        <w:rPr>
          <w:rFonts w:ascii="Arial" w:cs="Arial" w:eastAsia="Arial" w:hAnsi="Arial"/>
          <w:sz w:val="18"/>
          <w:szCs w:val="18"/>
          <w:color w:val="auto"/>
        </w:rPr>
        <w:t>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12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4"/>
          </w:cols>
          <w:pgMar w:left="436" w:top="273" w:right="519" w:bottom="1440" w:gutter="0" w:footer="0" w:header="0"/>
        </w:sectPr>
      </w:pPr>
    </w:p>
    <w:bookmarkStart w:id="506" w:name="page507"/>
    <w:bookmarkEnd w:id="506"/>
    <w:p>
      <w:pPr>
        <w:ind w:left="2240" w:hanging="429"/>
        <w:spacing w:after="0"/>
        <w:tabs>
          <w:tab w:leader="none" w:pos="2240" w:val="left"/>
        </w:tabs>
        <w:numPr>
          <w:ilvl w:val="1"/>
          <w:numId w:val="6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any Global Note or Definitive Note issued pursuant to subparagraphs (b)(4), (c)(2), (d)</w:t>
      </w:r>
    </w:p>
    <w:p>
      <w:pPr>
        <w:spacing w:after="0" w:line="46" w:lineRule="exact"/>
        <w:rPr>
          <w:rFonts w:ascii="Arial" w:cs="Arial" w:eastAsia="Arial" w:hAnsi="Arial"/>
          <w:sz w:val="16"/>
          <w:szCs w:val="16"/>
          <w:color w:val="auto"/>
        </w:rPr>
      </w:pPr>
    </w:p>
    <w:p>
      <w:pPr>
        <w:ind w:left="1420" w:right="240"/>
        <w:spacing w:after="0" w:line="260" w:lineRule="auto"/>
        <w:rPr>
          <w:rFonts w:ascii="Arial" w:cs="Arial" w:eastAsia="Arial" w:hAnsi="Arial"/>
          <w:sz w:val="16"/>
          <w:szCs w:val="16"/>
          <w:color w:val="auto"/>
        </w:rPr>
      </w:pPr>
      <w:r>
        <w:rPr>
          <w:rFonts w:ascii="Arial" w:cs="Arial" w:eastAsia="Arial" w:hAnsi="Arial"/>
          <w:sz w:val="18"/>
          <w:szCs w:val="18"/>
          <w:color w:val="auto"/>
        </w:rPr>
        <w:t>(2), (d)(3), (e)(2) or (e)(3) of this Section 2.06 (and all Notes issued in exchange therefor or substitution thereof) will not bear the Private Placement Legend.</w:t>
      </w:r>
    </w:p>
    <w:p>
      <w:pPr>
        <w:spacing w:after="0" w:line="77" w:lineRule="exact"/>
        <w:rPr>
          <w:rFonts w:ascii="Arial" w:cs="Arial" w:eastAsia="Arial" w:hAnsi="Arial"/>
          <w:sz w:val="16"/>
          <w:szCs w:val="16"/>
          <w:color w:val="auto"/>
        </w:rPr>
      </w:pPr>
    </w:p>
    <w:p>
      <w:pPr>
        <w:ind w:left="1780" w:hanging="392"/>
        <w:spacing w:after="0"/>
        <w:tabs>
          <w:tab w:leader="none" w:pos="1780" w:val="left"/>
        </w:tabs>
        <w:numPr>
          <w:ilvl w:val="0"/>
          <w:numId w:val="636"/>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19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2" w:lineRule="exact"/>
        <w:rPr>
          <w:sz w:val="20"/>
          <w:szCs w:val="20"/>
          <w:color w:val="auto"/>
        </w:rPr>
      </w:pPr>
    </w:p>
    <w:p>
      <w:pPr>
        <w:ind w:firstLine="987"/>
        <w:spacing w:after="0" w:line="270" w:lineRule="auto"/>
        <w:tabs>
          <w:tab w:leader="none" w:pos="1381" w:val="left"/>
        </w:tabs>
        <w:numPr>
          <w:ilvl w:val="0"/>
          <w:numId w:val="637"/>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and/or Adjustment of Global Notes. </w:t>
      </w:r>
      <w:r>
        <w:rPr>
          <w:rFonts w:ascii="Arial" w:cs="Arial" w:eastAsia="Arial" w:hAnsi="Arial"/>
          <w:sz w:val="17"/>
          <w:szCs w:val="17"/>
          <w:color w:val="auto"/>
        </w:rPr>
        <w:t>At such time as all beneficial interests in a particular Global Note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Registrar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Registrar at the direction of the Trustee to reflect such increase.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3" w:right="499" w:bottom="1440" w:gutter="0" w:footer="0" w:header="0"/>
        </w:sectPr>
      </w:pPr>
    </w:p>
    <w:bookmarkStart w:id="507" w:name="page508"/>
    <w:bookmarkEnd w:id="507"/>
    <w:p>
      <w:pPr>
        <w:ind w:left="1380" w:hanging="393"/>
        <w:spacing w:after="0"/>
        <w:tabs>
          <w:tab w:leader="none" w:pos="1380" w:val="left"/>
        </w:tabs>
        <w:numPr>
          <w:ilvl w:val="0"/>
          <w:numId w:val="6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Provisions Relating to Transfers and Exchanges.</w:t>
      </w:r>
    </w:p>
    <w:p>
      <w:pPr>
        <w:spacing w:after="0" w:line="117" w:lineRule="exact"/>
        <w:rPr>
          <w:rFonts w:ascii="Arial" w:cs="Arial" w:eastAsia="Arial" w:hAnsi="Arial"/>
          <w:sz w:val="18"/>
          <w:szCs w:val="18"/>
          <w:color w:val="auto"/>
        </w:rPr>
      </w:pPr>
    </w:p>
    <w:p>
      <w:pPr>
        <w:ind w:left="980" w:right="300" w:firstLine="408"/>
        <w:spacing w:after="0" w:line="342" w:lineRule="auto"/>
        <w:tabs>
          <w:tab w:leader="none" w:pos="1767" w:val="left"/>
        </w:tabs>
        <w:numPr>
          <w:ilvl w:val="1"/>
          <w:numId w:val="638"/>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15" w:lineRule="exact"/>
        <w:rPr>
          <w:rFonts w:ascii="Arial" w:cs="Arial" w:eastAsia="Arial" w:hAnsi="Arial"/>
          <w:sz w:val="16"/>
          <w:szCs w:val="16"/>
          <w:color w:val="auto"/>
        </w:rPr>
      </w:pPr>
    </w:p>
    <w:p>
      <w:pPr>
        <w:ind w:left="980" w:right="140" w:firstLine="408"/>
        <w:spacing w:after="0" w:line="259" w:lineRule="auto"/>
        <w:tabs>
          <w:tab w:leader="none" w:pos="1771" w:val="left"/>
        </w:tabs>
        <w:numPr>
          <w:ilvl w:val="1"/>
          <w:numId w:val="638"/>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2.06, 3.06, 3.09, 4.10, 4.15 and 9.05 hereof).</w:t>
      </w:r>
    </w:p>
    <w:p>
      <w:pPr>
        <w:spacing w:after="0" w:line="78" w:lineRule="exact"/>
        <w:rPr>
          <w:rFonts w:ascii="Arial" w:cs="Arial" w:eastAsia="Arial" w:hAnsi="Arial"/>
          <w:sz w:val="18"/>
          <w:szCs w:val="18"/>
          <w:color w:val="auto"/>
        </w:rPr>
      </w:pPr>
    </w:p>
    <w:p>
      <w:pPr>
        <w:ind w:left="980" w:right="380" w:firstLine="408"/>
        <w:spacing w:after="0" w:line="277" w:lineRule="auto"/>
        <w:tabs>
          <w:tab w:leader="none" w:pos="1767" w:val="left"/>
        </w:tabs>
        <w:numPr>
          <w:ilvl w:val="1"/>
          <w:numId w:val="638"/>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left="980" w:right="80" w:firstLine="408"/>
        <w:spacing w:after="0" w:line="263" w:lineRule="auto"/>
        <w:tabs>
          <w:tab w:leader="none" w:pos="1761" w:val="left"/>
        </w:tabs>
        <w:numPr>
          <w:ilvl w:val="1"/>
          <w:numId w:val="638"/>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638"/>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117" w:lineRule="exact"/>
        <w:rPr>
          <w:rFonts w:ascii="Arial" w:cs="Arial" w:eastAsia="Arial" w:hAnsi="Arial"/>
          <w:sz w:val="18"/>
          <w:szCs w:val="18"/>
          <w:color w:val="auto"/>
        </w:rPr>
      </w:pPr>
    </w:p>
    <w:p>
      <w:pPr>
        <w:ind w:left="1420" w:right="60" w:firstLine="391"/>
        <w:spacing w:after="0" w:line="263" w:lineRule="auto"/>
        <w:tabs>
          <w:tab w:leader="none" w:pos="2233" w:val="left"/>
        </w:tabs>
        <w:numPr>
          <w:ilvl w:val="2"/>
          <w:numId w:val="638"/>
        </w:numPr>
        <w:rPr>
          <w:rFonts w:ascii="Arial" w:cs="Arial" w:eastAsia="Arial" w:hAnsi="Arial"/>
          <w:sz w:val="18"/>
          <w:szCs w:val="18"/>
          <w:color w:val="auto"/>
        </w:rPr>
      </w:pPr>
      <w:r>
        <w:rPr>
          <w:rFonts w:ascii="Arial" w:cs="Arial" w:eastAsia="Arial" w:hAnsi="Arial"/>
          <w:sz w:val="18"/>
          <w:szCs w:val="18"/>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75" w:lineRule="exact"/>
        <w:rPr>
          <w:rFonts w:ascii="Arial" w:cs="Arial" w:eastAsia="Arial" w:hAnsi="Arial"/>
          <w:sz w:val="18"/>
          <w:szCs w:val="18"/>
          <w:color w:val="auto"/>
        </w:rPr>
      </w:pPr>
    </w:p>
    <w:p>
      <w:pPr>
        <w:ind w:left="1420" w:right="340" w:firstLine="391"/>
        <w:spacing w:after="0" w:line="277" w:lineRule="auto"/>
        <w:tabs>
          <w:tab w:leader="none" w:pos="2223" w:val="left"/>
        </w:tabs>
        <w:numPr>
          <w:ilvl w:val="2"/>
          <w:numId w:val="638"/>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2240" w:hanging="429"/>
        <w:spacing w:after="0"/>
        <w:tabs>
          <w:tab w:leader="none" w:pos="2240" w:val="left"/>
        </w:tabs>
        <w:numPr>
          <w:ilvl w:val="2"/>
          <w:numId w:val="638"/>
        </w:numPr>
        <w:rPr>
          <w:rFonts w:ascii="Arial" w:cs="Arial" w:eastAsia="Arial" w:hAnsi="Arial"/>
          <w:sz w:val="16"/>
          <w:szCs w:val="16"/>
          <w:color w:val="auto"/>
        </w:rPr>
      </w:pPr>
      <w:r>
        <w:rPr>
          <w:rFonts w:ascii="Arial" w:cs="Arial" w:eastAsia="Arial" w:hAnsi="Arial"/>
          <w:sz w:val="16"/>
          <w:szCs w:val="16"/>
          <w:color w:val="auto"/>
        </w:rPr>
        <w:t>to register the transfer of or to exchange a Note between a record date and the next succeeding interest payment date.</w:t>
      </w:r>
    </w:p>
    <w:p>
      <w:pPr>
        <w:spacing w:after="0" w:line="140" w:lineRule="exact"/>
        <w:rPr>
          <w:rFonts w:ascii="Arial" w:cs="Arial" w:eastAsia="Arial" w:hAnsi="Arial"/>
          <w:sz w:val="16"/>
          <w:szCs w:val="16"/>
          <w:color w:val="auto"/>
        </w:rPr>
      </w:pPr>
    </w:p>
    <w:p>
      <w:pPr>
        <w:ind w:left="980" w:right="20" w:firstLine="408"/>
        <w:spacing w:after="0" w:line="259" w:lineRule="auto"/>
        <w:tabs>
          <w:tab w:leader="none" w:pos="1771" w:val="left"/>
        </w:tabs>
        <w:numPr>
          <w:ilvl w:val="1"/>
          <w:numId w:val="638"/>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638"/>
        </w:numPr>
        <w:rPr>
          <w:rFonts w:ascii="Arial" w:cs="Arial" w:eastAsia="Arial" w:hAnsi="Arial"/>
          <w:sz w:val="17"/>
          <w:szCs w:val="17"/>
          <w:color w:val="auto"/>
        </w:rPr>
      </w:pPr>
      <w:r>
        <w:rPr>
          <w:rFonts w:ascii="Arial" w:cs="Arial" w:eastAsia="Arial" w:hAnsi="Arial"/>
          <w:sz w:val="17"/>
          <w:szCs w:val="17"/>
          <w:color w:val="auto"/>
        </w:rPr>
        <w:t>The Trustee will authenticate Global Notes and Definitive Notes in accordance with the provisions of Section 2.02 hereof.</w:t>
      </w:r>
    </w:p>
    <w:p>
      <w:pPr>
        <w:spacing w:after="0" w:line="128" w:lineRule="exact"/>
        <w:rPr>
          <w:rFonts w:ascii="Arial" w:cs="Arial" w:eastAsia="Arial" w:hAnsi="Arial"/>
          <w:sz w:val="17"/>
          <w:szCs w:val="17"/>
          <w:color w:val="auto"/>
        </w:rPr>
      </w:pPr>
    </w:p>
    <w:p>
      <w:pPr>
        <w:ind w:left="980" w:right="80" w:firstLine="408"/>
        <w:spacing w:after="0" w:line="277" w:lineRule="auto"/>
        <w:tabs>
          <w:tab w:leader="none" w:pos="1761" w:val="left"/>
        </w:tabs>
        <w:numPr>
          <w:ilvl w:val="1"/>
          <w:numId w:val="638"/>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 or electronic mail (in pdf format).</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i w:val="1"/>
          <w:iCs w:val="1"/>
          <w:color w:val="auto"/>
        </w:rPr>
        <w:t>Replacement Notes.</w:t>
      </w:r>
    </w:p>
    <w:p>
      <w:pPr>
        <w:spacing w:after="0" w:line="11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and the Trustee may charge the Holder for their expenses in replacing a Note, including but not limited to the reasonable expenses of counsel and any tax that may be imposed with respect to replacement of such Note.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3" w:right="439" w:bottom="1440" w:gutter="0" w:footer="0" w:header="0"/>
        </w:sectPr>
      </w:pPr>
    </w:p>
    <w:bookmarkStart w:id="508" w:name="page509"/>
    <w:bookmarkEnd w:id="508"/>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Every replacement Note is an additional obligation of the Company and will be entitled to all of the benefits of this Indenture equally and proportionately with all other Notes duly issued hereunder.</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i w:val="1"/>
          <w:iCs w:val="1"/>
          <w:color w:val="auto"/>
        </w:rPr>
        <w:t>Outstanding Notes.</w:t>
      </w:r>
    </w:p>
    <w:p>
      <w:pPr>
        <w:spacing w:after="0" w:line="117"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3.07(a) hereof.</w:t>
      </w:r>
    </w:p>
    <w:p>
      <w:pPr>
        <w:spacing w:after="0" w:line="18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accrue.</w:t>
      </w:r>
    </w:p>
    <w:p>
      <w:pPr>
        <w:spacing w:after="0" w:line="211" w:lineRule="exact"/>
        <w:rPr>
          <w:sz w:val="20"/>
          <w:szCs w:val="20"/>
          <w:color w:val="auto"/>
        </w:rPr>
      </w:pPr>
    </w:p>
    <w:p>
      <w:pPr>
        <w:jc w:val="both"/>
        <w:ind w:right="280" w:firstLine="991"/>
        <w:spacing w:after="0" w:line="263" w:lineRule="auto"/>
        <w:rPr>
          <w:sz w:val="20"/>
          <w:szCs w:val="20"/>
          <w:color w:val="auto"/>
        </w:rPr>
      </w:pPr>
      <w:r>
        <w:rPr>
          <w:rFonts w:ascii="Arial" w:cs="Arial" w:eastAsia="Arial" w:hAnsi="Arial"/>
          <w:sz w:val="18"/>
          <w:szCs w:val="18"/>
          <w:color w:val="auto"/>
        </w:rPr>
        <w:t>If the Paying Agent (other than the Company, a Subsidiary or an Affiliate of any thereof) holds, in accordance with this Indenture, on a redemption date or maturity date, money sufficient to pay Notes payable on that date, then on and after that date such Notes will be deemed to be no longer outstanding and will cease to accrue interest.</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i w:val="1"/>
          <w:iCs w:val="1"/>
          <w:color w:val="auto"/>
        </w:rPr>
        <w:t>Treasury Notes.</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In determining whether the Holders of the required principal amount of Notes have concurred in any direction, waiver or consent, Notes owned by the Company or any Subsidiary Guarantor, or by any Person directly or indirectly controlling or controlled by or under direct or indirect common control with the Company or any Subsidiary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Temporary Notes.</w:t>
      </w:r>
    </w:p>
    <w:p>
      <w:pPr>
        <w:spacing w:after="0" w:line="117"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333"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Cancellation.</w:t>
      </w:r>
    </w:p>
    <w:p>
      <w:pPr>
        <w:spacing w:after="0" w:line="117"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The Company at any time may deliver Notes to the Trustee for cancellation. The Registrar and Paying Agent will forward to the Trustee any Notes surrendered to them for registration of transfer, exchange or payment. The Trustee, in accordance with its customary procedures, and no one else will cancel (subject to the Trustee’s retention policy) all Notes surrendered for registration of transfer, exchange, payment, replacement or cancellation and will dispose of such cancelled Notes in its customary manner (subject to the record retention requirement of the Exchange Act). At the request of the company, the Trustee will confirm the cancellation of the Notes delivered to it. The Company may not issue new Notes to replace Notes that it has paid or that have been delivered to the Trustee for cancellation.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3" w:right="479" w:bottom="1440" w:gutter="0" w:footer="0" w:header="0"/>
        </w:sectPr>
      </w:pPr>
    </w:p>
    <w:bookmarkStart w:id="509" w:name="page510"/>
    <w:bookmarkEnd w:id="509"/>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2.12</w:t>
      </w:r>
      <w:r>
        <w:rPr>
          <w:sz w:val="20"/>
          <w:szCs w:val="20"/>
          <w:color w:val="auto"/>
        </w:rPr>
        <w:tab/>
      </w:r>
      <w:r>
        <w:rPr>
          <w:rFonts w:ascii="Arial" w:cs="Arial" w:eastAsia="Arial" w:hAnsi="Arial"/>
          <w:sz w:val="16"/>
          <w:szCs w:val="16"/>
          <w:i w:val="1"/>
          <w:iCs w:val="1"/>
          <w:color w:val="auto"/>
        </w:rPr>
        <w:t>Defaulted Interest.</w:t>
      </w:r>
    </w:p>
    <w:p>
      <w:pPr>
        <w:spacing w:after="0" w:line="11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such special record date may be less than ten (10) days prior to the related payment date for such defaulted interest. At least fifteen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27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Additional Amounts.</w:t>
      </w:r>
    </w:p>
    <w:p>
      <w:pPr>
        <w:spacing w:after="0" w:line="117" w:lineRule="exact"/>
        <w:rPr>
          <w:sz w:val="20"/>
          <w:szCs w:val="20"/>
          <w:color w:val="auto"/>
        </w:rPr>
      </w:pPr>
    </w:p>
    <w:p>
      <w:pPr>
        <w:ind w:right="20" w:firstLine="987"/>
        <w:spacing w:after="0" w:line="269" w:lineRule="auto"/>
        <w:tabs>
          <w:tab w:leader="none" w:pos="1361" w:val="left"/>
        </w:tabs>
        <w:numPr>
          <w:ilvl w:val="0"/>
          <w:numId w:val="639"/>
        </w:numPr>
        <w:rPr>
          <w:rFonts w:ascii="Arial" w:cs="Arial" w:eastAsia="Arial" w:hAnsi="Arial"/>
          <w:sz w:val="17"/>
          <w:szCs w:val="17"/>
          <w:color w:val="auto"/>
        </w:rPr>
      </w:pPr>
      <w:r>
        <w:rPr>
          <w:rFonts w:ascii="Arial" w:cs="Arial" w:eastAsia="Arial" w:hAnsi="Arial"/>
          <w:sz w:val="17"/>
          <w:szCs w:val="17"/>
          <w:color w:val="auto"/>
        </w:rPr>
        <w:t>All payments of principal of, premium, if any, and interest on the Notes and all payments under the Note Guarantees will be made without withholding or deduction for, or on account of, any present or future taxes, duties, assessments or governmental charges of whatever (“</w:t>
      </w:r>
      <w:r>
        <w:rPr>
          <w:rFonts w:ascii="Arial" w:cs="Arial" w:eastAsia="Arial" w:hAnsi="Arial"/>
          <w:sz w:val="17"/>
          <w:szCs w:val="17"/>
          <w:i w:val="1"/>
          <w:iCs w:val="1"/>
          <w:color w:val="auto"/>
        </w:rPr>
        <w:t>Taxes</w:t>
      </w:r>
      <w:r>
        <w:rPr>
          <w:rFonts w:ascii="Arial" w:cs="Arial" w:eastAsia="Arial" w:hAnsi="Arial"/>
          <w:sz w:val="17"/>
          <w:szCs w:val="17"/>
          <w:color w:val="auto"/>
        </w:rPr>
        <w:t>”) nature imposed or levied by or within any jurisdiction in which the Company or any applicable Subsidiary Guarantor is organized or resident for tax purposes (or any political subdivision or taxing authority thereof or therein) or any jurisdiction from or through which payment is made by or on behalf of the Company or any Subsidiary Guarantor (including the jurisdiction of any Paying Agent) (or any political subdivision or taxing authority thereof or therein) (each, as applicable, a “</w:t>
      </w:r>
      <w:r>
        <w:rPr>
          <w:rFonts w:ascii="Arial" w:cs="Arial" w:eastAsia="Arial" w:hAnsi="Arial"/>
          <w:sz w:val="17"/>
          <w:szCs w:val="17"/>
          <w:i w:val="1"/>
          <w:iCs w:val="1"/>
          <w:color w:val="auto"/>
        </w:rPr>
        <w:t>Relevant Jurisdiction</w:t>
      </w:r>
      <w:r>
        <w:rPr>
          <w:rFonts w:ascii="Arial" w:cs="Arial" w:eastAsia="Arial" w:hAnsi="Arial"/>
          <w:sz w:val="17"/>
          <w:szCs w:val="17"/>
          <w:color w:val="auto"/>
        </w:rPr>
        <w:t>”), unless such withholding or deduction is required by law or by regulation or governmental policy having the force of law. In such event, the Company or the applicable Subsidiary Guarantor, as the case may be, will make such deduction or withholding, make payment of the amount so withheld to the appropriate governmental authority and will pay such additional amounts (“</w:t>
      </w:r>
      <w:r>
        <w:rPr>
          <w:rFonts w:ascii="Arial" w:cs="Arial" w:eastAsia="Arial" w:hAnsi="Arial"/>
          <w:sz w:val="17"/>
          <w:szCs w:val="17"/>
          <w:i w:val="1"/>
          <w:iCs w:val="1"/>
          <w:color w:val="auto"/>
        </w:rPr>
        <w:t>Additional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Amounts</w:t>
      </w:r>
      <w:r>
        <w:rPr>
          <w:rFonts w:ascii="Arial" w:cs="Arial" w:eastAsia="Arial" w:hAnsi="Arial"/>
          <w:sz w:val="17"/>
          <w:szCs w:val="17"/>
          <w:color w:val="auto"/>
        </w:rPr>
        <w:t>”) as will result in receipt by the Holder of such amounts as would have been received by such holder had no such withholding or deduction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been required,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Additional Amounts will be payable for or on account of:</w:t>
      </w:r>
    </w:p>
    <w:p>
      <w:pPr>
        <w:spacing w:after="0" w:line="77" w:lineRule="exact"/>
        <w:rPr>
          <w:rFonts w:ascii="Arial" w:cs="Arial" w:eastAsia="Arial" w:hAnsi="Arial"/>
          <w:sz w:val="17"/>
          <w:szCs w:val="17"/>
          <w:color w:val="auto"/>
        </w:rPr>
      </w:pPr>
    </w:p>
    <w:p>
      <w:pPr>
        <w:ind w:left="1780" w:hanging="392"/>
        <w:spacing w:after="0"/>
        <w:tabs>
          <w:tab w:leader="none" w:pos="1780" w:val="left"/>
        </w:tabs>
        <w:numPr>
          <w:ilvl w:val="1"/>
          <w:numId w:val="639"/>
        </w:numPr>
        <w:rPr>
          <w:rFonts w:ascii="Arial" w:cs="Arial" w:eastAsia="Arial" w:hAnsi="Arial"/>
          <w:sz w:val="18"/>
          <w:szCs w:val="18"/>
          <w:color w:val="auto"/>
        </w:rPr>
      </w:pPr>
      <w:r>
        <w:rPr>
          <w:rFonts w:ascii="Arial" w:cs="Arial" w:eastAsia="Arial" w:hAnsi="Arial"/>
          <w:sz w:val="18"/>
          <w:szCs w:val="18"/>
          <w:color w:val="auto"/>
        </w:rPr>
        <w:t>any tax, duty, assessment or other governmental charge that would not have been imposed but for:</w:t>
      </w:r>
    </w:p>
    <w:p>
      <w:pPr>
        <w:spacing w:after="0" w:line="117" w:lineRule="exact"/>
        <w:rPr>
          <w:rFonts w:ascii="Arial" w:cs="Arial" w:eastAsia="Arial" w:hAnsi="Arial"/>
          <w:sz w:val="18"/>
          <w:szCs w:val="18"/>
          <w:color w:val="auto"/>
        </w:rPr>
      </w:pPr>
    </w:p>
    <w:p>
      <w:pPr>
        <w:ind w:left="1420" w:right="60" w:firstLine="391"/>
        <w:spacing w:after="0" w:line="275" w:lineRule="auto"/>
        <w:tabs>
          <w:tab w:leader="none" w:pos="2233" w:val="left"/>
        </w:tabs>
        <w:numPr>
          <w:ilvl w:val="2"/>
          <w:numId w:val="639"/>
        </w:numPr>
        <w:rPr>
          <w:rFonts w:ascii="Arial" w:cs="Arial" w:eastAsia="Arial" w:hAnsi="Arial"/>
          <w:sz w:val="17"/>
          <w:szCs w:val="17"/>
          <w:color w:val="auto"/>
        </w:rPr>
      </w:pPr>
      <w:r>
        <w:rPr>
          <w:rFonts w:ascii="Arial" w:cs="Arial" w:eastAsia="Arial" w:hAnsi="Arial"/>
          <w:sz w:val="17"/>
          <w:szCs w:val="17"/>
          <w:color w:val="auto"/>
        </w:rPr>
        <w:t>the existence of any present or former connection between the Holder or beneficial owner of such Note or Note Guarantee, as the case may be, and the Relevant Jurisdiction including, without limitation, such holder or beneficial owner being or having been a citizen or resident of such Relevant Jurisdiction or treated as a resident thereof or being or having been physically present or engaged in a trade or business therein or having or having had a permanent establishment therein, other than merely holding such Note or the receipt of payments thereunder or under the Note Guarantee;</w:t>
      </w:r>
    </w:p>
    <w:p>
      <w:pPr>
        <w:spacing w:after="0" w:line="68" w:lineRule="exact"/>
        <w:rPr>
          <w:rFonts w:ascii="Arial" w:cs="Arial" w:eastAsia="Arial" w:hAnsi="Arial"/>
          <w:sz w:val="17"/>
          <w:szCs w:val="17"/>
          <w:color w:val="auto"/>
        </w:rPr>
      </w:pPr>
    </w:p>
    <w:p>
      <w:pPr>
        <w:jc w:val="both"/>
        <w:ind w:left="1420" w:right="220" w:firstLine="391"/>
        <w:spacing w:after="0" w:line="279" w:lineRule="auto"/>
        <w:tabs>
          <w:tab w:leader="none" w:pos="2223" w:val="left"/>
        </w:tabs>
        <w:numPr>
          <w:ilvl w:val="2"/>
          <w:numId w:val="639"/>
        </w:numPr>
        <w:rPr>
          <w:rFonts w:ascii="Arial" w:cs="Arial" w:eastAsia="Arial" w:hAnsi="Arial"/>
          <w:sz w:val="17"/>
          <w:szCs w:val="17"/>
          <w:color w:val="auto"/>
        </w:rPr>
      </w:pPr>
      <w:r>
        <w:rPr>
          <w:rFonts w:ascii="Arial" w:cs="Arial" w:eastAsia="Arial" w:hAnsi="Arial"/>
          <w:sz w:val="17"/>
          <w:szCs w:val="17"/>
          <w:color w:val="auto"/>
        </w:rPr>
        <w:t>the presentation of such Note (where presentation is required) more than thirty (30) days after the later 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3" w:right="499" w:bottom="1440" w:gutter="0" w:footer="0" w:header="0"/>
        </w:sectPr>
      </w:pPr>
    </w:p>
    <w:bookmarkStart w:id="510" w:name="page511"/>
    <w:bookmarkEnd w:id="510"/>
    <w:p>
      <w:pPr>
        <w:ind w:left="1420" w:firstLine="391"/>
        <w:spacing w:after="0" w:line="257" w:lineRule="auto"/>
        <w:tabs>
          <w:tab w:leader="none" w:pos="2223" w:val="left"/>
        </w:tabs>
        <w:numPr>
          <w:ilvl w:val="2"/>
          <w:numId w:val="6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failure of the holder or beneficial owner to comply with a timely request of the Company or any Subsidiary Guarantor addressed to the holder or beneficial owner, as the case may be, to provide information concerning such holder’s or beneficial owner’s nationality, residence, identity or connection with any Relevant Jurisdiction, if and to the extent that due and timely compliance with such request would have reduced or eliminated any withholding or deduction as to which Additional Amounts would have otherwise been payable to such holder; or</w:t>
      </w:r>
    </w:p>
    <w:p>
      <w:pPr>
        <w:spacing w:after="0" w:line="79" w:lineRule="exact"/>
        <w:rPr>
          <w:rFonts w:ascii="Arial" w:cs="Arial" w:eastAsia="Arial" w:hAnsi="Arial"/>
          <w:sz w:val="18"/>
          <w:szCs w:val="18"/>
          <w:color w:val="auto"/>
        </w:rPr>
      </w:pPr>
    </w:p>
    <w:p>
      <w:pPr>
        <w:ind w:left="1420" w:right="60" w:firstLine="391"/>
        <w:spacing w:after="0" w:line="277" w:lineRule="auto"/>
        <w:tabs>
          <w:tab w:leader="none" w:pos="2233" w:val="left"/>
        </w:tabs>
        <w:numPr>
          <w:ilvl w:val="2"/>
          <w:numId w:val="640"/>
        </w:numPr>
        <w:rPr>
          <w:rFonts w:ascii="Arial" w:cs="Arial" w:eastAsia="Arial" w:hAnsi="Arial"/>
          <w:sz w:val="18"/>
          <w:szCs w:val="18"/>
          <w:color w:val="auto"/>
        </w:rPr>
      </w:pPr>
      <w:r>
        <w:rPr>
          <w:rFonts w:ascii="Arial" w:cs="Arial" w:eastAsia="Arial" w:hAnsi="Arial"/>
          <w:sz w:val="18"/>
          <w:szCs w:val="18"/>
          <w:color w:val="auto"/>
        </w:rPr>
        <w:t>the presentation of such Note (where presentation is required) for payment in the Relevant Jurisdiction, unless such Note could not have been presented for payment elsewhere;</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641"/>
        </w:numPr>
        <w:rPr>
          <w:rFonts w:ascii="Arial" w:cs="Arial" w:eastAsia="Arial" w:hAnsi="Arial"/>
          <w:sz w:val="16"/>
          <w:szCs w:val="16"/>
          <w:color w:val="auto"/>
        </w:rPr>
      </w:pPr>
      <w:r>
        <w:rPr>
          <w:rFonts w:ascii="Arial" w:cs="Arial" w:eastAsia="Arial" w:hAnsi="Arial"/>
          <w:sz w:val="16"/>
          <w:szCs w:val="16"/>
          <w:color w:val="auto"/>
        </w:rPr>
        <w:t>any estate, inheritance, gift, sale, transfer, excise or personal property or similar tax, assessment or other governmental charge;</w:t>
      </w:r>
    </w:p>
    <w:p>
      <w:pPr>
        <w:spacing w:after="0" w:line="140" w:lineRule="exact"/>
        <w:rPr>
          <w:rFonts w:ascii="Arial" w:cs="Arial" w:eastAsia="Arial" w:hAnsi="Arial"/>
          <w:sz w:val="16"/>
          <w:szCs w:val="16"/>
          <w:color w:val="auto"/>
        </w:rPr>
      </w:pPr>
    </w:p>
    <w:p>
      <w:pPr>
        <w:ind w:left="980" w:right="420" w:firstLine="408"/>
        <w:spacing w:after="0" w:line="311" w:lineRule="auto"/>
        <w:tabs>
          <w:tab w:leader="none" w:pos="1771" w:val="left"/>
        </w:tabs>
        <w:numPr>
          <w:ilvl w:val="1"/>
          <w:numId w:val="641"/>
        </w:numPr>
        <w:rPr>
          <w:rFonts w:ascii="Arial" w:cs="Arial" w:eastAsia="Arial" w:hAnsi="Arial"/>
          <w:sz w:val="16"/>
          <w:szCs w:val="16"/>
          <w:color w:val="auto"/>
        </w:rPr>
      </w:pPr>
      <w:r>
        <w:rPr>
          <w:rFonts w:ascii="Arial" w:cs="Arial" w:eastAsia="Arial" w:hAnsi="Arial"/>
          <w:sz w:val="16"/>
          <w:szCs w:val="16"/>
          <w:color w:val="auto"/>
        </w:rPr>
        <w:t>any tax, duty, assessment or other governmental charge which is payable other than (i) by deduction or withholding from payments of principal of or interest on the Note or payments under the Note Guarantees, or (ii) by direct payment by the Company or applicable Subsidiary Guarantor in respect of claims made against the Company or the applicable Subsidiary Guarantor;</w:t>
      </w:r>
    </w:p>
    <w:p>
      <w:pPr>
        <w:spacing w:after="0" w:line="40" w:lineRule="exact"/>
        <w:rPr>
          <w:rFonts w:ascii="Arial" w:cs="Arial" w:eastAsia="Arial" w:hAnsi="Arial"/>
          <w:sz w:val="16"/>
          <w:szCs w:val="16"/>
          <w:color w:val="auto"/>
        </w:rPr>
      </w:pPr>
    </w:p>
    <w:p>
      <w:pPr>
        <w:ind w:left="980" w:right="100" w:firstLine="408"/>
        <w:spacing w:after="0" w:line="257" w:lineRule="auto"/>
        <w:tabs>
          <w:tab w:leader="none" w:pos="1771" w:val="left"/>
        </w:tabs>
        <w:numPr>
          <w:ilvl w:val="1"/>
          <w:numId w:val="641"/>
        </w:numPr>
        <w:rPr>
          <w:rFonts w:ascii="Arial" w:cs="Arial" w:eastAsia="Arial" w:hAnsi="Arial"/>
          <w:sz w:val="18"/>
          <w:szCs w:val="18"/>
          <w:color w:val="auto"/>
        </w:rPr>
      </w:pPr>
      <w:r>
        <w:rPr>
          <w:rFonts w:ascii="Arial" w:cs="Arial" w:eastAsia="Arial" w:hAnsi="Arial"/>
          <w:sz w:val="18"/>
          <w:szCs w:val="18"/>
          <w:color w:val="auto"/>
        </w:rPr>
        <w:t>any tax arising pursuant to Sections 1471 - 1474 of the U.S. Internal Revenue Code of 1986, as amended, and any successor or amended version that is substantively comparable and not materially more onerous to comply with, any official interpretations thereof, current or future regulations or agreements entered pursuant thereto, any agreement entered pursuant thereto, any U.S. or non-U.S. law enacted in connection with an intergovernmental agreement related thereto, or any rules, regulations, or administrative guidance of any kind relating to any of the foregoing; or</w:t>
      </w:r>
    </w:p>
    <w:p>
      <w:pPr>
        <w:spacing w:after="0" w:line="79" w:lineRule="exact"/>
        <w:rPr>
          <w:rFonts w:ascii="Arial" w:cs="Arial" w:eastAsia="Arial" w:hAnsi="Arial"/>
          <w:sz w:val="18"/>
          <w:szCs w:val="18"/>
          <w:color w:val="auto"/>
        </w:rPr>
      </w:pPr>
    </w:p>
    <w:p>
      <w:pPr>
        <w:ind w:left="1780" w:hanging="392"/>
        <w:spacing w:after="0"/>
        <w:tabs>
          <w:tab w:leader="none" w:pos="1780" w:val="left"/>
        </w:tabs>
        <w:numPr>
          <w:ilvl w:val="1"/>
          <w:numId w:val="641"/>
        </w:numPr>
        <w:rPr>
          <w:rFonts w:ascii="Arial" w:cs="Arial" w:eastAsia="Arial" w:hAnsi="Arial"/>
          <w:sz w:val="16"/>
          <w:szCs w:val="16"/>
          <w:color w:val="auto"/>
        </w:rPr>
      </w:pPr>
      <w:r>
        <w:rPr>
          <w:rFonts w:ascii="Arial" w:cs="Arial" w:eastAsia="Arial" w:hAnsi="Arial"/>
          <w:sz w:val="16"/>
          <w:szCs w:val="16"/>
          <w:color w:val="auto"/>
        </w:rPr>
        <w:t>any combination of taxes, duties, assessments or other governmental charges referred to in the preceding clauses (1), (2), (3)</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and (4); or</w:t>
      </w:r>
    </w:p>
    <w:p>
      <w:pPr>
        <w:spacing w:after="0" w:line="210" w:lineRule="exact"/>
        <w:rPr>
          <w:rFonts w:ascii="Arial" w:cs="Arial" w:eastAsia="Arial" w:hAnsi="Arial"/>
          <w:sz w:val="16"/>
          <w:szCs w:val="16"/>
          <w:color w:val="auto"/>
        </w:rPr>
      </w:pPr>
    </w:p>
    <w:p>
      <w:pPr>
        <w:ind w:right="240" w:firstLine="987"/>
        <w:spacing w:after="0" w:line="257" w:lineRule="auto"/>
        <w:tabs>
          <w:tab w:leader="none" w:pos="1381" w:val="left"/>
        </w:tabs>
        <w:numPr>
          <w:ilvl w:val="0"/>
          <w:numId w:val="642"/>
        </w:numPr>
        <w:rPr>
          <w:rFonts w:ascii="Arial" w:cs="Arial" w:eastAsia="Arial" w:hAnsi="Arial"/>
          <w:sz w:val="18"/>
          <w:szCs w:val="18"/>
          <w:color w:val="auto"/>
        </w:rPr>
      </w:pPr>
      <w:r>
        <w:rPr>
          <w:rFonts w:ascii="Arial" w:cs="Arial" w:eastAsia="Arial" w:hAnsi="Arial"/>
          <w:sz w:val="18"/>
          <w:szCs w:val="18"/>
          <w:color w:val="auto"/>
        </w:rPr>
        <w:t>with respect to any payment of the principal of, or premium, if any, or interest on, such Note or any payment under any Note Guarantee to such holder, if the holder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188"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In addition to the foregoing, the Company and the Subsidiary Guarantors will also pay and indemnify the holder of a Note for any present or future stamp, issue, registration, court or documentary taxes, or any other excise or property taxes, charges or similar levies (including penalties, interest and other reasonable expenses related thereto) which are levied by any Relevant Jurisdiction on the execution, delivery, issuance, or registration of any of the Notes, the Indenture, any Note Guarantee or any other document or instrument referred to therein, or the receipt of any payments with respect thereto, or enforcement of, any of the Notes or any Note Guarantee. The Company and the Subsidiary Guarantors will use all reasonable efforts to obtain certified copies of tax receipts evidencing the payment of any taxes so deducted or withheld from each Relevant Jurisdiction imposing such taxes, in such form as provided in the ordinary course by the Relevant Jurisdiction and as is reasonably available to the Company, and will provide such certified copies to the Trustees and the Paying Agent. Such copies shall be made available to the Holders upon request and will be made available at the offices of the Paying Agent. The Company or the Subsidiary Guarantor, as applicable,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w:t>
      </w:r>
    </w:p>
    <w:p>
      <w:pPr>
        <w:spacing w:after="0" w:line="172" w:lineRule="exact"/>
        <w:rPr>
          <w:sz w:val="20"/>
          <w:szCs w:val="20"/>
          <w:color w:val="auto"/>
        </w:rPr>
      </w:pPr>
    </w:p>
    <w:p>
      <w:pPr>
        <w:ind w:right="20" w:firstLine="987"/>
        <w:spacing w:after="0" w:line="263" w:lineRule="auto"/>
        <w:tabs>
          <w:tab w:leader="none" w:pos="136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Whenever there is mentioned in any context the payment of principal of, and any premium or interest, on any Note or under any Note Guarantee, such mention will be deemed to include payment of Additional Amounts provided for in this Indenture to the extent that, in such context, Additional Amounts are, were or would be payable in respect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3" w:right="459" w:bottom="1440" w:gutter="0" w:footer="0" w:header="0"/>
        </w:sectPr>
      </w:pPr>
    </w:p>
    <w:bookmarkStart w:id="511" w:name="page512"/>
    <w:bookmarkEnd w:id="511"/>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2.14</w:t>
      </w:r>
      <w:r>
        <w:rPr>
          <w:sz w:val="20"/>
          <w:szCs w:val="20"/>
          <w:color w:val="auto"/>
        </w:rPr>
        <w:tab/>
      </w:r>
      <w:r>
        <w:rPr>
          <w:rFonts w:ascii="Arial" w:cs="Arial" w:eastAsia="Arial" w:hAnsi="Arial"/>
          <w:sz w:val="16"/>
          <w:szCs w:val="16"/>
          <w:i w:val="1"/>
          <w:iCs w:val="1"/>
          <w:color w:val="auto"/>
        </w:rPr>
        <w:t>Forced Sale or Redemption for Non-QIBs.</w:t>
      </w:r>
    </w:p>
    <w:p>
      <w:pPr>
        <w:spacing w:after="0" w:line="117" w:lineRule="exact"/>
        <w:rPr>
          <w:sz w:val="20"/>
          <w:szCs w:val="20"/>
          <w:color w:val="auto"/>
        </w:rPr>
      </w:pPr>
    </w:p>
    <w:p>
      <w:pPr>
        <w:ind w:firstLine="987"/>
        <w:spacing w:after="0" w:line="290" w:lineRule="auto"/>
        <w:tabs>
          <w:tab w:leader="none" w:pos="1368" w:val="left"/>
        </w:tabs>
        <w:numPr>
          <w:ilvl w:val="0"/>
          <w:numId w:val="644"/>
        </w:numPr>
        <w:rPr>
          <w:rFonts w:ascii="Arial" w:cs="Arial" w:eastAsia="Arial" w:hAnsi="Arial"/>
          <w:sz w:val="16"/>
          <w:szCs w:val="16"/>
          <w:color w:val="auto"/>
        </w:rPr>
      </w:pPr>
      <w:r>
        <w:rPr>
          <w:rFonts w:ascii="Arial" w:cs="Arial" w:eastAsia="Arial" w:hAnsi="Arial"/>
          <w:sz w:val="16"/>
          <w:szCs w:val="16"/>
          <w:color w:val="auto"/>
        </w:rPr>
        <w:t>The Company has the right to require any Holder of a Note (or beneficial interest therein) that is a U.S. Person and is determined not to have been a QIB at the time of acquisition of such Note or is otherwise determined to be in breach, at the time given, of any of the representations and agreements required to be made pursuant to the transfer restrictions set forth herein, to transfer such Security (or beneficial interest therein) to a transferee acceptable to the Company who is able to and who does make all of the representations and agreements required to be made pursuant to the transfer restrictions set forth herein, or to redeem such Note (or beneficial interest therein) within 30 days of receipt of notice of the Company’s election to so redeem such Holder’s Notes on the terms set forth in paragraph (b) below. Pending such transfer or redemption, such Holder will be deemed not to be the Holder of such Note for any purpose, including but not limited to receipt of interest and principal payments on such Note, and such Holder will be deemed to have no interest whatsoever in such Note except as otherwise required to sell or redeem its interest therein.</w:t>
      </w:r>
    </w:p>
    <w:p>
      <w:pPr>
        <w:spacing w:after="0" w:line="165" w:lineRule="exact"/>
        <w:rPr>
          <w:rFonts w:ascii="Arial" w:cs="Arial" w:eastAsia="Arial" w:hAnsi="Arial"/>
          <w:sz w:val="16"/>
          <w:szCs w:val="16"/>
          <w:color w:val="auto"/>
        </w:rPr>
      </w:pPr>
    </w:p>
    <w:p>
      <w:pPr>
        <w:jc w:val="both"/>
        <w:ind w:right="180" w:firstLine="987"/>
        <w:spacing w:after="0" w:line="286" w:lineRule="auto"/>
        <w:tabs>
          <w:tab w:leader="none" w:pos="1371" w:val="left"/>
        </w:tabs>
        <w:numPr>
          <w:ilvl w:val="0"/>
          <w:numId w:val="644"/>
        </w:numPr>
        <w:rPr>
          <w:rFonts w:ascii="Arial" w:cs="Arial" w:eastAsia="Arial" w:hAnsi="Arial"/>
          <w:sz w:val="17"/>
          <w:szCs w:val="17"/>
          <w:color w:val="auto"/>
        </w:rPr>
      </w:pPr>
      <w:r>
        <w:rPr>
          <w:rFonts w:ascii="Arial" w:cs="Arial" w:eastAsia="Arial" w:hAnsi="Arial"/>
          <w:sz w:val="17"/>
          <w:szCs w:val="17"/>
          <w:color w:val="auto"/>
        </w:rPr>
        <w:t>Any such redemption occurring pursuant to paragraph (a) above shall be at a redemption price equal to the lesser of (i) the Person’s cost, plus accrued and unpaid interest, if any, to the redemption date and (ii) 100% of the principal amount thereof, plus accrued and unpaid interest, if any, to the redemption date. The Company shall notify the Trustee in writing of any such redemption as soon as practicable.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3" w:right="459" w:bottom="1440" w:gutter="0" w:footer="0" w:header="0"/>
        </w:sectPr>
      </w:pPr>
    </w:p>
    <w:bookmarkStart w:id="512" w:name="page513"/>
    <w:bookmarkEnd w:id="5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the Company elects to redeem Notes pursuant to the optional redemption provisions of Section 3.07 hereof, it must furnish to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Trustee, the Registrar and the Paying Agent, at least 30 days but not more than 60 days before a redemption date, an Officer’s Certificate setting forth:</w:t>
      </w:r>
    </w:p>
    <w:p>
      <w:pPr>
        <w:spacing w:after="0" w:line="126" w:lineRule="exact"/>
        <w:rPr>
          <w:sz w:val="20"/>
          <w:szCs w:val="20"/>
          <w:color w:val="auto"/>
        </w:rPr>
      </w:pPr>
    </w:p>
    <w:p>
      <w:pPr>
        <w:ind w:left="1780" w:hanging="392"/>
        <w:spacing w:after="0"/>
        <w:tabs>
          <w:tab w:leader="none" w:pos="178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117"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If fewer than all of the Notes are to be redeemed or purchased at any time, the Trustee, the Paying Agent or the Registrar will select Notes for redemption or purchase (i) in compliance with the requirements of the principal national securities exchange, if any, on which Notes are listed and any applicable Depositary procedures, (ii) by lot or such other similar method in accordance with the applicable procedures of the Depositary or any other applicable clearing system (if the Notes are Global Notes), or (iii) if there are no such requirements of such exchange or the Notes are not then listed on a national securities exchange or cleared through the Depositary or any other applicable clearing system,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No Notes of a principal amount of US$200,000 or less may be redeemed or purchased in part, and if Notes are redeemed or purchased in part, the remaining outstanding amount must be at least equal to US$200,000 and integral multiples of US$ 1,000 in excess thereof. None of the Trustee, the Paying Agent or the Registrar will be liable for any selections made under this paragraph.</w:t>
      </w:r>
    </w:p>
    <w:p>
      <w:pPr>
        <w:spacing w:after="0" w:line="178"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In the event of partial redemption or purchase by lot, the particular Notes to be redeemed or purchased will be selected, unless otherwise provided herein, not less than 30 nor more than 60 days prior to the redemption or purchase date by the Registrar from the outstanding Notes not previously called for redemption or purchase.</w:t>
      </w:r>
    </w:p>
    <w:p>
      <w:pPr>
        <w:spacing w:after="0" w:line="1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Registrar will promptly notify the Company in writing of any Definitive Notes selected for redemption or purchase and, in the case of any such Note selected for partial redemption or purchase, the principal amount thereof to be redeemed or purchased. Notes and portions of Notes selected will be in amounts of US$ 200,000 or integral multiples of US$ 1,000 in excess thereof; except that if all of the Notes of a Holder are to be redeemed or purchased, the entire outstanding amount of Notes held by such Holder, even if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117"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Subject to the provisions of Section 3.09 hereof, at least 30 days but not more than 60 days before a redemption date, the Company will mail or cause to be mailed, by first class mail, a notice of redemption to each Holder whose Notes are to be redeemed at its registered address, except that redemption notices may be mailed more than 60 days prior to a redemption date (with prior notice to the Trustee) if the notice is issued in connection with a defeasance of the Notes or a satisfaction and discharge of this Indenture pursuant to Article 8 or 11 hereof.</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117" w:lineRule="exact"/>
        <w:rPr>
          <w:sz w:val="20"/>
          <w:szCs w:val="20"/>
          <w:color w:val="auto"/>
        </w:rPr>
      </w:pPr>
    </w:p>
    <w:p>
      <w:pPr>
        <w:ind w:left="1780" w:hanging="392"/>
        <w:spacing w:after="0"/>
        <w:tabs>
          <w:tab w:leader="none" w:pos="178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69" w:right="479" w:bottom="1440" w:gutter="0" w:footer="0" w:header="0"/>
        </w:sectPr>
      </w:pPr>
    </w:p>
    <w:bookmarkStart w:id="513" w:name="page514"/>
    <w:bookmarkEnd w:id="513"/>
    <w:p>
      <w:pPr>
        <w:ind w:left="1780" w:hanging="392"/>
        <w:spacing w:after="0"/>
        <w:tabs>
          <w:tab w:leader="none" w:pos="1780" w:val="left"/>
        </w:tabs>
        <w:numPr>
          <w:ilvl w:val="0"/>
          <w:numId w:val="6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redemption price;</w:t>
      </w:r>
    </w:p>
    <w:p>
      <w:pPr>
        <w:spacing w:after="0" w:line="117" w:lineRule="exact"/>
        <w:rPr>
          <w:rFonts w:ascii="Arial" w:cs="Arial" w:eastAsia="Arial" w:hAnsi="Arial"/>
          <w:sz w:val="18"/>
          <w:szCs w:val="18"/>
          <w:color w:val="auto"/>
        </w:rPr>
      </w:pPr>
    </w:p>
    <w:p>
      <w:pPr>
        <w:ind w:left="980" w:right="340" w:firstLine="408"/>
        <w:spacing w:after="0" w:line="311" w:lineRule="auto"/>
        <w:tabs>
          <w:tab w:leader="none" w:pos="1771" w:val="left"/>
        </w:tabs>
        <w:numPr>
          <w:ilvl w:val="0"/>
          <w:numId w:val="647"/>
        </w:numPr>
        <w:rPr>
          <w:rFonts w:ascii="Arial" w:cs="Arial" w:eastAsia="Arial" w:hAnsi="Arial"/>
          <w:sz w:val="16"/>
          <w:szCs w:val="16"/>
          <w:color w:val="auto"/>
        </w:rPr>
      </w:pPr>
      <w:r>
        <w:rPr>
          <w:rFonts w:ascii="Arial" w:cs="Arial" w:eastAsia="Arial" w:hAnsi="Arial"/>
          <w:sz w:val="16"/>
          <w:szCs w:val="16"/>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r>
        <w:rPr>
          <w:rFonts w:ascii="Arial" w:cs="Arial" w:eastAsia="Arial" w:hAnsi="Arial"/>
          <w:sz w:val="16"/>
          <w:szCs w:val="16"/>
          <w:i w:val="1"/>
          <w:iCs w:val="1"/>
          <w:color w:val="auto"/>
        </w:rPr>
        <w:t>, provided that</w:t>
      </w:r>
      <w:r>
        <w:rPr>
          <w:rFonts w:ascii="Arial" w:cs="Arial" w:eastAsia="Arial" w:hAnsi="Arial"/>
          <w:sz w:val="16"/>
          <w:szCs w:val="16"/>
          <w:color w:val="auto"/>
        </w:rPr>
        <w:t xml:space="preserve"> the unredeemed portion has a minimum denomination of US$200,000;</w:t>
      </w:r>
    </w:p>
    <w:p>
      <w:pPr>
        <w:spacing w:after="0" w:line="40" w:lineRule="exact"/>
        <w:rPr>
          <w:rFonts w:ascii="Arial" w:cs="Arial" w:eastAsia="Arial" w:hAnsi="Arial"/>
          <w:sz w:val="16"/>
          <w:szCs w:val="16"/>
          <w:color w:val="auto"/>
        </w:rPr>
      </w:pPr>
    </w:p>
    <w:p>
      <w:pPr>
        <w:ind w:left="1780" w:hanging="392"/>
        <w:spacing w:after="0"/>
        <w:tabs>
          <w:tab w:leader="none" w:pos="178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771" w:val="left"/>
        </w:tabs>
        <w:numPr>
          <w:ilvl w:val="0"/>
          <w:numId w:val="647"/>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redeemed;</w:t>
      </w:r>
    </w:p>
    <w:p>
      <w:pPr>
        <w:spacing w:after="0" w:line="102" w:lineRule="exact"/>
        <w:rPr>
          <w:rFonts w:ascii="Arial" w:cs="Arial" w:eastAsia="Arial" w:hAnsi="Arial"/>
          <w:sz w:val="17"/>
          <w:szCs w:val="17"/>
          <w:color w:val="auto"/>
        </w:rPr>
      </w:pPr>
    </w:p>
    <w:p>
      <w:pPr>
        <w:ind w:left="1780" w:hanging="392"/>
        <w:spacing w:after="0"/>
        <w:tabs>
          <w:tab w:leader="none" w:pos="1780" w:val="left"/>
        </w:tabs>
        <w:numPr>
          <w:ilvl w:val="0"/>
          <w:numId w:val="647"/>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the Notes;</w:t>
      </w:r>
    </w:p>
    <w:p>
      <w:pPr>
        <w:spacing w:after="0" w:line="102" w:lineRule="exact"/>
        <w:rPr>
          <w:rFonts w:ascii="Arial" w:cs="Arial" w:eastAsia="Arial" w:hAnsi="Arial"/>
          <w:sz w:val="16"/>
          <w:szCs w:val="16"/>
          <w:color w:val="auto"/>
        </w:rPr>
      </w:pPr>
    </w:p>
    <w:p>
      <w:pPr>
        <w:ind w:left="1780" w:hanging="392"/>
        <w:spacing w:after="0"/>
        <w:tabs>
          <w:tab w:leader="none" w:pos="178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if applicable, any condition to such redemption; and</w:t>
      </w:r>
    </w:p>
    <w:p>
      <w:pPr>
        <w:spacing w:after="0" w:line="117" w:lineRule="exact"/>
        <w:rPr>
          <w:rFonts w:ascii="Arial" w:cs="Arial" w:eastAsia="Arial" w:hAnsi="Arial"/>
          <w:sz w:val="18"/>
          <w:szCs w:val="18"/>
          <w:color w:val="auto"/>
        </w:rPr>
      </w:pPr>
    </w:p>
    <w:p>
      <w:pPr>
        <w:ind w:left="980" w:right="600" w:firstLine="408"/>
        <w:spacing w:after="0" w:line="277" w:lineRule="auto"/>
        <w:tabs>
          <w:tab w:leader="none" w:pos="186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if applicable, that payment of the redemption price and performance of the Company’s obligations with respect to such redemption is to be performed by another Person and the identity of such other Person.</w:t>
      </w:r>
    </w:p>
    <w:p>
      <w:pPr>
        <w:spacing w:after="0" w:line="170"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At the Company’s request, the Trustee will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three Business Days prior to the date that the notice of redemption is to be delivered to Holders, an Officer’s Certificate requesting that the Trustee give such notice and setting forth the information to be stated in such notice as provided in the preceding paragraph.</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Once notice of redemption is mailed in accordance with Section 3.03 hereof, Notes called for redemption become due and payable on the redemption date at the redemption price stated in such notice, provided, that any redemption pursuant to Paragraph 5 of the Notes may, at the Company’s discretion, be subject to the satisfaction of one or more conditions precedent.</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11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No later than 10 a.m. New York time one Business Days prior to the redemption or purchase date, the Company will deposit with the Trustee or with the Paying Agent money sufficient to pay the redemption or purchase price of and accrued interest and Additional Amounts,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Additional Amounts, if any, on all Notes to be redeemed or purchased.</w:t>
      </w:r>
    </w:p>
    <w:p>
      <w:pPr>
        <w:spacing w:after="0" w:line="188"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3" w:right="439" w:bottom="1440" w:gutter="0" w:footer="0" w:header="0"/>
        </w:sectPr>
      </w:pPr>
    </w:p>
    <w:bookmarkStart w:id="514" w:name="page515"/>
    <w:bookmarkEnd w:id="514"/>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117"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In the case of Definitive Notes, 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117" w:lineRule="exact"/>
        <w:rPr>
          <w:sz w:val="20"/>
          <w:szCs w:val="20"/>
          <w:color w:val="auto"/>
        </w:rPr>
      </w:pPr>
    </w:p>
    <w:p>
      <w:pPr>
        <w:jc w:val="both"/>
        <w:ind w:right="60" w:firstLine="987"/>
        <w:spacing w:after="0" w:line="259" w:lineRule="auto"/>
        <w:tabs>
          <w:tab w:leader="none" w:pos="1361" w:val="left"/>
        </w:tabs>
        <w:numPr>
          <w:ilvl w:val="0"/>
          <w:numId w:val="648"/>
        </w:numPr>
        <w:rPr>
          <w:rFonts w:ascii="Arial" w:cs="Arial" w:eastAsia="Arial" w:hAnsi="Arial"/>
          <w:sz w:val="18"/>
          <w:szCs w:val="18"/>
          <w:color w:val="auto"/>
        </w:rPr>
      </w:pPr>
      <w:r>
        <w:rPr>
          <w:rFonts w:ascii="Arial" w:cs="Arial" w:eastAsia="Arial" w:hAnsi="Arial"/>
          <w:sz w:val="18"/>
          <w:szCs w:val="18"/>
          <w:color w:val="auto"/>
        </w:rPr>
        <w:t xml:space="preserve">At any time prior to January 15, 2024, the Company may on any one or more occasions redeem up to 35% of the aggregate principal amount of the Notes at a redemption price of 105.000% of the principal amount thereof, plus accrued and unpaid interest,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980" w:right="340" w:firstLine="408"/>
        <w:spacing w:after="0" w:line="308" w:lineRule="auto"/>
        <w:tabs>
          <w:tab w:leader="none" w:pos="1771" w:val="left"/>
        </w:tabs>
        <w:numPr>
          <w:ilvl w:val="1"/>
          <w:numId w:val="648"/>
        </w:numPr>
        <w:rPr>
          <w:rFonts w:ascii="Arial" w:cs="Arial" w:eastAsia="Arial" w:hAnsi="Arial"/>
          <w:sz w:val="17"/>
          <w:szCs w:val="17"/>
          <w:color w:val="auto"/>
        </w:rPr>
      </w:pPr>
      <w:r>
        <w:rPr>
          <w:rFonts w:ascii="Arial" w:cs="Arial" w:eastAsia="Arial" w:hAnsi="Arial"/>
          <w:sz w:val="17"/>
          <w:szCs w:val="17"/>
          <w:color w:val="auto"/>
        </w:rPr>
        <w:t>at least 65% of the aggregate principal amount of Notes originally issued under this Indenture (excluding Notes held by the Company and its Subsidiaries) remains outstanding immediately after the occurrence of such redemption; and</w:t>
      </w:r>
    </w:p>
    <w:p>
      <w:pPr>
        <w:spacing w:after="0" w:line="38" w:lineRule="exact"/>
        <w:rPr>
          <w:rFonts w:ascii="Arial" w:cs="Arial" w:eastAsia="Arial" w:hAnsi="Arial"/>
          <w:sz w:val="17"/>
          <w:szCs w:val="17"/>
          <w:color w:val="auto"/>
        </w:rPr>
      </w:pPr>
    </w:p>
    <w:p>
      <w:pPr>
        <w:ind w:left="1780" w:hanging="392"/>
        <w:spacing w:after="0"/>
        <w:tabs>
          <w:tab w:leader="none" w:pos="178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the redemption occurs within 45 days of the date of the closing of such Equity Offering.</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Any redemption notice given in respect of the redemption referred to in the preceding paragraph may be given prior to completion of the related Equity Offering, and any such redemption or notice may, at the discretion of the Company, be subject to the satisfaction of one or more conditions precedent, including the completion of the Equity Offering.</w:t>
      </w:r>
    </w:p>
    <w:p>
      <w:pPr>
        <w:spacing w:after="0" w:line="184" w:lineRule="exact"/>
        <w:rPr>
          <w:sz w:val="20"/>
          <w:szCs w:val="20"/>
          <w:color w:val="auto"/>
        </w:rPr>
      </w:pPr>
    </w:p>
    <w:p>
      <w:pPr>
        <w:ind w:right="220" w:firstLine="987"/>
        <w:spacing w:after="0" w:line="301" w:lineRule="auto"/>
        <w:tabs>
          <w:tab w:leader="none" w:pos="1371" w:val="left"/>
        </w:tabs>
        <w:numPr>
          <w:ilvl w:val="0"/>
          <w:numId w:val="649"/>
        </w:numPr>
        <w:rPr>
          <w:rFonts w:ascii="Arial" w:cs="Arial" w:eastAsia="Arial" w:hAnsi="Arial"/>
          <w:sz w:val="16"/>
          <w:szCs w:val="16"/>
          <w:color w:val="auto"/>
        </w:rPr>
      </w:pPr>
      <w:r>
        <w:rPr>
          <w:rFonts w:ascii="Arial" w:cs="Arial" w:eastAsia="Arial" w:hAnsi="Arial"/>
          <w:sz w:val="16"/>
          <w:szCs w:val="16"/>
          <w:color w:val="auto"/>
        </w:rPr>
        <w:t>At any time prior to January 15, 2024, the Company may redeem all or a part of the Notes, upon not less than 30 nor more than 60 days’ notice, at a redemption price equal to 100% of the principal amount of the Notes redeemed plus the Applicable Premium as of, and accrued and unpaid interest to, the date of redemption, subject to the rights of Holders on the relevant record date to receive interest due on the relevant interest payment date. Any such redemption and notice may, at the discretion of the Company, be subject to satisfaction of one or more conditions precedent.</w:t>
      </w:r>
    </w:p>
    <w:p>
      <w:pPr>
        <w:spacing w:after="0" w:line="157" w:lineRule="exact"/>
        <w:rPr>
          <w:rFonts w:ascii="Arial" w:cs="Arial" w:eastAsia="Arial" w:hAnsi="Arial"/>
          <w:sz w:val="16"/>
          <w:szCs w:val="16"/>
          <w:color w:val="auto"/>
        </w:rPr>
      </w:pPr>
    </w:p>
    <w:p>
      <w:pPr>
        <w:ind w:firstLine="987"/>
        <w:spacing w:after="0" w:line="277" w:lineRule="auto"/>
        <w:tabs>
          <w:tab w:leader="none" w:pos="1371" w:val="left"/>
        </w:tabs>
        <w:numPr>
          <w:ilvl w:val="0"/>
          <w:numId w:val="649"/>
        </w:numPr>
        <w:rPr>
          <w:rFonts w:ascii="Arial" w:cs="Arial" w:eastAsia="Arial" w:hAnsi="Arial"/>
          <w:sz w:val="18"/>
          <w:szCs w:val="18"/>
          <w:color w:val="auto"/>
        </w:rPr>
      </w:pPr>
      <w:r>
        <w:rPr>
          <w:rFonts w:ascii="Arial" w:cs="Arial" w:eastAsia="Arial" w:hAnsi="Arial"/>
          <w:sz w:val="18"/>
          <w:szCs w:val="18"/>
          <w:color w:val="auto"/>
        </w:rPr>
        <w:t>Except pursuant to the two preceding paragraphs and the provisions under Section 3.10 and Section 3.11 hereof, the Notes will not be redeemable at the Company’s option prior to January 15, 2024.</w:t>
      </w:r>
    </w:p>
    <w:p>
      <w:pPr>
        <w:spacing w:after="0" w:line="170" w:lineRule="exact"/>
        <w:rPr>
          <w:rFonts w:ascii="Arial" w:cs="Arial" w:eastAsia="Arial" w:hAnsi="Arial"/>
          <w:sz w:val="18"/>
          <w:szCs w:val="18"/>
          <w:color w:val="auto"/>
        </w:rPr>
      </w:pPr>
    </w:p>
    <w:p>
      <w:pPr>
        <w:ind w:firstLine="987"/>
        <w:spacing w:after="0" w:line="259" w:lineRule="auto"/>
        <w:tabs>
          <w:tab w:leader="none" w:pos="1381" w:val="left"/>
        </w:tabs>
        <w:numPr>
          <w:ilvl w:val="0"/>
          <w:numId w:val="649"/>
        </w:numPr>
        <w:rPr>
          <w:rFonts w:ascii="Arial" w:cs="Arial" w:eastAsia="Arial" w:hAnsi="Arial"/>
          <w:sz w:val="18"/>
          <w:szCs w:val="18"/>
          <w:color w:val="auto"/>
        </w:rPr>
      </w:pPr>
      <w:r>
        <w:rPr>
          <w:rFonts w:ascii="Arial" w:cs="Arial" w:eastAsia="Arial" w:hAnsi="Arial"/>
          <w:sz w:val="18"/>
          <w:szCs w:val="18"/>
          <w:color w:val="auto"/>
        </w:rPr>
        <w:t>On or after January 15, 2024, the Company may redeem all or a part of the Notes upon not less than 30 nor more than 60 days’ notice, at the redemption prices (expressed as percentages of the principal amount) set forth below plus accrued and unpaid interest, if any, on the Notes redeemed, to the applicable redemption date, if redeemed during the periods indicated below, subject to the rights of holders of the Notes on the relevant record date to receive interest on the relevant interest payment date:</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6100" w:type="dxa"/>
            <w:vAlign w:val="bottom"/>
            <w:vMerge w:val="restart"/>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6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Twelve-month period on or after January 15, 2024</w:t>
            </w: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gridSpan w:val="2"/>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102.500%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Twelve-month period on or after January 15, 2025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101.250%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January 15, 2026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3" w:right="479" w:bottom="1440" w:gutter="0" w:footer="0" w:header="0"/>
        </w:sectPr>
      </w:pPr>
    </w:p>
    <w:bookmarkStart w:id="515" w:name="page516"/>
    <w:bookmarkEnd w:id="515"/>
    <w:p>
      <w:pPr>
        <w:ind w:firstLine="987"/>
        <w:spacing w:after="0" w:line="271" w:lineRule="auto"/>
        <w:tabs>
          <w:tab w:leader="none" w:pos="1406" w:val="left"/>
        </w:tabs>
        <w:numPr>
          <w:ilvl w:val="0"/>
          <w:numId w:val="6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redemption pursuant to this Section 3.07 shall be made pursuant to the provisions of Section 3.01 through Section 3.06 hereof and 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with respect to such redemption may be performed by another Person.</w:t>
      </w:r>
    </w:p>
    <w:p>
      <w:pPr>
        <w:spacing w:after="0" w:line="28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117"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The Company is not required to make mandatory redemption or sinking fund payments with respect to the Notes. However, under certain circumstances, the Company may be required to offer to purchase Notes as described in Section 4.15 and Section 4.10 hereof. The Company may at any time and from time to time purchase Notes in the open market or otherwise.</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i w:val="1"/>
          <w:iCs w:val="1"/>
          <w:color w:val="auto"/>
        </w:rPr>
        <w:t>Offer to Purchase by Application of Excess Proceeds.</w:t>
      </w:r>
    </w:p>
    <w:p>
      <w:pPr>
        <w:spacing w:after="0" w:line="117"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In the event that, pursuant to Section 4.10 hereof, the Company is required to commence an offer to all Holders to purchase Notes (an “</w:t>
      </w:r>
      <w:r>
        <w:rPr>
          <w:rFonts w:ascii="Arial" w:cs="Arial" w:eastAsia="Arial" w:hAnsi="Arial"/>
          <w:sz w:val="18"/>
          <w:szCs w:val="18"/>
          <w:i w:val="1"/>
          <w:iCs w:val="1"/>
          <w:color w:val="auto"/>
        </w:rPr>
        <w:t>Asset Sale Offer</w:t>
      </w:r>
      <w:r>
        <w:rPr>
          <w:rFonts w:ascii="Arial" w:cs="Arial" w:eastAsia="Arial" w:hAnsi="Arial"/>
          <w:sz w:val="18"/>
          <w:szCs w:val="18"/>
          <w:color w:val="auto"/>
        </w:rPr>
        <w:t>”), it will follow the procedures specified below.</w:t>
      </w:r>
    </w:p>
    <w:p>
      <w:pPr>
        <w:spacing w:after="0" w:line="170"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The Asset Sale Offer shall be made to all Holders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this Indenture with respect to offers to purchase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6"/>
          <w:szCs w:val="16"/>
          <w:i w:val="1"/>
          <w:iCs w:val="1"/>
          <w:color w:val="auto"/>
        </w:rPr>
        <w:t>Offer Period</w:t>
      </w:r>
      <w:r>
        <w:rPr>
          <w:rFonts w:ascii="Arial" w:cs="Arial" w:eastAsia="Arial" w:hAnsi="Arial"/>
          <w:sz w:val="16"/>
          <w:szCs w:val="16"/>
          <w:color w:val="auto"/>
        </w:rPr>
        <w:t>”). No later than five Business Days after the termination of the Offer Period (the “</w:t>
      </w:r>
      <w:r>
        <w:rPr>
          <w:rFonts w:ascii="Arial" w:cs="Arial" w:eastAsia="Arial" w:hAnsi="Arial"/>
          <w:sz w:val="16"/>
          <w:szCs w:val="16"/>
          <w:i w:val="1"/>
          <w:iCs w:val="1"/>
          <w:color w:val="auto"/>
        </w:rPr>
        <w:t>Purchase Date</w:t>
      </w:r>
      <w:r>
        <w:rPr>
          <w:rFonts w:ascii="Arial" w:cs="Arial" w:eastAsia="Arial" w:hAnsi="Arial"/>
          <w:sz w:val="16"/>
          <w:szCs w:val="16"/>
          <w:color w:val="auto"/>
        </w:rPr>
        <w:t>”), the Company will apply all Excess Proceeds (the “</w:t>
      </w:r>
      <w:r>
        <w:rPr>
          <w:rFonts w:ascii="Arial" w:cs="Arial" w:eastAsia="Arial" w:hAnsi="Arial"/>
          <w:sz w:val="16"/>
          <w:szCs w:val="16"/>
          <w:i w:val="1"/>
          <w:iCs w:val="1"/>
          <w:color w:val="auto"/>
        </w:rPr>
        <w:t>Offer Amount</w:t>
      </w:r>
      <w:r>
        <w:rPr>
          <w:rFonts w:ascii="Arial" w:cs="Arial" w:eastAsia="Arial" w:hAnsi="Arial"/>
          <w:sz w:val="16"/>
          <w:szCs w:val="16"/>
          <w:color w:val="auto"/>
        </w:rPr>
        <w:t xml:space="preserve">”) to the purchase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if applicable) or, if less than the Offer Amount has been tendered, all Notes and other Indebtedness tendered in response to the Asset Sale Offer. Payment for any Notes so purchased will be made in the same manner as interest payments are made.</w:t>
      </w:r>
    </w:p>
    <w:p>
      <w:pPr>
        <w:spacing w:after="0" w:line="166"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and Additional Amounts, if any, will be paid to the Person in whose name a Note is registered at the close of business on such record date, and no additional interest will be payable to Holders who tender Notes pursuant to the Asset Sale Offer.</w:t>
      </w:r>
    </w:p>
    <w:p>
      <w:pPr>
        <w:spacing w:after="0" w:line="18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Upon the commencement of an Asset Sale Offer, the Company will send, by first class mail, a notice to the Trustee and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76" w:lineRule="exact"/>
        <w:rPr>
          <w:sz w:val="20"/>
          <w:szCs w:val="20"/>
          <w:color w:val="auto"/>
        </w:rPr>
      </w:pPr>
    </w:p>
    <w:p>
      <w:pPr>
        <w:ind w:left="980" w:right="200" w:firstLine="408"/>
        <w:spacing w:after="0" w:line="277" w:lineRule="auto"/>
        <w:tabs>
          <w:tab w:leader="none" w:pos="1771" w:val="left"/>
        </w:tabs>
        <w:numPr>
          <w:ilvl w:val="0"/>
          <w:numId w:val="651"/>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3.09 and Section 4.10 hereof and the length of time the Asset Sale Offer will remain open;</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interest;</w:t>
      </w:r>
    </w:p>
    <w:p>
      <w:pPr>
        <w:spacing w:after="0" w:line="117" w:lineRule="exact"/>
        <w:rPr>
          <w:sz w:val="20"/>
          <w:szCs w:val="20"/>
          <w:color w:val="auto"/>
        </w:rPr>
      </w:pPr>
    </w:p>
    <w:p>
      <w:pPr>
        <w:ind w:left="980" w:right="280" w:firstLine="408"/>
        <w:spacing w:after="0" w:line="277" w:lineRule="auto"/>
        <w:tabs>
          <w:tab w:leader="none" w:pos="1771" w:val="left"/>
        </w:tabs>
        <w:numPr>
          <w:ilvl w:val="0"/>
          <w:numId w:val="652"/>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any Note accepted for payment pursuant to the Asset Sale Offer will cease to accrue interest after the Purchase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3" w:right="479" w:bottom="1440" w:gutter="0" w:footer="0" w:header="0"/>
        </w:sectPr>
      </w:pPr>
    </w:p>
    <w:bookmarkStart w:id="516" w:name="page517"/>
    <w:bookmarkEnd w:id="516"/>
    <w:p>
      <w:pPr>
        <w:ind w:left="980" w:right="220" w:firstLine="408"/>
        <w:spacing w:after="0" w:line="277" w:lineRule="auto"/>
        <w:tabs>
          <w:tab w:leader="none" w:pos="1771" w:val="left"/>
        </w:tabs>
        <w:numPr>
          <w:ilvl w:val="0"/>
          <w:numId w:val="6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Holders electing to have a Note purchased pursuant to an Asset Sale Offer may elect to have Notes purchased in integral multiples of US$200,000 and integral multiples of US$1,000 in excess thereof only;</w:t>
      </w:r>
    </w:p>
    <w:p>
      <w:pPr>
        <w:spacing w:after="0" w:line="62" w:lineRule="exact"/>
        <w:rPr>
          <w:rFonts w:ascii="Arial" w:cs="Arial" w:eastAsia="Arial" w:hAnsi="Arial"/>
          <w:sz w:val="18"/>
          <w:szCs w:val="18"/>
          <w:color w:val="auto"/>
        </w:rPr>
      </w:pPr>
    </w:p>
    <w:p>
      <w:pPr>
        <w:jc w:val="both"/>
        <w:ind w:left="980" w:right="80" w:firstLine="408"/>
        <w:spacing w:after="0" w:line="259" w:lineRule="auto"/>
        <w:tabs>
          <w:tab w:leader="none" w:pos="1771"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w:t>
      </w:r>
    </w:p>
    <w:p>
      <w:pPr>
        <w:spacing w:after="0" w:line="78" w:lineRule="exact"/>
        <w:rPr>
          <w:rFonts w:ascii="Arial" w:cs="Arial" w:eastAsia="Arial" w:hAnsi="Arial"/>
          <w:sz w:val="18"/>
          <w:szCs w:val="18"/>
          <w:color w:val="auto"/>
        </w:rPr>
      </w:pPr>
    </w:p>
    <w:p>
      <w:pPr>
        <w:ind w:left="980" w:right="40" w:firstLine="408"/>
        <w:spacing w:after="0" w:line="259" w:lineRule="auto"/>
        <w:tabs>
          <w:tab w:leader="none" w:pos="1771"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that Holders will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w:t>
      </w:r>
    </w:p>
    <w:p>
      <w:pPr>
        <w:spacing w:after="0" w:line="78" w:lineRule="exact"/>
        <w:rPr>
          <w:rFonts w:ascii="Arial" w:cs="Arial" w:eastAsia="Arial" w:hAnsi="Arial"/>
          <w:sz w:val="18"/>
          <w:szCs w:val="18"/>
          <w:color w:val="auto"/>
        </w:rPr>
      </w:pPr>
    </w:p>
    <w:p>
      <w:pPr>
        <w:ind w:left="980" w:right="20" w:firstLine="408"/>
        <w:spacing w:after="0" w:line="257" w:lineRule="auto"/>
        <w:tabs>
          <w:tab w:leader="none" w:pos="1771" w:val="left"/>
        </w:tabs>
        <w:numPr>
          <w:ilvl w:val="0"/>
          <w:numId w:val="653"/>
        </w:numPr>
        <w:rPr>
          <w:rFonts w:ascii="Arial" w:cs="Arial" w:eastAsia="Arial" w:hAnsi="Arial"/>
          <w:sz w:val="18"/>
          <w:szCs w:val="18"/>
          <w:color w:val="auto"/>
        </w:rPr>
      </w:pPr>
      <w:r>
        <w:rPr>
          <w:rFonts w:ascii="Arial" w:cs="Arial" w:eastAsia="Arial" w:hAnsi="Arial"/>
          <w:sz w:val="18"/>
          <w:szCs w:val="18"/>
          <w:color w:val="auto"/>
        </w:rPr>
        <w:t xml:space="preserve">that, if the aggregate principal amount of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by holders thereof exceeds the Offer Amount, the Company will select the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to be purchased in accordance with Section 3.02 based on the principal amount of Notes and such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(with such adjustments as may be deemed appropriate by the Company so that only Notes in denominations of US$200,000, or integral multiples of US$1,000 in excess thereof, will be purchased); and</w:t>
      </w:r>
    </w:p>
    <w:p>
      <w:pPr>
        <w:spacing w:after="0" w:line="79" w:lineRule="exact"/>
        <w:rPr>
          <w:rFonts w:ascii="Arial" w:cs="Arial" w:eastAsia="Arial" w:hAnsi="Arial"/>
          <w:sz w:val="18"/>
          <w:szCs w:val="18"/>
          <w:color w:val="auto"/>
        </w:rPr>
      </w:pPr>
    </w:p>
    <w:p>
      <w:pPr>
        <w:ind w:left="980" w:right="160" w:firstLine="408"/>
        <w:spacing w:after="0" w:line="263" w:lineRule="auto"/>
        <w:tabs>
          <w:tab w:leader="none" w:pos="1771" w:val="left"/>
        </w:tabs>
        <w:numPr>
          <w:ilvl w:val="0"/>
          <w:numId w:val="653"/>
        </w:numPr>
        <w:rPr>
          <w:rFonts w:ascii="Arial" w:cs="Arial" w:eastAsia="Arial" w:hAnsi="Arial"/>
          <w:sz w:val="18"/>
          <w:szCs w:val="18"/>
          <w:color w:val="auto"/>
        </w:rPr>
      </w:pPr>
      <w:r>
        <w:rPr>
          <w:rFonts w:ascii="Arial" w:cs="Arial" w:eastAsia="Arial" w:hAnsi="Arial"/>
          <w:sz w:val="18"/>
          <w:szCs w:val="18"/>
          <w:color w:val="auto"/>
        </w:rPr>
        <w:t xml:space="preserve">that Holders whose Notes were purchased only in part will be issued new Notes equal in principal amount to the unpurchased portion of the Notes surrendered (or transferred by book-entry transfer),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has a minimum denomination of US$200,000.</w:t>
      </w:r>
    </w:p>
    <w:p>
      <w:pPr>
        <w:spacing w:after="0" w:line="184"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On or before the Purchase Date, the Company will, to the extent lawful, accept for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necessary (but subject to Section 3.02), the Offer Amount of Notes or portions thereof tendered pursuant to the Asset Sale Offer, or if less than the Offer Amount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(but in any case not later than five days after the Purchase Date)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unpurchased portion has a minimum denomination of US$200,000. Any Note not so accepted shall be promptly mailed or delivered by the Company to the Holder thereof. The Company will publicly announce the results of the Asset Sale Offer on the Purchase Date.</w:t>
      </w:r>
    </w:p>
    <w:p>
      <w:pPr>
        <w:spacing w:after="0" w:line="168"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Other than as specifically provided in this Section 3.09, any purchase pursuant to this Section 3.09 shall be made pursuant to the provisions of Section 3.01 through Section 3.06 hereof.</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5"/>
          <w:szCs w:val="15"/>
          <w:i w:val="1"/>
          <w:iCs w:val="1"/>
          <w:color w:val="auto"/>
        </w:rPr>
        <w:t>Redemption for Taxation Reasons.</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Notes may be redeemed, at the option of the Company, as a whole but not in part, upon giving not less than 30 days’ nor more than 60 days’ notice to Holders (which notice will be irrevocable), at a redemption price equal to 100% of the principal amount thereof, together with accrued and unpaid interest (including any Additional Amounts), if any, to the date fixed by the Company for redemption (the “</w:t>
      </w:r>
      <w:r>
        <w:rPr>
          <w:rFonts w:ascii="Arial" w:cs="Arial" w:eastAsia="Arial" w:hAnsi="Arial"/>
          <w:sz w:val="18"/>
          <w:szCs w:val="18"/>
          <w:i w:val="1"/>
          <w:iCs w:val="1"/>
          <w:color w:val="auto"/>
        </w:rPr>
        <w:t>Tax Redemption Date</w:t>
      </w:r>
      <w:r>
        <w:rPr>
          <w:rFonts w:ascii="Arial" w:cs="Arial" w:eastAsia="Arial" w:hAnsi="Arial"/>
          <w:sz w:val="18"/>
          <w:szCs w:val="18"/>
          <w:color w:val="auto"/>
        </w:rPr>
        <w:t>”) if, as a result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3" w:right="479" w:bottom="1440" w:gutter="0" w:footer="0" w:header="0"/>
        </w:sectPr>
      </w:pPr>
    </w:p>
    <w:bookmarkStart w:id="517" w:name="page518"/>
    <w:bookmarkEnd w:id="517"/>
    <w:p>
      <w:pPr>
        <w:ind w:left="980" w:right="320" w:firstLine="408"/>
        <w:spacing w:after="0" w:line="277" w:lineRule="auto"/>
        <w:tabs>
          <w:tab w:leader="none" w:pos="1771" w:val="left"/>
        </w:tabs>
        <w:numPr>
          <w:ilvl w:val="0"/>
          <w:numId w:val="6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change in, or amendment to, the laws (or any regulations or rulings promulgated thereunder) of a Relevant Jurisdiction affecting taxation; or</w:t>
      </w:r>
    </w:p>
    <w:p>
      <w:pPr>
        <w:spacing w:after="0" w:line="62" w:lineRule="exact"/>
        <w:rPr>
          <w:rFonts w:ascii="Arial" w:cs="Arial" w:eastAsia="Arial" w:hAnsi="Arial"/>
          <w:sz w:val="18"/>
          <w:szCs w:val="18"/>
          <w:color w:val="auto"/>
        </w:rPr>
      </w:pPr>
    </w:p>
    <w:p>
      <w:pPr>
        <w:ind w:left="980" w:right="340" w:firstLine="408"/>
        <w:spacing w:after="0" w:line="277" w:lineRule="auto"/>
        <w:tabs>
          <w:tab w:leader="none" w:pos="1771"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any change in, or amendment to, an official position regarding the application or interpretation of such laws, regulations or rulings (including a holding, judgment or order by a court of competent jurisdiction),</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which change or amendment becomes effective on or after the date of this Indenture with respect to any payment due or to become due under the Notes, this Indenture or a Note Guarantee, the Company or a Subsidiary Guarantor, as the case may be, is, or on the next Interest Payment Date would be, required to pay Additional Amounts, and such requirement cannot be avoided by the Company or a Subsidiary Guarantor, as the case may be, taking reasonable measures available to it;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the avoidance of doubt, changing the jurisdiction of the Company or a Subsidiary Guarantor is not a reasonable measure for the purposes of this Section 3.10;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notice of redemption will be given earlier than 90 days prior to the earliest date on which the Company or a Subsidiary Guarantor, as the case may be, would be obligated to pay such Additional Amounts if a payment in respect of the Notes were then due.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Prior to the mailing of any notice of redemption of the Notes pursuant to the foregoing, the Company will deliver to the Trustee:</w:t>
      </w:r>
    </w:p>
    <w:p>
      <w:pPr>
        <w:spacing w:after="0" w:line="129" w:lineRule="exact"/>
        <w:rPr>
          <w:sz w:val="20"/>
          <w:szCs w:val="20"/>
          <w:color w:val="auto"/>
        </w:rPr>
      </w:pPr>
    </w:p>
    <w:p>
      <w:pPr>
        <w:ind w:left="980" w:right="160" w:firstLine="408"/>
        <w:spacing w:after="0" w:line="263" w:lineRule="auto"/>
        <w:tabs>
          <w:tab w:leader="none" w:pos="1771" w:val="left"/>
        </w:tabs>
        <w:numPr>
          <w:ilvl w:val="0"/>
          <w:numId w:val="655"/>
        </w:numPr>
        <w:rPr>
          <w:rFonts w:ascii="Arial" w:cs="Arial" w:eastAsia="Arial" w:hAnsi="Arial"/>
          <w:sz w:val="18"/>
          <w:szCs w:val="18"/>
          <w:color w:val="auto"/>
        </w:rPr>
      </w:pPr>
      <w:r>
        <w:rPr>
          <w:rFonts w:ascii="Arial" w:cs="Arial" w:eastAsia="Arial" w:hAnsi="Arial"/>
          <w:sz w:val="18"/>
          <w:szCs w:val="18"/>
          <w:color w:val="auto"/>
        </w:rPr>
        <w:t>an Officer’s Certificate stating that such change or amendment referred to in the prior paragraph has occurred, and describing the facts related thereto and stating that such requirement cannot be avoided by the Company or such Subsidiary Guarantor, as the case may be, taking reasonable measures available to it; and</w:t>
      </w:r>
    </w:p>
    <w:p>
      <w:pPr>
        <w:spacing w:after="0" w:line="75" w:lineRule="exact"/>
        <w:rPr>
          <w:rFonts w:ascii="Arial" w:cs="Arial" w:eastAsia="Arial" w:hAnsi="Arial"/>
          <w:sz w:val="18"/>
          <w:szCs w:val="18"/>
          <w:color w:val="auto"/>
        </w:rPr>
      </w:pPr>
    </w:p>
    <w:p>
      <w:pPr>
        <w:ind w:left="980" w:right="20" w:firstLine="408"/>
        <w:spacing w:after="0" w:line="277" w:lineRule="auto"/>
        <w:tabs>
          <w:tab w:leader="none" w:pos="1771" w:val="left"/>
        </w:tabs>
        <w:numPr>
          <w:ilvl w:val="0"/>
          <w:numId w:val="655"/>
        </w:numPr>
        <w:rPr>
          <w:rFonts w:ascii="Arial" w:cs="Arial" w:eastAsia="Arial" w:hAnsi="Arial"/>
          <w:sz w:val="18"/>
          <w:szCs w:val="18"/>
          <w:color w:val="auto"/>
        </w:rPr>
      </w:pPr>
      <w:r>
        <w:rPr>
          <w:rFonts w:ascii="Arial" w:cs="Arial" w:eastAsia="Arial" w:hAnsi="Arial"/>
          <w:sz w:val="18"/>
          <w:szCs w:val="18"/>
          <w:color w:val="auto"/>
        </w:rPr>
        <w:t>an Opinion of Counsel or an opinion of a tax consultant of recognized international standing stating that the requirement to pay such Additional Amounts results from such change or amendment referred to in the prior paragraph.</w:t>
      </w:r>
    </w:p>
    <w:p>
      <w:pPr>
        <w:spacing w:after="0" w:line="170"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or opinion of tax consultant as sufficient evidence of the satisfaction of the conditions precedent described above, in which event it will be conclusive and binding on the Holders.</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Any Notes that are redeemed pursuant to this Section 3.10 will be cancelled.</w:t>
      </w:r>
    </w:p>
    <w:p>
      <w:pPr>
        <w:spacing w:after="0" w:line="33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i w:val="1"/>
          <w:iCs w:val="1"/>
          <w:color w:val="auto"/>
        </w:rPr>
        <w:t>Gaming Redemption.</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Each Holder, by accepting a Note, shall be deemed to have agreed that if the Gaming Authority of any jurisdiction in which the Company or any of its Affiliates (including Melco Resorts Macau) conducts or proposes to conduct gaming requires that a person who is a holder or the beneficial owner of Notes be licensed, qualified or found suitable under applicable Gaming Laws, such holder or beneficial owner, as the case may be, shall apply for a license, qualification or a finding of suitability within the required time period. If such Person fails to apply or become licensed or qualified or is found unsuitable, the Company shall have the right, at its option:</w:t>
      </w:r>
    </w:p>
    <w:p>
      <w:pPr>
        <w:spacing w:after="0" w:line="80" w:lineRule="exact"/>
        <w:rPr>
          <w:sz w:val="20"/>
          <w:szCs w:val="20"/>
          <w:color w:val="auto"/>
        </w:rPr>
      </w:pPr>
    </w:p>
    <w:p>
      <w:pPr>
        <w:ind w:left="980" w:right="20" w:firstLine="408"/>
        <w:spacing w:after="0" w:line="277" w:lineRule="auto"/>
        <w:tabs>
          <w:tab w:leader="none" w:pos="1771" w:val="left"/>
        </w:tabs>
        <w:numPr>
          <w:ilvl w:val="0"/>
          <w:numId w:val="656"/>
        </w:numPr>
        <w:rPr>
          <w:rFonts w:ascii="Arial" w:cs="Arial" w:eastAsia="Arial" w:hAnsi="Arial"/>
          <w:sz w:val="18"/>
          <w:szCs w:val="18"/>
          <w:color w:val="auto"/>
        </w:rPr>
      </w:pPr>
      <w:r>
        <w:rPr>
          <w:rFonts w:ascii="Arial" w:cs="Arial" w:eastAsia="Arial" w:hAnsi="Arial"/>
          <w:sz w:val="18"/>
          <w:szCs w:val="18"/>
          <w:color w:val="auto"/>
        </w:rPr>
        <w:t>to require such Person to dispose of its Notes or beneficial interest therein within 30 days of receipt of notice of the Company’s election or such earlier date as may be requested or prescribed by such Gaming Authority; or</w:t>
      </w:r>
    </w:p>
    <w:p>
      <w:pPr>
        <w:spacing w:after="0" w:line="62" w:lineRule="exact"/>
        <w:rPr>
          <w:rFonts w:ascii="Arial" w:cs="Arial" w:eastAsia="Arial" w:hAnsi="Arial"/>
          <w:sz w:val="18"/>
          <w:szCs w:val="18"/>
          <w:color w:val="auto"/>
        </w:rPr>
      </w:pPr>
    </w:p>
    <w:p>
      <w:pPr>
        <w:ind w:left="980" w:right="560" w:firstLine="408"/>
        <w:spacing w:after="0" w:line="277" w:lineRule="auto"/>
        <w:tabs>
          <w:tab w:leader="none" w:pos="1771" w:val="left"/>
        </w:tabs>
        <w:numPr>
          <w:ilvl w:val="0"/>
          <w:numId w:val="656"/>
        </w:numPr>
        <w:rPr>
          <w:rFonts w:ascii="Arial" w:cs="Arial" w:eastAsia="Arial" w:hAnsi="Arial"/>
          <w:sz w:val="18"/>
          <w:szCs w:val="18"/>
          <w:color w:val="auto"/>
        </w:rPr>
      </w:pPr>
      <w:r>
        <w:rPr>
          <w:rFonts w:ascii="Arial" w:cs="Arial" w:eastAsia="Arial" w:hAnsi="Arial"/>
          <w:sz w:val="18"/>
          <w:szCs w:val="18"/>
          <w:color w:val="auto"/>
        </w:rPr>
        <w:t>to redeem such Notes, which redemption may be less than 30 days following the notice of redemption if so requested or prescribed by the applicable gaming authority, at a redemption price equal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3" w:right="499" w:bottom="1440" w:gutter="0" w:footer="0" w:header="0"/>
        </w:sectPr>
      </w:pPr>
    </w:p>
    <w:bookmarkStart w:id="518" w:name="page519"/>
    <w:bookmarkEnd w:id="518"/>
    <w:p>
      <w:pPr>
        <w:ind w:left="2280" w:hanging="469"/>
        <w:spacing w:after="0"/>
        <w:tabs>
          <w:tab w:leader="none" w:pos="2280" w:val="left"/>
        </w:tabs>
        <w:numPr>
          <w:ilvl w:val="0"/>
          <w:numId w:val="6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lesser of:</w:t>
      </w:r>
    </w:p>
    <w:p>
      <w:pPr>
        <w:spacing w:after="0" w:line="130" w:lineRule="exact"/>
        <w:rPr>
          <w:rFonts w:ascii="Arial" w:cs="Arial" w:eastAsia="Arial" w:hAnsi="Arial"/>
          <w:sz w:val="18"/>
          <w:szCs w:val="18"/>
          <w:color w:val="auto"/>
        </w:rPr>
      </w:pPr>
    </w:p>
    <w:p>
      <w:pPr>
        <w:ind w:left="2840" w:right="80" w:hanging="428"/>
        <w:spacing w:after="0" w:line="277" w:lineRule="auto"/>
        <w:tabs>
          <w:tab w:leader="none" w:pos="284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the Person’s cost, plus accrued and unpaid interest, if any, to the earlier of the redemption date or the date of the finding of unsuitability or failure to comply; and</w:t>
      </w:r>
    </w:p>
    <w:p>
      <w:pPr>
        <w:spacing w:after="0" w:line="75" w:lineRule="exact"/>
        <w:rPr>
          <w:rFonts w:ascii="Arial" w:cs="Arial" w:eastAsia="Arial" w:hAnsi="Arial"/>
          <w:sz w:val="18"/>
          <w:szCs w:val="18"/>
          <w:color w:val="auto"/>
        </w:rPr>
      </w:pPr>
    </w:p>
    <w:p>
      <w:pPr>
        <w:ind w:left="2840" w:right="180" w:hanging="428"/>
        <w:spacing w:after="0" w:line="277" w:lineRule="auto"/>
        <w:tabs>
          <w:tab w:leader="none" w:pos="284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100% of the principal amount thereof, plus accrued and unpaid interest, if any, to the earlier of the redemption date or the date of the finding of unsuitability or failure to comply; or</w:t>
      </w:r>
    </w:p>
    <w:p>
      <w:pPr>
        <w:spacing w:after="0" w:line="62" w:lineRule="exact"/>
        <w:rPr>
          <w:rFonts w:ascii="Arial" w:cs="Arial" w:eastAsia="Arial" w:hAnsi="Arial"/>
          <w:sz w:val="18"/>
          <w:szCs w:val="18"/>
          <w:color w:val="auto"/>
        </w:rPr>
      </w:pPr>
    </w:p>
    <w:p>
      <w:pPr>
        <w:ind w:left="2240" w:hanging="429"/>
        <w:spacing w:after="0"/>
        <w:tabs>
          <w:tab w:leader="none" w:pos="224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such other amount as may be required by applicable law or order of the applicable Gaming Authority.</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Company shall notify the Trustee in writing of any such redemption as soon as practicable. Neither the Company nor the Trustee shall be responsible for any costs or expenses any Holder may incur in connection with such Holder’s application for a license, qualification or a finding of suitability.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40" w:top="273" w:right="499" w:bottom="1440" w:gutter="0" w:footer="0" w:header="0"/>
        </w:sectPr>
      </w:pPr>
    </w:p>
    <w:bookmarkStart w:id="519" w:name="page520"/>
    <w:bookmarkEnd w:id="5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Payment of Notes.</w:t>
      </w:r>
    </w:p>
    <w:p>
      <w:pPr>
        <w:spacing w:after="0" w:line="117"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The Company will pay or cause to be paid the principal of, premium, if any, and interest and Additional Amounts, if any, on, the Notes on the dates and in the manner provided in the Notes. Principal, premium, if any, and interest and Additional Amounts, if any, will be considered paid on the date due if the Paying Agent, if other than the Company or a Subsidiary thereof, holds as of 10:00 a.m. New York Time two Business Days prior to the due date money deposited by the Company in immediately available funds and designated for and sufficient to pay all principal, premium, if any, interest and Additional Amounts, if any, then due. All the funds provided to the Paying Agent must be in U.S. Dollars.</w:t>
      </w:r>
    </w:p>
    <w:p>
      <w:pPr>
        <w:spacing w:after="0" w:line="161"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92"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designation or rescission will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The Company hereby designates Deutsche Bank Trust Company Americas as one such office or agency of the Company in accordance with Section 2.03 hereof.</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117" w:lineRule="exact"/>
        <w:rPr>
          <w:sz w:val="20"/>
          <w:szCs w:val="20"/>
          <w:color w:val="auto"/>
        </w:rPr>
      </w:pPr>
    </w:p>
    <w:p>
      <w:pPr>
        <w:ind w:left="1400" w:hanging="413"/>
        <w:spacing w:after="0"/>
        <w:tabs>
          <w:tab w:leader="none" w:pos="140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Company will provide to the Trustee and the Holders and make available to potential investors:</w:t>
      </w:r>
    </w:p>
    <w:p>
      <w:pPr>
        <w:spacing w:after="0" w:line="117" w:lineRule="exact"/>
        <w:rPr>
          <w:rFonts w:ascii="Arial" w:cs="Arial" w:eastAsia="Arial" w:hAnsi="Arial"/>
          <w:sz w:val="18"/>
          <w:szCs w:val="18"/>
          <w:color w:val="auto"/>
        </w:rPr>
      </w:pPr>
    </w:p>
    <w:p>
      <w:pPr>
        <w:ind w:left="980" w:firstLine="408"/>
        <w:spacing w:after="0" w:line="286" w:lineRule="auto"/>
        <w:tabs>
          <w:tab w:leader="none" w:pos="1816" w:val="left"/>
        </w:tabs>
        <w:numPr>
          <w:ilvl w:val="1"/>
          <w:numId w:val="658"/>
        </w:numPr>
        <w:rPr>
          <w:rFonts w:ascii="Arial" w:cs="Arial" w:eastAsia="Arial" w:hAnsi="Arial"/>
          <w:sz w:val="16"/>
          <w:szCs w:val="16"/>
          <w:color w:val="auto"/>
        </w:rPr>
      </w:pPr>
      <w:r>
        <w:rPr>
          <w:rFonts w:ascii="Arial" w:cs="Arial" w:eastAsia="Arial" w:hAnsi="Arial"/>
          <w:sz w:val="16"/>
          <w:szCs w:val="16"/>
          <w:color w:val="auto"/>
        </w:rPr>
        <w:t xml:space="preserve">within 120 days after the end of the Company’s fiscal year, annual reports of the Company containing: (a) information with a level of detail that is substantially comparable to the sections in the Offering Memorandum entitled “Selected Consolidated Financial and Operational Data,” “Business,” “Management,” “Related Party Transactions” and “Description of Other Material Indebtedness;” (b) the Company’s audited consolidated (i) balance sheet as of the end of the two most recent fiscal years and (ii) income statement and statement of cash flow for the two most recent fiscal years, in each case prepared in accordance with U.S. GAAP and including complete footnotes to such financial statements and the report of the independent auditors on the financial statements; (c) an operating and financial review of the two most recent fiscal years for the Company and its Restricted Subsidiaries, including a discussion of (i) the financial condition and results of operations of the Company on a consolidated basis and any material changes between such two fiscal years and (ii) any material developments in the business of the Company and its Restricted Subsidiaries; and (d)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income statement and balance sheet information of the Company, together with explanatory footnotes, for any Change of Control or material acquisitions, dispositions or recapitalizations that have occurred since the beginning of the most recently completed fiscal year, unless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has been provided in a previous report pursuant to paragraph (2)(c) below;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shall be required to be provided for any material acquisitions or dispositions relating solely to the Phase II Project;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440" w:top="269" w:right="499" w:bottom="1440" w:gutter="0" w:footer="0" w:header="0"/>
        </w:sectPr>
      </w:pPr>
    </w:p>
    <w:bookmarkStart w:id="520" w:name="page521"/>
    <w:bookmarkEnd w:id="520"/>
    <w:p>
      <w:pPr>
        <w:ind w:left="984" w:right="40" w:firstLine="408"/>
        <w:spacing w:after="0" w:line="269" w:lineRule="auto"/>
        <w:tabs>
          <w:tab w:leader="none" w:pos="1775" w:val="left"/>
        </w:tabs>
        <w:numPr>
          <w:ilvl w:val="2"/>
          <w:numId w:val="6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60 days after the end of each day of the first three fiscal quarters in each fiscal year of the Company, quarterly reports containing: (a) the Company’s unaudited condensed consolidated (i) balance sheet as of the end of such quarter and (ii) statement of income and cash flow for the quarterly and year to date periods ending on the most recent balance sheet date, and the comparable prior year periods, in each case prepared in accordance with U.S. GAAP; (b) an operating and financial review of such periods for the Company and its Restricted Subsidiaries including a discussion of (i) the financial condition and results of operations of the Company on a consolidated basis and material changes between the current period and the period of the prior year and (ii) any material developments in the business of the Company and its Restricted Subsidiaries; (c)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income statement and balance sheet information of the Company, together with explanatory footnotes, for any Change of Control or material acquisitions, dispositions or recapitalizations that have occurred since the beginning of the most recently completed fiscal quarter,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pro forma information shall be required to be provided for any material acquisitions or dispositions relating solely to the Phase II Project,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Company may provide any such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information relating to a material acquisition within 75 days following such quarterly report in the form of a report provided pursuant to clause (3) below; and</w:t>
      </w:r>
    </w:p>
    <w:p>
      <w:pPr>
        <w:spacing w:after="0" w:line="70" w:lineRule="exact"/>
        <w:rPr>
          <w:rFonts w:ascii="Arial" w:cs="Arial" w:eastAsia="Arial" w:hAnsi="Arial"/>
          <w:sz w:val="17"/>
          <w:szCs w:val="17"/>
          <w:color w:val="auto"/>
        </w:rPr>
      </w:pPr>
    </w:p>
    <w:p>
      <w:pPr>
        <w:ind w:left="984" w:right="200" w:firstLine="408"/>
        <w:spacing w:after="0" w:line="275" w:lineRule="auto"/>
        <w:tabs>
          <w:tab w:leader="none" w:pos="1820" w:val="left"/>
        </w:tabs>
        <w:numPr>
          <w:ilvl w:val="2"/>
          <w:numId w:val="659"/>
        </w:numPr>
        <w:rPr>
          <w:rFonts w:ascii="Arial" w:cs="Arial" w:eastAsia="Arial" w:hAnsi="Arial"/>
          <w:sz w:val="17"/>
          <w:szCs w:val="17"/>
          <w:color w:val="auto"/>
        </w:rPr>
      </w:pPr>
      <w:r>
        <w:rPr>
          <w:rFonts w:ascii="Arial" w:cs="Arial" w:eastAsia="Arial" w:hAnsi="Arial"/>
          <w:sz w:val="17"/>
          <w:szCs w:val="17"/>
          <w:color w:val="auto"/>
        </w:rPr>
        <w:t>promptly from time to time after the occurrence of any of the events listed in (a) to (d) of this clause (3) information with respect to (a) any change in the independent accountants of the Company or any of the Significant Subsidiaries of the Company, (b) any material acquisition or disposition, (c) any material event that the Company or any Restricted Subsidiary of the Company announces publicly and (d) any information that the Company is required to make publicly available under the requirements of the SGX-ST or such other exchanges on which the securities of the Company or its Subsidiaries are then listed.</w:t>
      </w:r>
    </w:p>
    <w:p>
      <w:pPr>
        <w:spacing w:after="0" w:line="176" w:lineRule="exact"/>
        <w:rPr>
          <w:rFonts w:ascii="Arial" w:cs="Arial" w:eastAsia="Arial" w:hAnsi="Arial"/>
          <w:sz w:val="17"/>
          <w:szCs w:val="17"/>
          <w:color w:val="auto"/>
        </w:rPr>
      </w:pPr>
    </w:p>
    <w:p>
      <w:pPr>
        <w:ind w:left="4" w:firstLine="987"/>
        <w:spacing w:after="0" w:line="301" w:lineRule="auto"/>
        <w:tabs>
          <w:tab w:leader="none" w:pos="1385" w:val="left"/>
        </w:tabs>
        <w:numPr>
          <w:ilvl w:val="1"/>
          <w:numId w:val="660"/>
        </w:numPr>
        <w:rPr>
          <w:rFonts w:ascii="Arial" w:cs="Arial" w:eastAsia="Arial" w:hAnsi="Arial"/>
          <w:sz w:val="16"/>
          <w:szCs w:val="16"/>
          <w:color w:val="auto"/>
        </w:rPr>
      </w:pPr>
      <w:r>
        <w:rPr>
          <w:rFonts w:ascii="Arial" w:cs="Arial" w:eastAsia="Arial" w:hAnsi="Arial"/>
          <w:sz w:val="16"/>
          <w:szCs w:val="16"/>
          <w:color w:val="auto"/>
        </w:rPr>
        <w:t>If the Company has designated any of its Subsidiaries as Unrestricted Subsidiaries and any such Unrestricted Subsidiary or group of Unrestricted Subsidiaries constitute Significant Subsidiaries of the Company, then the annual and quarterly information required by the paragraphs (a)(1) and (a)(2) hereof shall include a reasonably detailed presentation of the financial condition and results of operations of the Company and its Restricted Subsidiaries separate from the financial condition and results of operations of such Unrestricted Subsidiaries of the Company.</w:t>
      </w:r>
    </w:p>
    <w:p>
      <w:pPr>
        <w:spacing w:after="0" w:line="157" w:lineRule="exact"/>
        <w:rPr>
          <w:rFonts w:ascii="Arial" w:cs="Arial" w:eastAsia="Arial" w:hAnsi="Arial"/>
          <w:sz w:val="16"/>
          <w:szCs w:val="16"/>
          <w:color w:val="auto"/>
        </w:rPr>
      </w:pPr>
    </w:p>
    <w:p>
      <w:pPr>
        <w:ind w:left="4" w:right="180" w:firstLine="987"/>
        <w:spacing w:after="0" w:line="287" w:lineRule="auto"/>
        <w:tabs>
          <w:tab w:leader="none" w:pos="1375" w:val="left"/>
        </w:tabs>
        <w:numPr>
          <w:ilvl w:val="1"/>
          <w:numId w:val="660"/>
        </w:numPr>
        <w:rPr>
          <w:rFonts w:ascii="Arial" w:cs="Arial" w:eastAsia="Arial" w:hAnsi="Arial"/>
          <w:sz w:val="16"/>
          <w:szCs w:val="16"/>
          <w:color w:val="auto"/>
        </w:rPr>
      </w:pPr>
      <w:r>
        <w:rPr>
          <w:rFonts w:ascii="Arial" w:cs="Arial" w:eastAsia="Arial" w:hAnsi="Arial"/>
          <w:sz w:val="16"/>
          <w:szCs w:val="16"/>
          <w:color w:val="auto"/>
        </w:rPr>
        <w:t>In addition, so long as the Notes are “restricted securities” within the meaning of Rule 144(a)(3) of the Securities Act and in any period during which the Company is not subject to Section 13 or 15(d) of the Exchange Act nor exempt therefrom pursuant to Rule 12g3-2(b), the Company shall furnish to the holders of the Notes, securities analysts and prospective investors, upon their request, any information that Rule 144A(d)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661"/>
        </w:numPr>
        <w:rPr>
          <w:rFonts w:ascii="Arial" w:cs="Arial" w:eastAsia="Arial" w:hAnsi="Arial"/>
          <w:sz w:val="18"/>
          <w:szCs w:val="18"/>
          <w:color w:val="auto"/>
        </w:rPr>
      </w:pPr>
      <w:r>
        <w:rPr>
          <w:rFonts w:ascii="Arial" w:cs="Arial" w:eastAsia="Arial" w:hAnsi="Arial"/>
          <w:sz w:val="18"/>
          <w:szCs w:val="18"/>
          <w:color w:val="auto"/>
        </w:rPr>
        <w:t>under the Securities Act would require the Company to provide to such parties.</w:t>
      </w:r>
    </w:p>
    <w:p>
      <w:pPr>
        <w:spacing w:after="0" w:line="210" w:lineRule="exact"/>
        <w:rPr>
          <w:rFonts w:ascii="Arial" w:cs="Arial" w:eastAsia="Arial" w:hAnsi="Arial"/>
          <w:sz w:val="18"/>
          <w:szCs w:val="18"/>
          <w:color w:val="auto"/>
        </w:rPr>
      </w:pPr>
    </w:p>
    <w:p>
      <w:pPr>
        <w:ind w:left="4" w:right="100" w:firstLine="987"/>
        <w:spacing w:after="0" w:line="272" w:lineRule="auto"/>
        <w:tabs>
          <w:tab w:leader="none" w:pos="1382" w:val="left"/>
        </w:tabs>
        <w:numPr>
          <w:ilvl w:val="1"/>
          <w:numId w:val="661"/>
        </w:numPr>
        <w:rPr>
          <w:rFonts w:ascii="Arial" w:cs="Arial" w:eastAsia="Arial" w:hAnsi="Arial"/>
          <w:sz w:val="17"/>
          <w:szCs w:val="17"/>
          <w:color w:val="auto"/>
        </w:rPr>
      </w:pPr>
      <w:r>
        <w:rPr>
          <w:rFonts w:ascii="Arial" w:cs="Arial" w:eastAsia="Arial" w:hAnsi="Arial"/>
          <w:sz w:val="17"/>
          <w:szCs w:val="17"/>
          <w:color w:val="auto"/>
        </w:rPr>
        <w:t xml:space="preserve">The Company may elect to satisfy its obligations under this Section 4.03 with respect to all such financial information relating to the Company by furnishing, or making available on the SEC’s website,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shall have no responsibility whatsoever to determine whether such filing has occurred, such financial information relating to Studio City International, or by furnishing or making available on the SGX’s website such financial information relating to Studio City Company Limited; provided that the same is accompanied by consolidating information that explains in reasonable detail the differences between the information relating to Studio City International or Studio City Company Limited (as the case may be), on the one hand, and the information relating to the Company and its Restricted Subsidiaries on a stand-alone basis, on the other hand; provided further that the Company shall make no more than two such elections.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4"/>
          </w:cols>
          <w:pgMar w:left="436" w:top="273" w:right="439" w:bottom="1440" w:gutter="0" w:footer="0" w:header="0"/>
        </w:sectPr>
      </w:pPr>
    </w:p>
    <w:bookmarkStart w:id="521" w:name="page522"/>
    <w:bookmarkEnd w:id="521"/>
    <w:p>
      <w:pPr>
        <w:ind w:left="4" w:right="420" w:firstLine="987"/>
        <w:spacing w:after="0" w:line="342" w:lineRule="auto"/>
        <w:tabs>
          <w:tab w:leader="none" w:pos="1365" w:val="left"/>
        </w:tabs>
        <w:numPr>
          <w:ilvl w:val="0"/>
          <w:numId w:val="6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financial statement information required under this covenant shall be prepared on a consistent basis in accordance with U.S. GAAP. In addition, all financial statement information and all reports required under this covenant shall be presented in the English language.</w:t>
      </w:r>
    </w:p>
    <w:p>
      <w:pPr>
        <w:spacing w:after="0" w:line="123" w:lineRule="exact"/>
        <w:rPr>
          <w:rFonts w:ascii="Arial" w:cs="Arial" w:eastAsia="Arial" w:hAnsi="Arial"/>
          <w:sz w:val="16"/>
          <w:szCs w:val="16"/>
          <w:color w:val="auto"/>
        </w:rPr>
      </w:pPr>
    </w:p>
    <w:p>
      <w:pPr>
        <w:ind w:left="1404" w:hanging="413"/>
        <w:spacing w:after="0"/>
        <w:tabs>
          <w:tab w:leader="none" w:pos="1404" w:val="left"/>
        </w:tabs>
        <w:numPr>
          <w:ilvl w:val="0"/>
          <w:numId w:val="662"/>
        </w:numPr>
        <w:rPr>
          <w:rFonts w:ascii="Arial" w:cs="Arial" w:eastAsia="Arial" w:hAnsi="Arial"/>
          <w:sz w:val="18"/>
          <w:szCs w:val="18"/>
          <w:color w:val="auto"/>
        </w:rPr>
      </w:pPr>
      <w:r>
        <w:rPr>
          <w:rFonts w:ascii="Arial" w:cs="Arial" w:eastAsia="Arial" w:hAnsi="Arial"/>
          <w:sz w:val="18"/>
          <w:szCs w:val="18"/>
          <w:i w:val="1"/>
          <w:iCs w:val="1"/>
          <w:color w:val="auto"/>
        </w:rPr>
        <w:t>[Intentionally Omitted].</w:t>
      </w:r>
    </w:p>
    <w:p>
      <w:pPr>
        <w:spacing w:after="0" w:line="225" w:lineRule="exact"/>
        <w:rPr>
          <w:rFonts w:ascii="Arial" w:cs="Arial" w:eastAsia="Arial" w:hAnsi="Arial"/>
          <w:sz w:val="18"/>
          <w:szCs w:val="18"/>
          <w:color w:val="auto"/>
        </w:rPr>
      </w:pPr>
    </w:p>
    <w:p>
      <w:pPr>
        <w:ind w:left="4" w:right="220" w:firstLine="987"/>
        <w:spacing w:after="0" w:line="259" w:lineRule="auto"/>
        <w:tabs>
          <w:tab w:leader="none" w:pos="1385" w:val="left"/>
        </w:tabs>
        <w:numPr>
          <w:ilvl w:val="0"/>
          <w:numId w:val="662"/>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the Officer’s Certificates).</w:t>
      </w:r>
    </w:p>
    <w:p>
      <w:pPr>
        <w:spacing w:after="0" w:line="295"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117" w:lineRule="exact"/>
        <w:rPr>
          <w:sz w:val="20"/>
          <w:szCs w:val="20"/>
          <w:color w:val="auto"/>
        </w:rPr>
      </w:pPr>
    </w:p>
    <w:p>
      <w:pPr>
        <w:ind w:left="4" w:firstLine="987"/>
        <w:spacing w:after="0" w:line="289" w:lineRule="auto"/>
        <w:tabs>
          <w:tab w:leader="none" w:pos="1372" w:val="left"/>
        </w:tabs>
        <w:numPr>
          <w:ilvl w:val="1"/>
          <w:numId w:val="663"/>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166" w:lineRule="exact"/>
        <w:rPr>
          <w:rFonts w:ascii="Arial" w:cs="Arial" w:eastAsia="Arial" w:hAnsi="Arial"/>
          <w:sz w:val="16"/>
          <w:szCs w:val="16"/>
          <w:color w:val="auto"/>
        </w:rPr>
      </w:pPr>
    </w:p>
    <w:p>
      <w:pPr>
        <w:ind w:left="1424" w:hanging="433"/>
        <w:spacing w:after="0"/>
        <w:tabs>
          <w:tab w:leader="none" w:pos="1424" w:val="left"/>
        </w:tabs>
        <w:numPr>
          <w:ilvl w:val="1"/>
          <w:numId w:val="66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364" w:hanging="373"/>
        <w:spacing w:after="0"/>
        <w:tabs>
          <w:tab w:leader="none" w:pos="1364" w:val="left"/>
        </w:tabs>
        <w:numPr>
          <w:ilvl w:val="1"/>
          <w:numId w:val="663"/>
        </w:numPr>
        <w:rPr>
          <w:rFonts w:ascii="Arial" w:cs="Arial" w:eastAsia="Arial" w:hAnsi="Arial"/>
          <w:sz w:val="16"/>
          <w:szCs w:val="16"/>
          <w:color w:val="auto"/>
        </w:rPr>
      </w:pPr>
      <w:r>
        <w:rPr>
          <w:rFonts w:ascii="Arial" w:cs="Arial" w:eastAsia="Arial" w:hAnsi="Arial"/>
          <w:sz w:val="16"/>
          <w:szCs w:val="16"/>
          <w:color w:val="auto"/>
        </w:rPr>
        <w:t>So long as any of the Notes are outstanding, the Company will deliver to the Trustee, as soon as possible and in any event within five</w:t>
      </w:r>
    </w:p>
    <w:p>
      <w:pPr>
        <w:spacing w:after="0" w:line="46" w:lineRule="exact"/>
        <w:rPr>
          <w:rFonts w:ascii="Arial" w:cs="Arial" w:eastAsia="Arial" w:hAnsi="Arial"/>
          <w:sz w:val="16"/>
          <w:szCs w:val="16"/>
          <w:color w:val="auto"/>
        </w:rPr>
      </w:pPr>
    </w:p>
    <w:p>
      <w:pPr>
        <w:ind w:left="4" w:right="120" w:hanging="4"/>
        <w:spacing w:after="0" w:line="253" w:lineRule="auto"/>
        <w:tabs>
          <w:tab w:leader="none" w:pos="259" w:val="left"/>
        </w:tabs>
        <w:numPr>
          <w:ilvl w:val="0"/>
          <w:numId w:val="664"/>
        </w:numPr>
        <w:rPr>
          <w:rFonts w:ascii="Arial" w:cs="Arial" w:eastAsia="Arial" w:hAnsi="Arial"/>
          <w:sz w:val="18"/>
          <w:szCs w:val="18"/>
          <w:color w:val="auto"/>
        </w:rPr>
      </w:pPr>
      <w:r>
        <w:rPr>
          <w:rFonts w:ascii="Arial" w:cs="Arial" w:eastAsia="Arial" w:hAnsi="Arial"/>
          <w:sz w:val="18"/>
          <w:szCs w:val="18"/>
          <w:color w:val="auto"/>
        </w:rPr>
        <w:t>Business Days after the Company becomes aware of any Default or Event of Default, an Officer’s Certificate specifying such Default or Event of Default and what action the Company is taking or proposes to take with respect thereto. The Trustee shall not be deemed to have a duty to monitor compliance by the Company, nor to have knowledge of a Default or an Event of Default (other than a payment default on a scheduled interest payment date) unless a Responsible Officer of the Trustee receives written notice thereof, stating that it is a notice of default and referencing the applicable section of this Indenture.</w:t>
      </w:r>
    </w:p>
    <w:p>
      <w:pPr>
        <w:spacing w:after="0" w:line="299"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3"/>
          <w:szCs w:val="13"/>
          <w:i w:val="1"/>
          <w:iCs w:val="1"/>
          <w:color w:val="auto"/>
        </w:rPr>
        <w:t>Taxes.</w:t>
      </w:r>
    </w:p>
    <w:p>
      <w:pPr>
        <w:spacing w:after="0" w:line="117"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required to be paid by the Company or such Subsidiaries except such as are contested in good faith and by appropriate proceedings or where the failure to effect such payment is not adverse in any material respect to the Holders.</w:t>
      </w:r>
    </w:p>
    <w:p>
      <w:pPr>
        <w:spacing w:after="0" w:line="292"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117" w:lineRule="exact"/>
        <w:rPr>
          <w:sz w:val="20"/>
          <w:szCs w:val="20"/>
          <w:color w:val="auto"/>
        </w:rPr>
      </w:pPr>
    </w:p>
    <w:p>
      <w:pPr>
        <w:ind w:left="4" w:right="20" w:firstLine="991"/>
        <w:spacing w:after="0" w:line="275"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3" w:right="479" w:bottom="1440" w:gutter="0" w:footer="0" w:header="0"/>
        </w:sectPr>
      </w:pPr>
    </w:p>
    <w:bookmarkStart w:id="522" w:name="page523"/>
    <w:bookmarkEnd w:id="522"/>
    <w:p>
      <w:pPr>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4.07</w:t>
      </w:r>
      <w:r>
        <w:rPr>
          <w:sz w:val="20"/>
          <w:szCs w:val="20"/>
          <w:color w:val="auto"/>
        </w:rPr>
        <w:tab/>
      </w:r>
      <w:r>
        <w:rPr>
          <w:rFonts w:ascii="Arial" w:cs="Arial" w:eastAsia="Arial" w:hAnsi="Arial"/>
          <w:sz w:val="16"/>
          <w:szCs w:val="16"/>
          <w:i w:val="1"/>
          <w:iCs w:val="1"/>
          <w:color w:val="auto"/>
        </w:rPr>
        <w:t>Limitation on Restricted Payments.</w:t>
      </w:r>
    </w:p>
    <w:p>
      <w:pPr>
        <w:spacing w:after="0" w:line="117" w:lineRule="exact"/>
        <w:rPr>
          <w:sz w:val="20"/>
          <w:szCs w:val="20"/>
          <w:color w:val="auto"/>
        </w:rPr>
      </w:pPr>
    </w:p>
    <w:p>
      <w:pPr>
        <w:ind w:left="960" w:hanging="413"/>
        <w:spacing w:after="0"/>
        <w:tabs>
          <w:tab w:leader="none" w:pos="96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117" w:lineRule="exact"/>
        <w:rPr>
          <w:rFonts w:ascii="Arial" w:cs="Arial" w:eastAsia="Arial" w:hAnsi="Arial"/>
          <w:sz w:val="18"/>
          <w:szCs w:val="18"/>
          <w:color w:val="auto"/>
        </w:rPr>
      </w:pPr>
    </w:p>
    <w:p>
      <w:pPr>
        <w:jc w:val="both"/>
        <w:ind w:left="540" w:right="140" w:firstLine="408"/>
        <w:spacing w:after="0" w:line="296" w:lineRule="auto"/>
        <w:tabs>
          <w:tab w:leader="none" w:pos="1331" w:val="left"/>
        </w:tabs>
        <w:numPr>
          <w:ilvl w:val="1"/>
          <w:numId w:val="665"/>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(other than dividends or distributions payable in Equity Interests (other than Disqualified Stock) of the Company and other than dividends or distributions payable to the Company or a Restricted Subsidiary of the Company);</w:t>
      </w:r>
    </w:p>
    <w:p>
      <w:pPr>
        <w:spacing w:after="0" w:line="53" w:lineRule="exact"/>
        <w:rPr>
          <w:rFonts w:ascii="Arial" w:cs="Arial" w:eastAsia="Arial" w:hAnsi="Arial"/>
          <w:sz w:val="16"/>
          <w:szCs w:val="16"/>
          <w:color w:val="auto"/>
        </w:rPr>
      </w:pPr>
    </w:p>
    <w:p>
      <w:pPr>
        <w:ind w:left="540" w:right="500" w:firstLine="408"/>
        <w:spacing w:after="0" w:line="308" w:lineRule="auto"/>
        <w:tabs>
          <w:tab w:leader="none" w:pos="1331" w:val="left"/>
        </w:tabs>
        <w:numPr>
          <w:ilvl w:val="1"/>
          <w:numId w:val="665"/>
        </w:numPr>
        <w:rPr>
          <w:rFonts w:ascii="Arial" w:cs="Arial" w:eastAsia="Arial" w:hAnsi="Arial"/>
          <w:sz w:val="17"/>
          <w:szCs w:val="17"/>
          <w:color w:val="auto"/>
        </w:rPr>
      </w:pPr>
      <w:r>
        <w:rPr>
          <w:rFonts w:ascii="Arial" w:cs="Arial" w:eastAsia="Arial" w:hAnsi="Arial"/>
          <w:sz w:val="17"/>
          <w:szCs w:val="17"/>
          <w:color w:val="auto"/>
        </w:rPr>
        <w:t>purchase, redeem or otherwise acquire or retire for value (including, without limitation, in connection with any merger or consolidation involving the Company) any Equity Interests of the Company or any of its direct or indirect parents;</w:t>
      </w:r>
    </w:p>
    <w:p>
      <w:pPr>
        <w:spacing w:after="0" w:line="38" w:lineRule="exact"/>
        <w:rPr>
          <w:rFonts w:ascii="Arial" w:cs="Arial" w:eastAsia="Arial" w:hAnsi="Arial"/>
          <w:sz w:val="17"/>
          <w:szCs w:val="17"/>
          <w:color w:val="auto"/>
        </w:rPr>
      </w:pPr>
    </w:p>
    <w:p>
      <w:pPr>
        <w:ind w:left="540" w:right="40" w:firstLine="408"/>
        <w:spacing w:after="0" w:line="311" w:lineRule="auto"/>
        <w:tabs>
          <w:tab w:leader="none" w:pos="1331" w:val="left"/>
        </w:tabs>
        <w:numPr>
          <w:ilvl w:val="1"/>
          <w:numId w:val="665"/>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Subordinated Indebtedness of the Company or any Subsidiary Guarantor (excluding any intercompany Indebtedness between or among the Company and any of its Restricted Subsidiaries), except a payment of interest or principal at the Stated Maturity thereof; or</w:t>
      </w:r>
    </w:p>
    <w:p>
      <w:pPr>
        <w:spacing w:after="0" w:line="40" w:lineRule="exact"/>
        <w:rPr>
          <w:rFonts w:ascii="Arial" w:cs="Arial" w:eastAsia="Arial" w:hAnsi="Arial"/>
          <w:sz w:val="16"/>
          <w:szCs w:val="16"/>
          <w:color w:val="auto"/>
        </w:rPr>
      </w:pPr>
    </w:p>
    <w:p>
      <w:pPr>
        <w:ind w:left="1380" w:hanging="432"/>
        <w:spacing w:after="0"/>
        <w:tabs>
          <w:tab w:leader="none" w:pos="138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(all such payments and other actions set forth in clauses (1) through (4) above being collectively referred to as “</w:t>
      </w:r>
      <w:r>
        <w:rPr>
          <w:rFonts w:ascii="Arial" w:cs="Arial" w:eastAsia="Arial" w:hAnsi="Arial"/>
          <w:sz w:val="16"/>
          <w:szCs w:val="16"/>
          <w:i w:val="1"/>
          <w:iCs w:val="1"/>
          <w:color w:val="auto"/>
        </w:rPr>
        <w:t>Restricted Payments</w:t>
      </w:r>
      <w:r>
        <w:rPr>
          <w:rFonts w:ascii="Arial" w:cs="Arial" w:eastAsia="Arial" w:hAnsi="Arial"/>
          <w:sz w:val="16"/>
          <w:szCs w:val="16"/>
          <w:color w:val="auto"/>
        </w:rPr>
        <w: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117" w:lineRule="exact"/>
        <w:rPr>
          <w:sz w:val="20"/>
          <w:szCs w:val="20"/>
          <w:color w:val="auto"/>
        </w:rPr>
      </w:pPr>
    </w:p>
    <w:p>
      <w:pPr>
        <w:ind w:left="1800" w:hanging="429"/>
        <w:spacing w:after="0"/>
        <w:tabs>
          <w:tab w:leader="none" w:pos="1800" w:val="left"/>
        </w:tabs>
        <w:numPr>
          <w:ilvl w:val="0"/>
          <w:numId w:val="666"/>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or would occur as a consequence thereof;</w:t>
      </w:r>
    </w:p>
    <w:p>
      <w:pPr>
        <w:spacing w:after="0" w:line="128" w:lineRule="exact"/>
        <w:rPr>
          <w:rFonts w:ascii="Arial" w:cs="Arial" w:eastAsia="Arial" w:hAnsi="Arial"/>
          <w:sz w:val="17"/>
          <w:szCs w:val="17"/>
          <w:color w:val="auto"/>
        </w:rPr>
      </w:pPr>
    </w:p>
    <w:p>
      <w:pPr>
        <w:ind w:left="980" w:firstLine="391"/>
        <w:spacing w:after="0" w:line="286" w:lineRule="auto"/>
        <w:tabs>
          <w:tab w:leader="none" w:pos="1783" w:val="left"/>
        </w:tabs>
        <w:numPr>
          <w:ilvl w:val="0"/>
          <w:numId w:val="666"/>
        </w:numPr>
        <w:rPr>
          <w:rFonts w:ascii="Arial" w:cs="Arial" w:eastAsia="Arial" w:hAnsi="Arial"/>
          <w:sz w:val="17"/>
          <w:szCs w:val="17"/>
          <w:color w:val="auto"/>
        </w:rPr>
      </w:pPr>
      <w:r>
        <w:rPr>
          <w:rFonts w:ascii="Arial" w:cs="Arial" w:eastAsia="Arial" w:hAnsi="Arial"/>
          <w:sz w:val="17"/>
          <w:szCs w:val="17"/>
          <w:color w:val="auto"/>
        </w:rPr>
        <w:t xml:space="preserve">the Company would, at the time of such Restricted Payment and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as if such Restricted Payment had been made at the beginning of the applicable four-quarter period, have been permitted to Incur at least US$1.00 of additional Indebtedness pursuant to the Fixed Charge Coverage Ratio test set forth in Section 4.09(a) hereof; and</w:t>
      </w:r>
    </w:p>
    <w:p>
      <w:pPr>
        <w:spacing w:after="0" w:line="57" w:lineRule="exact"/>
        <w:rPr>
          <w:rFonts w:ascii="Arial" w:cs="Arial" w:eastAsia="Arial" w:hAnsi="Arial"/>
          <w:sz w:val="17"/>
          <w:szCs w:val="17"/>
          <w:color w:val="auto"/>
        </w:rPr>
      </w:pPr>
    </w:p>
    <w:p>
      <w:pPr>
        <w:ind w:left="980" w:right="20" w:firstLine="391"/>
        <w:spacing w:after="0" w:line="263" w:lineRule="auto"/>
        <w:tabs>
          <w:tab w:leader="none" w:pos="1783" w:val="left"/>
        </w:tabs>
        <w:numPr>
          <w:ilvl w:val="0"/>
          <w:numId w:val="666"/>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since the Measurement Date (excluding Restricted Payments permitted by clauses (2) through (12) of Section 4.07(b)) pursuant to this Indenture, is less than the sum, without duplication, of:</w:t>
      </w:r>
    </w:p>
    <w:p>
      <w:pPr>
        <w:spacing w:after="0" w:line="75" w:lineRule="exact"/>
        <w:rPr>
          <w:rFonts w:ascii="Arial" w:cs="Arial" w:eastAsia="Arial" w:hAnsi="Arial"/>
          <w:sz w:val="18"/>
          <w:szCs w:val="18"/>
          <w:color w:val="auto"/>
        </w:rPr>
      </w:pPr>
    </w:p>
    <w:p>
      <w:pPr>
        <w:ind w:left="1540" w:firstLine="360"/>
        <w:spacing w:after="0" w:line="259" w:lineRule="auto"/>
        <w:tabs>
          <w:tab w:leader="none" w:pos="2251" w:val="left"/>
        </w:tabs>
        <w:numPr>
          <w:ilvl w:val="1"/>
          <w:numId w:val="666"/>
        </w:numPr>
        <w:rPr>
          <w:rFonts w:ascii="Arial" w:cs="Arial" w:eastAsia="Arial" w:hAnsi="Arial"/>
          <w:sz w:val="18"/>
          <w:szCs w:val="18"/>
          <w:color w:val="auto"/>
        </w:rPr>
      </w:pPr>
      <w:r>
        <w:rPr>
          <w:rFonts w:ascii="Arial" w:cs="Arial" w:eastAsia="Arial" w:hAnsi="Arial"/>
          <w:sz w:val="18"/>
          <w:szCs w:val="18"/>
          <w:color w:val="auto"/>
        </w:rPr>
        <w:t xml:space="preserve">75% of the EBITDA of the Company </w:t>
      </w:r>
      <w:r>
        <w:rPr>
          <w:rFonts w:ascii="Arial" w:cs="Arial" w:eastAsia="Arial" w:hAnsi="Arial"/>
          <w:sz w:val="18"/>
          <w:szCs w:val="18"/>
          <w:i w:val="1"/>
          <w:iCs w:val="1"/>
          <w:color w:val="auto"/>
        </w:rPr>
        <w:t>less</w:t>
      </w:r>
      <w:r>
        <w:rPr>
          <w:rFonts w:ascii="Arial" w:cs="Arial" w:eastAsia="Arial" w:hAnsi="Arial"/>
          <w:sz w:val="18"/>
          <w:szCs w:val="18"/>
          <w:color w:val="auto"/>
        </w:rPr>
        <w:t xml:space="preserve"> 2.00 times Fixed Charges for the period (taken as one accounting period) from January 1, 2019 to the end of the Company’s most recently ended fiscal quarter for which internal financial statements are available at the time of such Restricted Payment (or, if such EBITDA for such period is a deficit, </w:t>
      </w:r>
      <w:r>
        <w:rPr>
          <w:rFonts w:ascii="Arial" w:cs="Arial" w:eastAsia="Arial" w:hAnsi="Arial"/>
          <w:sz w:val="18"/>
          <w:szCs w:val="18"/>
          <w:i w:val="1"/>
          <w:iCs w:val="1"/>
          <w:color w:val="auto"/>
        </w:rPr>
        <w:t>minus</w:t>
      </w:r>
      <w:r>
        <w:rPr>
          <w:rFonts w:ascii="Arial" w:cs="Arial" w:eastAsia="Arial" w:hAnsi="Arial"/>
          <w:sz w:val="18"/>
          <w:szCs w:val="18"/>
          <w:color w:val="auto"/>
        </w:rPr>
        <w:t xml:space="preserve"> 100% of such deficit);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ind w:left="1540" w:right="40" w:firstLine="360"/>
        <w:spacing w:after="0" w:line="255" w:lineRule="auto"/>
        <w:tabs>
          <w:tab w:leader="none" w:pos="2301" w:val="left"/>
        </w:tabs>
        <w:numPr>
          <w:ilvl w:val="1"/>
          <w:numId w:val="666"/>
        </w:numPr>
        <w:rPr>
          <w:rFonts w:ascii="Arial" w:cs="Arial" w:eastAsia="Arial" w:hAnsi="Arial"/>
          <w:sz w:val="18"/>
          <w:szCs w:val="18"/>
          <w:color w:val="auto"/>
        </w:rPr>
      </w:pPr>
      <w:r>
        <w:rPr>
          <w:rFonts w:ascii="Arial" w:cs="Arial" w:eastAsia="Arial" w:hAnsi="Arial"/>
          <w:sz w:val="18"/>
          <w:szCs w:val="18"/>
          <w:color w:val="auto"/>
        </w:rPr>
        <w:t xml:space="preserve">100% of the aggregate net cash proceeds received by the Company since the Measurement Date as a contribution to its common equity capital or from the issue or sale of Equity Interests (other than Disqualified Stock) of the Company (in each case, other than in connection with any Excluded Contribution) or from the issue or sale of convertible or exchangeable Disqualified Stock or convertible or exchangeable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60"/>
          </w:cols>
          <w:pgMar w:left="880" w:top="273" w:right="459" w:bottom="1440" w:gutter="0" w:footer="0" w:header="0"/>
        </w:sectPr>
      </w:pPr>
    </w:p>
    <w:bookmarkStart w:id="523" w:name="page524"/>
    <w:bookmarkEnd w:id="523"/>
    <w:p>
      <w:pPr>
        <w:ind w:left="993" w:right="80" w:firstLine="360"/>
        <w:spacing w:after="0" w:line="286" w:lineRule="auto"/>
        <w:tabs>
          <w:tab w:leader="none" w:pos="1803" w:val="left"/>
        </w:tabs>
        <w:numPr>
          <w:ilvl w:val="1"/>
          <w:numId w:val="6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Restricted Investment that was made after the Measurement Date (x) is reduced as a result of payments of dividends to the Company or a Restricted Subsidiary of the Company or (y) is sold for cash or otherwise liquidated or repaid for cash, (in the case of sub-clauses (x) and (y)) the lesser of (i) the cash return of capital with respect to such Restricted Investment (less the cost of disposition, if any) and (ii) the initial amount of such Restricted Investment or</w:t>
      </w:r>
    </w:p>
    <w:p>
      <w:pPr>
        <w:spacing w:after="0" w:line="1" w:lineRule="exact"/>
        <w:rPr>
          <w:rFonts w:ascii="Arial" w:cs="Arial" w:eastAsia="Arial" w:hAnsi="Arial"/>
          <w:sz w:val="16"/>
          <w:szCs w:val="16"/>
          <w:color w:val="auto"/>
        </w:rPr>
      </w:pPr>
    </w:p>
    <w:p>
      <w:pPr>
        <w:ind w:left="993" w:right="80" w:hanging="1"/>
        <w:spacing w:after="0" w:line="255" w:lineRule="auto"/>
        <w:tabs>
          <w:tab w:leader="none" w:pos="1237" w:val="left"/>
        </w:tabs>
        <w:numPr>
          <w:ilvl w:val="0"/>
          <w:numId w:val="668"/>
        </w:numPr>
        <w:rPr>
          <w:rFonts w:ascii="Arial" w:cs="Arial" w:eastAsia="Arial" w:hAnsi="Arial"/>
          <w:sz w:val="18"/>
          <w:szCs w:val="18"/>
          <w:color w:val="auto"/>
        </w:rPr>
      </w:pPr>
      <w:r>
        <w:rPr>
          <w:rFonts w:ascii="Arial" w:cs="Arial" w:eastAsia="Arial" w:hAnsi="Arial"/>
          <w:sz w:val="18"/>
          <w:szCs w:val="18"/>
          <w:color w:val="auto"/>
        </w:rPr>
        <w:t xml:space="preserve">is reduced upon the release of a Note Guarantee granted by the Company or a Restricted Subsidiary of the Company that constituted a Restricted Investment, to the extent that the initial granting of such Note Guarantee reduced the restricted payments capacity under Section 4.07(a)(4)(C); </w:t>
      </w:r>
      <w:r>
        <w:rPr>
          <w:rFonts w:ascii="Arial" w:cs="Arial" w:eastAsia="Arial" w:hAnsi="Arial"/>
          <w:sz w:val="18"/>
          <w:szCs w:val="18"/>
          <w:i w:val="1"/>
          <w:iCs w:val="1"/>
          <w:color w:val="auto"/>
        </w:rPr>
        <w:t>plus</w:t>
      </w:r>
    </w:p>
    <w:p>
      <w:pPr>
        <w:spacing w:after="0" w:line="82" w:lineRule="exact"/>
        <w:rPr>
          <w:sz w:val="20"/>
          <w:szCs w:val="20"/>
          <w:color w:val="auto"/>
        </w:rPr>
      </w:pPr>
    </w:p>
    <w:p>
      <w:pPr>
        <w:ind w:left="993" w:right="20" w:firstLine="360"/>
        <w:spacing w:after="0" w:line="255" w:lineRule="auto"/>
        <w:tabs>
          <w:tab w:leader="none" w:pos="1793" w:val="left"/>
        </w:tabs>
        <w:numPr>
          <w:ilvl w:val="2"/>
          <w:numId w:val="669"/>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the Company designated as such after the Measurement Date is re-designated as a Restricted Subsidiary after the Measurement Date, the lesser of (i) the Fair Market Value of the Company’s Restricted Investment in such Subsidiary as of the date of such re-designation or (ii) the Fair Market Value of the net aggregate Investments made by the Company or a Restricted Subsidiary of the Company in such Unrestricted Subsidiary from the date such entity was originally designated as an Unrestricted Subsidiary through the date of such re-designation;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jc w:val="both"/>
        <w:ind w:left="993" w:right="80" w:firstLine="360"/>
        <w:spacing w:after="0" w:line="263" w:lineRule="auto"/>
        <w:tabs>
          <w:tab w:leader="none" w:pos="1743" w:val="left"/>
        </w:tabs>
        <w:numPr>
          <w:ilvl w:val="2"/>
          <w:numId w:val="669"/>
        </w:numPr>
        <w:rPr>
          <w:rFonts w:ascii="Arial" w:cs="Arial" w:eastAsia="Arial" w:hAnsi="Arial"/>
          <w:sz w:val="18"/>
          <w:szCs w:val="18"/>
          <w:color w:val="auto"/>
        </w:rPr>
      </w:pPr>
      <w:r>
        <w:rPr>
          <w:rFonts w:ascii="Arial" w:cs="Arial" w:eastAsia="Arial" w:hAnsi="Arial"/>
          <w:sz w:val="18"/>
          <w:szCs w:val="18"/>
          <w:color w:val="auto"/>
        </w:rPr>
        <w:t>100% of the aggregate amount received from the sale of the stock of any Unrestricted Subsidiary of the Company after the Measurement Date or 100% of any dividends received by the Company or a Restricted Subsidiary of the Company after the Measurement Date from an Unrestricted Subsidiary of the Company.</w:t>
      </w:r>
    </w:p>
    <w:p>
      <w:pPr>
        <w:spacing w:after="0" w:line="291" w:lineRule="exact"/>
        <w:rPr>
          <w:rFonts w:ascii="Arial" w:cs="Arial" w:eastAsia="Arial" w:hAnsi="Arial"/>
          <w:sz w:val="18"/>
          <w:szCs w:val="18"/>
          <w:color w:val="auto"/>
        </w:rPr>
      </w:pPr>
    </w:p>
    <w:p>
      <w:pPr>
        <w:ind w:left="433" w:hanging="433"/>
        <w:spacing w:after="0"/>
        <w:tabs>
          <w:tab w:leader="none" w:pos="433" w:val="left"/>
        </w:tabs>
        <w:numPr>
          <w:ilvl w:val="0"/>
          <w:numId w:val="670"/>
        </w:numPr>
        <w:rPr>
          <w:rFonts w:ascii="Arial" w:cs="Arial" w:eastAsia="Arial" w:hAnsi="Arial"/>
          <w:sz w:val="18"/>
          <w:szCs w:val="18"/>
          <w:color w:val="auto"/>
        </w:rPr>
      </w:pPr>
      <w:r>
        <w:rPr>
          <w:rFonts w:ascii="Arial" w:cs="Arial" w:eastAsia="Arial" w:hAnsi="Arial"/>
          <w:sz w:val="18"/>
          <w:szCs w:val="18"/>
          <w:color w:val="auto"/>
        </w:rPr>
        <w:t>The provisions of Section 4.07(a) hereof will not prohibit:</w:t>
      </w:r>
    </w:p>
    <w:p>
      <w:pPr>
        <w:spacing w:after="0" w:line="117" w:lineRule="exact"/>
        <w:rPr>
          <w:rFonts w:ascii="Arial" w:cs="Arial" w:eastAsia="Arial" w:hAnsi="Arial"/>
          <w:sz w:val="18"/>
          <w:szCs w:val="18"/>
          <w:color w:val="auto"/>
        </w:rPr>
      </w:pPr>
    </w:p>
    <w:p>
      <w:pPr>
        <w:ind w:left="-7" w:right="60" w:firstLine="408"/>
        <w:spacing w:after="0" w:line="263" w:lineRule="auto"/>
        <w:tabs>
          <w:tab w:leader="none" w:pos="783" w:val="left"/>
        </w:tabs>
        <w:numPr>
          <w:ilvl w:val="1"/>
          <w:numId w:val="670"/>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75" w:lineRule="exact"/>
        <w:rPr>
          <w:rFonts w:ascii="Arial" w:cs="Arial" w:eastAsia="Arial" w:hAnsi="Arial"/>
          <w:sz w:val="18"/>
          <w:szCs w:val="18"/>
          <w:color w:val="auto"/>
        </w:rPr>
      </w:pPr>
    </w:p>
    <w:p>
      <w:pPr>
        <w:ind w:left="-7" w:firstLine="408"/>
        <w:spacing w:after="0" w:line="257" w:lineRule="auto"/>
        <w:tabs>
          <w:tab w:leader="none" w:pos="783" w:val="left"/>
        </w:tabs>
        <w:numPr>
          <w:ilvl w:val="1"/>
          <w:numId w:val="670"/>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of the substantially concurrent sale (other than to a Subsidiary of the Company) of, Equity Interests of the Company (other than Disqualified Stock) or from the substantially concurrent contribution of common equity capital to the Company (in each case, other than in connection with any Excluded Contribution);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net cash proceeds that are utilized for any such Restricted Payment will be excluded from Section 4.07(a)(4)(C)(ii) hereof;</w:t>
      </w:r>
    </w:p>
    <w:p>
      <w:pPr>
        <w:spacing w:after="0" w:line="79" w:lineRule="exact"/>
        <w:rPr>
          <w:rFonts w:ascii="Arial" w:cs="Arial" w:eastAsia="Arial" w:hAnsi="Arial"/>
          <w:sz w:val="18"/>
          <w:szCs w:val="18"/>
          <w:color w:val="auto"/>
        </w:rPr>
      </w:pPr>
    </w:p>
    <w:p>
      <w:pPr>
        <w:ind w:left="-7" w:right="320" w:firstLine="408"/>
        <w:spacing w:after="0" w:line="263" w:lineRule="auto"/>
        <w:tabs>
          <w:tab w:leader="none" w:pos="783" w:val="left"/>
        </w:tabs>
        <w:numPr>
          <w:ilvl w:val="1"/>
          <w:numId w:val="670"/>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Subordinated Indebtedness of the Company or any Subsidiary Guarantor with the net cash proceeds from a substantially concurrent Incurrence of Permitted Refinancing Indebtedness;</w:t>
      </w:r>
    </w:p>
    <w:p>
      <w:pPr>
        <w:spacing w:after="0" w:line="75" w:lineRule="exact"/>
        <w:rPr>
          <w:rFonts w:ascii="Arial" w:cs="Arial" w:eastAsia="Arial" w:hAnsi="Arial"/>
          <w:sz w:val="18"/>
          <w:szCs w:val="18"/>
          <w:color w:val="auto"/>
        </w:rPr>
      </w:pPr>
    </w:p>
    <w:p>
      <w:pPr>
        <w:ind w:left="-7" w:right="480" w:firstLine="408"/>
        <w:spacing w:after="0" w:line="277" w:lineRule="auto"/>
        <w:tabs>
          <w:tab w:leader="none" w:pos="783" w:val="left"/>
        </w:tabs>
        <w:numPr>
          <w:ilvl w:val="1"/>
          <w:numId w:val="670"/>
        </w:numPr>
        <w:rPr>
          <w:rFonts w:ascii="Arial" w:cs="Arial" w:eastAsia="Arial" w:hAnsi="Arial"/>
          <w:sz w:val="18"/>
          <w:szCs w:val="18"/>
          <w:color w:val="auto"/>
        </w:rPr>
      </w:pPr>
      <w:r>
        <w:rPr>
          <w:rFonts w:ascii="Arial" w:cs="Arial" w:eastAsia="Arial" w:hAnsi="Arial"/>
          <w:sz w:val="18"/>
          <w:szCs w:val="18"/>
          <w:color w:val="auto"/>
        </w:rPr>
        <w:t xml:space="preserve">the payment of any dividend (or, in the case of any partnership or limited liability company, any similar distribution) by a Restricted Subsidiary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103"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13"/>
          </w:cols>
          <w:pgMar w:left="1427" w:top="273" w:right="459" w:bottom="1440" w:gutter="0" w:footer="0" w:header="0"/>
        </w:sectPr>
      </w:pPr>
    </w:p>
    <w:bookmarkStart w:id="524" w:name="page525"/>
    <w:bookmarkEnd w:id="524"/>
    <w:p>
      <w:pPr>
        <w:ind w:firstLine="408"/>
        <w:spacing w:after="0" w:line="286" w:lineRule="auto"/>
        <w:tabs>
          <w:tab w:leader="none" w:pos="791" w:val="left"/>
        </w:tabs>
        <w:numPr>
          <w:ilvl w:val="0"/>
          <w:numId w:val="6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repurchase, redemption or other acquisition or retirement for value of any Equity Interests of the Company or any Restricted Subsidiary of the Company held by any current or former officer, director or employee of the Company or any of its Restricted Subsidiaries pursuant to any equity subscription agreement, stock option agreement, shareholders’ agreement or similar agreement;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the aggregate price paid for all such repurchased, redeemed, acquired or retired Equity Interests may not exceed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US$1.0 million in any twelve-month period;</w:t>
      </w:r>
    </w:p>
    <w:p>
      <w:pPr>
        <w:spacing w:after="0" w:line="102" w:lineRule="exact"/>
        <w:rPr>
          <w:rFonts w:ascii="Arial" w:cs="Arial" w:eastAsia="Arial" w:hAnsi="Arial"/>
          <w:sz w:val="16"/>
          <w:szCs w:val="16"/>
          <w:color w:val="auto"/>
        </w:rPr>
      </w:pPr>
    </w:p>
    <w:p>
      <w:pPr>
        <w:ind w:right="580" w:firstLine="408"/>
        <w:spacing w:after="0" w:line="277" w:lineRule="auto"/>
        <w:tabs>
          <w:tab w:leader="none" w:pos="791"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62" w:lineRule="exact"/>
        <w:rPr>
          <w:rFonts w:ascii="Arial" w:cs="Arial" w:eastAsia="Arial" w:hAnsi="Arial"/>
          <w:sz w:val="18"/>
          <w:szCs w:val="18"/>
          <w:color w:val="auto"/>
        </w:rPr>
      </w:pPr>
    </w:p>
    <w:p>
      <w:pPr>
        <w:ind w:right="100" w:firstLine="408"/>
        <w:spacing w:after="0" w:line="263" w:lineRule="auto"/>
        <w:tabs>
          <w:tab w:leader="none" w:pos="791"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the Company or any Restricted Subsidiary of the Company issued on or after the Issue Date in accordance with the Fixed Charge Coverage Ratio test described in Section 4.09(a) hereof;</w:t>
      </w:r>
    </w:p>
    <w:p>
      <w:pPr>
        <w:spacing w:after="0" w:line="75" w:lineRule="exact"/>
        <w:rPr>
          <w:rFonts w:ascii="Arial" w:cs="Arial" w:eastAsia="Arial" w:hAnsi="Arial"/>
          <w:sz w:val="18"/>
          <w:szCs w:val="18"/>
          <w:color w:val="auto"/>
        </w:rPr>
      </w:pPr>
    </w:p>
    <w:p>
      <w:pPr>
        <w:ind w:right="600" w:firstLine="408"/>
        <w:spacing w:after="0" w:line="308" w:lineRule="auto"/>
        <w:tabs>
          <w:tab w:leader="none" w:pos="791" w:val="left"/>
        </w:tabs>
        <w:numPr>
          <w:ilvl w:val="0"/>
          <w:numId w:val="671"/>
        </w:numPr>
        <w:rPr>
          <w:rFonts w:ascii="Arial" w:cs="Arial" w:eastAsia="Arial" w:hAnsi="Arial"/>
          <w:sz w:val="17"/>
          <w:szCs w:val="17"/>
          <w:color w:val="auto"/>
        </w:rPr>
      </w:pPr>
      <w:r>
        <w:rPr>
          <w:rFonts w:ascii="Arial" w:cs="Arial" w:eastAsia="Arial" w:hAnsi="Arial"/>
          <w:sz w:val="17"/>
          <w:szCs w:val="17"/>
          <w:color w:val="auto"/>
        </w:rPr>
        <w:t>any Restricted Payment made or deemed to be made by the Company or a Restricted Subsidiary of the Company under, pursuant to or in connection with the Services and Right to Use Agreement, the Reinvestment Agreement or the MSA;</w:t>
      </w:r>
    </w:p>
    <w:p>
      <w:pPr>
        <w:spacing w:after="0" w:line="38" w:lineRule="exact"/>
        <w:rPr>
          <w:rFonts w:ascii="Arial" w:cs="Arial" w:eastAsia="Arial" w:hAnsi="Arial"/>
          <w:sz w:val="17"/>
          <w:szCs w:val="17"/>
          <w:color w:val="auto"/>
        </w:rPr>
      </w:pPr>
    </w:p>
    <w:p>
      <w:pPr>
        <w:ind w:left="840" w:hanging="432"/>
        <w:spacing w:after="0"/>
        <w:tabs>
          <w:tab w:leader="none" w:pos="84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40" w:hanging="532"/>
        <w:spacing w:after="0"/>
        <w:tabs>
          <w:tab w:leader="none" w:pos="94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117" w:lineRule="exact"/>
        <w:rPr>
          <w:rFonts w:ascii="Arial" w:cs="Arial" w:eastAsia="Arial" w:hAnsi="Arial"/>
          <w:sz w:val="18"/>
          <w:szCs w:val="18"/>
          <w:color w:val="auto"/>
        </w:rPr>
      </w:pPr>
    </w:p>
    <w:p>
      <w:pPr>
        <w:ind w:firstLine="408"/>
        <w:spacing w:after="0" w:line="263" w:lineRule="auto"/>
        <w:tabs>
          <w:tab w:leader="none" w:pos="87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payments to any parent entity in respect of directors’ fees, remuneration and expenses (including director and officer insurance (including premiums therefore)) to the extent relating to the Company and its Subsidiaries, in an aggregate amount not to exceed US$2.0 million per annum;</w:t>
      </w:r>
    </w:p>
    <w:p>
      <w:pPr>
        <w:spacing w:after="0" w:line="75" w:lineRule="exact"/>
        <w:rPr>
          <w:rFonts w:ascii="Arial" w:cs="Arial" w:eastAsia="Arial" w:hAnsi="Arial"/>
          <w:sz w:val="18"/>
          <w:szCs w:val="18"/>
          <w:color w:val="auto"/>
        </w:rPr>
      </w:pPr>
    </w:p>
    <w:p>
      <w:pPr>
        <w:ind w:left="940" w:hanging="532"/>
        <w:spacing w:after="0"/>
        <w:tabs>
          <w:tab w:leader="none" w:pos="94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making of Restricted Payments, if applicable:</w:t>
      </w:r>
    </w:p>
    <w:p>
      <w:pPr>
        <w:spacing w:after="0" w:line="117" w:lineRule="exact"/>
        <w:rPr>
          <w:rFonts w:ascii="Arial" w:cs="Arial" w:eastAsia="Arial" w:hAnsi="Arial"/>
          <w:sz w:val="18"/>
          <w:szCs w:val="18"/>
          <w:color w:val="auto"/>
        </w:rPr>
      </w:pPr>
    </w:p>
    <w:p>
      <w:pPr>
        <w:ind w:left="440" w:right="80" w:firstLine="391"/>
        <w:spacing w:after="0" w:line="285" w:lineRule="auto"/>
        <w:tabs>
          <w:tab w:leader="none" w:pos="1253" w:val="left"/>
        </w:tabs>
        <w:numPr>
          <w:ilvl w:val="1"/>
          <w:numId w:val="671"/>
        </w:numPr>
        <w:rPr>
          <w:rFonts w:ascii="Arial" w:cs="Arial" w:eastAsia="Arial" w:hAnsi="Arial"/>
          <w:sz w:val="16"/>
          <w:szCs w:val="16"/>
          <w:color w:val="auto"/>
        </w:rPr>
      </w:pPr>
      <w:r>
        <w:rPr>
          <w:rFonts w:ascii="Arial" w:cs="Arial" w:eastAsia="Arial" w:hAnsi="Arial"/>
          <w:sz w:val="16"/>
          <w:szCs w:val="16"/>
          <w:color w:val="auto"/>
        </w:rPr>
        <w:t>in amounts required for any direct or indirect parent of the Company to pay fees and expenses (including franchise or similar taxes) required to maintain its corporate existence, customary salary, bonus and other benefits payable to, and indemnities provided on behalf of, officers and employees of any direct or indirect parent of the Company and general corporate operating and overhead expenses of any direct or indirect parent of the Company in each case to the extent such fees and expenses are attributable to the ownership or operation of the Company, if applicable, and its Subsidiaries, in an aggregate amount not to exceed</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US$2.0 million per annum;</w:t>
      </w:r>
    </w:p>
    <w:p>
      <w:pPr>
        <w:spacing w:after="0" w:line="102" w:lineRule="exact"/>
        <w:rPr>
          <w:rFonts w:ascii="Arial" w:cs="Arial" w:eastAsia="Arial" w:hAnsi="Arial"/>
          <w:sz w:val="16"/>
          <w:szCs w:val="16"/>
          <w:color w:val="auto"/>
        </w:rPr>
      </w:pPr>
    </w:p>
    <w:p>
      <w:pPr>
        <w:jc w:val="both"/>
        <w:ind w:left="440" w:right="300" w:firstLine="391"/>
        <w:spacing w:after="0" w:line="301" w:lineRule="auto"/>
        <w:tabs>
          <w:tab w:leader="none" w:pos="1243" w:val="left"/>
        </w:tabs>
        <w:numPr>
          <w:ilvl w:val="1"/>
          <w:numId w:val="671"/>
        </w:numPr>
        <w:rPr>
          <w:rFonts w:ascii="Arial" w:cs="Arial" w:eastAsia="Arial" w:hAnsi="Arial"/>
          <w:sz w:val="16"/>
          <w:szCs w:val="16"/>
          <w:color w:val="auto"/>
        </w:rPr>
      </w:pPr>
      <w:r>
        <w:rPr>
          <w:rFonts w:ascii="Arial" w:cs="Arial" w:eastAsia="Arial" w:hAnsi="Arial"/>
          <w:sz w:val="16"/>
          <w:szCs w:val="16"/>
          <w:color w:val="auto"/>
        </w:rPr>
        <w:t xml:space="preserve">in amounts required for any direct or indirect parent of the Company, if applicable, to pay interest and/or principal on Indebtedness the proceeds of which have been contributed to the Company or any of its Restricted Subsidiaries prior to the Issue Date and that has been guaranteed by, or is otherwise considered Indebtedness of, the Company Incurred in accordance with Section 4.09;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amount of any such proceeds will be excluded from Section 4.07(a)(4)(C)(ii);</w:t>
      </w:r>
    </w:p>
    <w:p>
      <w:pPr>
        <w:spacing w:after="0" w:line="49" w:lineRule="exact"/>
        <w:rPr>
          <w:rFonts w:ascii="Arial" w:cs="Arial" w:eastAsia="Arial" w:hAnsi="Arial"/>
          <w:sz w:val="16"/>
          <w:szCs w:val="16"/>
          <w:color w:val="auto"/>
        </w:rPr>
      </w:pPr>
    </w:p>
    <w:p>
      <w:pPr>
        <w:ind w:left="440" w:right="80" w:firstLine="391"/>
        <w:spacing w:after="0" w:line="277" w:lineRule="auto"/>
        <w:tabs>
          <w:tab w:leader="none" w:pos="1243" w:val="left"/>
        </w:tabs>
        <w:numPr>
          <w:ilvl w:val="1"/>
          <w:numId w:val="671"/>
        </w:numPr>
        <w:rPr>
          <w:rFonts w:ascii="Arial" w:cs="Arial" w:eastAsia="Arial" w:hAnsi="Arial"/>
          <w:sz w:val="18"/>
          <w:szCs w:val="18"/>
          <w:color w:val="auto"/>
        </w:rPr>
      </w:pPr>
      <w:r>
        <w:rPr>
          <w:rFonts w:ascii="Arial" w:cs="Arial" w:eastAsia="Arial" w:hAnsi="Arial"/>
          <w:sz w:val="18"/>
          <w:szCs w:val="18"/>
          <w:color w:val="auto"/>
        </w:rPr>
        <w:t>in amounts required for any direct or indirect parent of the Company to pay fees and expenses, other than to Affiliates of the Company, related to any unsuccessful equity or debt offering of such parent; and</w:t>
      </w:r>
    </w:p>
    <w:p>
      <w:pPr>
        <w:spacing w:after="0" w:line="62" w:lineRule="exact"/>
        <w:rPr>
          <w:rFonts w:ascii="Arial" w:cs="Arial" w:eastAsia="Arial" w:hAnsi="Arial"/>
          <w:sz w:val="18"/>
          <w:szCs w:val="18"/>
          <w:color w:val="auto"/>
        </w:rPr>
      </w:pPr>
    </w:p>
    <w:p>
      <w:pPr>
        <w:ind w:left="440" w:right="680" w:firstLine="391"/>
        <w:spacing w:after="0" w:line="277" w:lineRule="auto"/>
        <w:tabs>
          <w:tab w:leader="none" w:pos="1253" w:val="left"/>
        </w:tabs>
        <w:numPr>
          <w:ilvl w:val="1"/>
          <w:numId w:val="671"/>
        </w:numPr>
        <w:rPr>
          <w:rFonts w:ascii="Arial" w:cs="Arial" w:eastAsia="Arial" w:hAnsi="Arial"/>
          <w:sz w:val="18"/>
          <w:szCs w:val="18"/>
          <w:color w:val="auto"/>
        </w:rPr>
      </w:pPr>
      <w:r>
        <w:rPr>
          <w:rFonts w:ascii="Arial" w:cs="Arial" w:eastAsia="Arial" w:hAnsi="Arial"/>
          <w:sz w:val="18"/>
          <w:szCs w:val="18"/>
          <w:color w:val="auto"/>
        </w:rPr>
        <w:t>payments for services under any Revenue Sharing Agreement that would constitute or be deemed to constitute a Restricted Payment;</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020"/>
          </w:cols>
          <w:pgMar w:left="1420" w:top="273" w:right="459" w:bottom="1440" w:gutter="0" w:footer="0" w:header="0"/>
        </w:sectPr>
      </w:pPr>
    </w:p>
    <w:bookmarkStart w:id="525" w:name="page526"/>
    <w:bookmarkEnd w:id="525"/>
    <w:p>
      <w:pPr>
        <w:ind w:left="980" w:right="20" w:firstLine="408"/>
        <w:spacing w:after="0" w:line="275" w:lineRule="auto"/>
        <w:tabs>
          <w:tab w:leader="none" w:pos="1860" w:val="left"/>
        </w:tabs>
        <w:numPr>
          <w:ilvl w:val="0"/>
          <w:numId w:val="6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Restricted Payment used to fund the Transactions and the payment of fees and expenses incurred in connection with the Transactions or owed by the Company or any direct or indirect parent of the Company or its Restricted Subsidiaries to Affiliates, and any other payments made, including any such payments made to any direct or indirect parent of the Company to enable it to make payments, in connection with the consummation of the Transactions, whether payable on the Issue Date or thereafter, in each case on terms described in the Offering Memorandum under “Use of Proceeds” and to the extent permitted by Section 4.11;</w:t>
      </w:r>
    </w:p>
    <w:p>
      <w:pPr>
        <w:spacing w:after="0" w:line="68" w:lineRule="exact"/>
        <w:rPr>
          <w:rFonts w:ascii="Arial" w:cs="Arial" w:eastAsia="Arial" w:hAnsi="Arial"/>
          <w:sz w:val="17"/>
          <w:szCs w:val="17"/>
          <w:color w:val="auto"/>
        </w:rPr>
      </w:pPr>
    </w:p>
    <w:p>
      <w:pPr>
        <w:ind w:left="980" w:right="40" w:firstLine="408"/>
        <w:spacing w:after="0" w:line="277" w:lineRule="auto"/>
        <w:tabs>
          <w:tab w:leader="none" w:pos="1860" w:val="left"/>
        </w:tabs>
        <w:numPr>
          <w:ilvl w:val="0"/>
          <w:numId w:val="672"/>
        </w:numPr>
        <w:rPr>
          <w:rFonts w:ascii="Arial" w:cs="Arial" w:eastAsia="Arial" w:hAnsi="Arial"/>
          <w:sz w:val="18"/>
          <w:szCs w:val="18"/>
          <w:color w:val="auto"/>
        </w:rPr>
      </w:pPr>
      <w:r>
        <w:rPr>
          <w:rFonts w:ascii="Arial" w:cs="Arial" w:eastAsia="Arial" w:hAnsi="Arial"/>
          <w:sz w:val="18"/>
          <w:szCs w:val="18"/>
          <w:color w:val="auto"/>
        </w:rPr>
        <w:t>any Restricted Payments, to the extent required to be made by any Gaming Authority having jurisdiction over the Company or any of its Restricted Subsidiaries or Melco Resorts Macau (or any other operator of the Studio City Casino);</w:t>
      </w:r>
    </w:p>
    <w:p>
      <w:pPr>
        <w:spacing w:after="0" w:line="62" w:lineRule="exact"/>
        <w:rPr>
          <w:rFonts w:ascii="Arial" w:cs="Arial" w:eastAsia="Arial" w:hAnsi="Arial"/>
          <w:sz w:val="18"/>
          <w:szCs w:val="18"/>
          <w:color w:val="auto"/>
        </w:rPr>
      </w:pPr>
    </w:p>
    <w:p>
      <w:pPr>
        <w:ind w:left="980" w:right="300" w:firstLine="408"/>
        <w:spacing w:after="0" w:line="263" w:lineRule="auto"/>
        <w:tabs>
          <w:tab w:leader="none" w:pos="1860" w:val="left"/>
        </w:tabs>
        <w:numPr>
          <w:ilvl w:val="0"/>
          <w:numId w:val="672"/>
        </w:numPr>
        <w:rPr>
          <w:rFonts w:ascii="Arial" w:cs="Arial" w:eastAsia="Arial" w:hAnsi="Arial"/>
          <w:sz w:val="18"/>
          <w:szCs w:val="18"/>
          <w:color w:val="auto"/>
        </w:rPr>
      </w:pPr>
      <w:r>
        <w:rPr>
          <w:rFonts w:ascii="Arial" w:cs="Arial" w:eastAsia="Arial" w:hAnsi="Arial"/>
          <w:sz w:val="18"/>
          <w:szCs w:val="18"/>
          <w:color w:val="auto"/>
        </w:rPr>
        <w:t xml:space="preserve">cash payments in lieu of the issuance of fractional shares in connection with the exercise of warrants, options or other securities convertible into or exchangeable for Capital Stock of the Company or any Restricted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cash payment shall not be for the purpose of evading the limitation of this Section 4.07;</w:t>
      </w:r>
    </w:p>
    <w:p>
      <w:pPr>
        <w:spacing w:after="0" w:line="75" w:lineRule="exact"/>
        <w:rPr>
          <w:rFonts w:ascii="Arial" w:cs="Arial" w:eastAsia="Arial" w:hAnsi="Arial"/>
          <w:sz w:val="18"/>
          <w:szCs w:val="18"/>
          <w:color w:val="auto"/>
        </w:rPr>
      </w:pPr>
    </w:p>
    <w:p>
      <w:pPr>
        <w:ind w:left="980" w:right="60" w:firstLine="408"/>
        <w:spacing w:after="0" w:line="311" w:lineRule="auto"/>
        <w:tabs>
          <w:tab w:leader="none" w:pos="1860" w:val="left"/>
        </w:tabs>
        <w:numPr>
          <w:ilvl w:val="0"/>
          <w:numId w:val="672"/>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Subordinated Indebtedness of the Company or any Subsidiary Guarantor pursuant to provisions similar to those described under Section 4.15,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all Notes tendered by holders of the Notes in connection with a Change of Control Offer have been repurchased, redeemed or acquired for value;</w:t>
      </w:r>
    </w:p>
    <w:p>
      <w:pPr>
        <w:spacing w:after="0" w:line="40" w:lineRule="exact"/>
        <w:rPr>
          <w:rFonts w:ascii="Arial" w:cs="Arial" w:eastAsia="Arial" w:hAnsi="Arial"/>
          <w:sz w:val="16"/>
          <w:szCs w:val="16"/>
          <w:color w:val="auto"/>
        </w:rPr>
      </w:pPr>
    </w:p>
    <w:p>
      <w:pPr>
        <w:ind w:left="980" w:firstLine="408"/>
        <w:spacing w:after="0" w:line="275" w:lineRule="auto"/>
        <w:tabs>
          <w:tab w:leader="none" w:pos="186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 xml:space="preserve">payments or distributions to dissenting stockholders of Capital Stock of the Company pursuant to applicable law in connection with a consolidation, merger or transfer of all or substantially all of the assets of the Company and its Restricted Subsidiaries, taken as a whole, that complies with Section 5.01;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as a result of such consolidation, merger or transfer of assets, the Company shall have made a Change of Control Offer (if required by this Indenture) and that all Notes tendered by holders in connection with such Change of Control Offer have been repurchased, redeemed or acquired for value; and</w:t>
      </w:r>
    </w:p>
    <w:p>
      <w:pPr>
        <w:spacing w:after="0" w:line="68" w:lineRule="exact"/>
        <w:rPr>
          <w:rFonts w:ascii="Arial" w:cs="Arial" w:eastAsia="Arial" w:hAnsi="Arial"/>
          <w:sz w:val="17"/>
          <w:szCs w:val="17"/>
          <w:color w:val="auto"/>
        </w:rPr>
      </w:pPr>
    </w:p>
    <w:p>
      <w:pPr>
        <w:ind w:left="1860" w:hanging="472"/>
        <w:spacing w:after="0"/>
        <w:tabs>
          <w:tab w:leader="none" w:pos="1860" w:val="left"/>
        </w:tabs>
        <w:numPr>
          <w:ilvl w:val="0"/>
          <w:numId w:val="672"/>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US$15.0 million since the Issue Date,</w:t>
      </w:r>
    </w:p>
    <w:p>
      <w:pPr>
        <w:spacing w:after="0" w:line="22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at the time of, and after giving effect to, any Restricted Payment permitted under clauses (12), (13) and (18)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4.07(b), no Default shall have occurred and be continuing or would occur as a consequence thereof.</w:t>
      </w:r>
    </w:p>
    <w:p>
      <w:pPr>
        <w:spacing w:after="0" w:line="170"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The amount of all Restricted Payments (other than cash) will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4.07 will be determined by the Board of Directors of the Company whose resolution with respect thereto will be delivered to the Trustee as set forth in an Officer’s Certificate of the Company. The Company’s Board of Directors’ determination must be based upon an opinion or appraisal issued by an accounting, appraisal or investment banking firm of international standing (an “</w:t>
      </w:r>
      <w:r>
        <w:rPr>
          <w:rFonts w:ascii="Arial" w:cs="Arial" w:eastAsia="Arial" w:hAnsi="Arial"/>
          <w:sz w:val="17"/>
          <w:szCs w:val="17"/>
          <w:i w:val="1"/>
          <w:iCs w:val="1"/>
          <w:color w:val="auto"/>
        </w:rPr>
        <w:t>Independent Financial Advisor</w:t>
      </w:r>
      <w:r>
        <w:rPr>
          <w:rFonts w:ascii="Arial" w:cs="Arial" w:eastAsia="Arial" w:hAnsi="Arial"/>
          <w:sz w:val="17"/>
          <w:szCs w:val="17"/>
          <w:color w:val="auto"/>
        </w:rPr>
        <w:t>”) if the Fair Market Value exceeds US$45.0 million.</w:t>
      </w:r>
    </w:p>
    <w:p>
      <w:pPr>
        <w:spacing w:after="0" w:line="28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Dividend and Other Payment Restrictions Affecting Subsidiaries.</w:t>
      </w:r>
    </w:p>
    <w:p>
      <w:pPr>
        <w:spacing w:after="0" w:line="117" w:lineRule="exact"/>
        <w:rPr>
          <w:sz w:val="20"/>
          <w:szCs w:val="20"/>
          <w:color w:val="auto"/>
        </w:rPr>
      </w:pPr>
    </w:p>
    <w:p>
      <w:pPr>
        <w:ind w:right="420" w:firstLine="987"/>
        <w:spacing w:after="0" w:line="308" w:lineRule="auto"/>
        <w:tabs>
          <w:tab w:leader="none" w:pos="1413" w:val="left"/>
        </w:tabs>
        <w:numPr>
          <w:ilvl w:val="0"/>
          <w:numId w:val="673"/>
        </w:numPr>
        <w:rPr>
          <w:rFonts w:ascii="Arial" w:cs="Arial" w:eastAsia="Arial" w:hAnsi="Arial"/>
          <w:sz w:val="17"/>
          <w:szCs w:val="17"/>
          <w:color w:val="auto"/>
        </w:rPr>
      </w:pPr>
      <w:r>
        <w:rPr>
          <w:rFonts w:ascii="Arial" w:cs="Arial" w:eastAsia="Arial" w:hAnsi="Arial"/>
          <w:sz w:val="17"/>
          <w:szCs w:val="17"/>
          <w:color w:val="auto"/>
        </w:rPr>
        <w:t>The Company will not, and will not permit any of its Restricted Subsidiaries to, directly or indirectly, create or otherwise cause, permit or suffer to exist or become effective any consensual encumbrance or restriction on the ability of any Restricted Subsidiary to:</w:t>
      </w:r>
    </w:p>
    <w:p>
      <w:pPr>
        <w:spacing w:after="0" w:line="38" w:lineRule="exact"/>
        <w:rPr>
          <w:rFonts w:ascii="Arial" w:cs="Arial" w:eastAsia="Arial" w:hAnsi="Arial"/>
          <w:sz w:val="17"/>
          <w:szCs w:val="17"/>
          <w:color w:val="auto"/>
        </w:rPr>
      </w:pPr>
    </w:p>
    <w:p>
      <w:pPr>
        <w:ind w:left="980" w:right="40" w:firstLine="408"/>
        <w:spacing w:after="0" w:line="263" w:lineRule="auto"/>
        <w:tabs>
          <w:tab w:leader="none" w:pos="1816" w:val="left"/>
        </w:tabs>
        <w:numPr>
          <w:ilvl w:val="1"/>
          <w:numId w:val="673"/>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3" w:right="439" w:bottom="1440" w:gutter="0" w:footer="0" w:header="0"/>
        </w:sectPr>
      </w:pPr>
    </w:p>
    <w:bookmarkStart w:id="526" w:name="page527"/>
    <w:bookmarkEnd w:id="526"/>
    <w:p>
      <w:pPr>
        <w:ind w:left="833" w:hanging="432"/>
        <w:spacing w:after="0"/>
        <w:tabs>
          <w:tab w:leader="none" w:pos="833" w:val="left"/>
        </w:tabs>
        <w:numPr>
          <w:ilvl w:val="1"/>
          <w:numId w:val="6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loans or advances to the Company or any of its Restricted Subsidiaries; or</w:t>
      </w:r>
    </w:p>
    <w:p>
      <w:pPr>
        <w:spacing w:after="0" w:line="117" w:lineRule="exact"/>
        <w:rPr>
          <w:rFonts w:ascii="Arial" w:cs="Arial" w:eastAsia="Arial" w:hAnsi="Arial"/>
          <w:sz w:val="18"/>
          <w:szCs w:val="18"/>
          <w:color w:val="auto"/>
        </w:rPr>
      </w:pPr>
    </w:p>
    <w:p>
      <w:pPr>
        <w:ind w:left="793" w:hanging="392"/>
        <w:spacing w:after="0"/>
        <w:tabs>
          <w:tab w:leader="none" w:pos="793" w:val="left"/>
        </w:tabs>
        <w:numPr>
          <w:ilvl w:val="1"/>
          <w:numId w:val="674"/>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Company or any of its Restricted Subsidiaries.</w:t>
      </w:r>
    </w:p>
    <w:p>
      <w:pPr>
        <w:spacing w:after="0" w:line="225" w:lineRule="exact"/>
        <w:rPr>
          <w:rFonts w:ascii="Arial" w:cs="Arial" w:eastAsia="Arial" w:hAnsi="Arial"/>
          <w:sz w:val="18"/>
          <w:szCs w:val="18"/>
          <w:color w:val="auto"/>
        </w:rPr>
      </w:pPr>
    </w:p>
    <w:p>
      <w:pPr>
        <w:ind w:left="393" w:hanging="393"/>
        <w:spacing w:after="0"/>
        <w:tabs>
          <w:tab w:leader="none" w:pos="393"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The restrictions in Section 4.08(a) hereof will not apply to encumbrances or restrictions existing under or by reason of:</w:t>
      </w:r>
    </w:p>
    <w:p>
      <w:pPr>
        <w:spacing w:after="0" w:line="117" w:lineRule="exact"/>
        <w:rPr>
          <w:rFonts w:ascii="Arial" w:cs="Arial" w:eastAsia="Arial" w:hAnsi="Arial"/>
          <w:sz w:val="18"/>
          <w:szCs w:val="18"/>
          <w:color w:val="auto"/>
        </w:rPr>
      </w:pPr>
    </w:p>
    <w:p>
      <w:pPr>
        <w:ind w:left="-7" w:right="60" w:firstLine="408"/>
        <w:spacing w:after="0" w:line="257" w:lineRule="auto"/>
        <w:tabs>
          <w:tab w:leader="none" w:pos="783" w:val="left"/>
        </w:tabs>
        <w:numPr>
          <w:ilvl w:val="1"/>
          <w:numId w:val="675"/>
        </w:numPr>
        <w:rPr>
          <w:rFonts w:ascii="Arial" w:cs="Arial" w:eastAsia="Arial" w:hAnsi="Arial"/>
          <w:sz w:val="18"/>
          <w:szCs w:val="18"/>
          <w:color w:val="auto"/>
        </w:rPr>
      </w:pPr>
      <w:r>
        <w:rPr>
          <w:rFonts w:ascii="Arial" w:cs="Arial" w:eastAsia="Arial" w:hAnsi="Arial"/>
          <w:sz w:val="18"/>
          <w:szCs w:val="18"/>
          <w:color w:val="auto"/>
        </w:rPr>
        <w:t xml:space="preserve">agreements governing Indebtedness or any other agreements in existence on the Issue Date as in effect on the Issue Date and any amendments, restatements, modifications, renewals, supplements, refundings, replacements or refinancings of those agreements;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the amendments, restatements, modifications, renewals, supplements, refundings, replacements or refinancings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more restrictive, taken as a whole, with respect to such dividend and other restrictions than those contained in those agreements on the Issue Date;</w:t>
      </w:r>
    </w:p>
    <w:p>
      <w:pPr>
        <w:spacing w:after="0" w:line="79" w:lineRule="exact"/>
        <w:rPr>
          <w:rFonts w:ascii="Arial" w:cs="Arial" w:eastAsia="Arial" w:hAnsi="Arial"/>
          <w:sz w:val="18"/>
          <w:szCs w:val="18"/>
          <w:color w:val="auto"/>
        </w:rPr>
      </w:pPr>
    </w:p>
    <w:p>
      <w:pPr>
        <w:ind w:left="-7" w:right="20" w:firstLine="408"/>
        <w:spacing w:after="0" w:line="257" w:lineRule="auto"/>
        <w:tabs>
          <w:tab w:leader="none" w:pos="783" w:val="left"/>
        </w:tabs>
        <w:numPr>
          <w:ilvl w:val="1"/>
          <w:numId w:val="675"/>
        </w:numPr>
        <w:rPr>
          <w:rFonts w:ascii="Arial" w:cs="Arial" w:eastAsia="Arial" w:hAnsi="Arial"/>
          <w:sz w:val="18"/>
          <w:szCs w:val="18"/>
          <w:color w:val="auto"/>
        </w:rPr>
      </w:pPr>
      <w:r>
        <w:rPr>
          <w:rFonts w:ascii="Arial" w:cs="Arial" w:eastAsia="Arial" w:hAnsi="Arial"/>
          <w:sz w:val="18"/>
          <w:szCs w:val="18"/>
          <w:color w:val="auto"/>
        </w:rPr>
        <w:t xml:space="preserve">the Credit Facilities Documents (other than the Senior Secured Credit Facilities), and any amendments, restatements, modifications, renewals, supplements, refundings, replacements or refinancings of those agreements;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Credit Facilities Documents and the amendments, restatements, modifications, renewals, supplements, refundings, replacements or refinancings thereof are not materially more restrictive, taken as a whole, with respect to such dividend and the other restrictions than those contained in the Senior Secured Credit Facilities;</w:t>
      </w:r>
    </w:p>
    <w:p>
      <w:pPr>
        <w:spacing w:after="0" w:line="79" w:lineRule="exact"/>
        <w:rPr>
          <w:rFonts w:ascii="Arial" w:cs="Arial" w:eastAsia="Arial" w:hAnsi="Arial"/>
          <w:sz w:val="18"/>
          <w:szCs w:val="18"/>
          <w:color w:val="auto"/>
        </w:rPr>
      </w:pPr>
    </w:p>
    <w:p>
      <w:pPr>
        <w:ind w:left="833" w:hanging="432"/>
        <w:spacing w:after="0"/>
        <w:tabs>
          <w:tab w:leader="none" w:pos="833" w:val="left"/>
        </w:tabs>
        <w:numPr>
          <w:ilvl w:val="1"/>
          <w:numId w:val="675"/>
        </w:numPr>
        <w:rPr>
          <w:rFonts w:ascii="Arial" w:cs="Arial" w:eastAsia="Arial" w:hAnsi="Arial"/>
          <w:sz w:val="18"/>
          <w:szCs w:val="18"/>
          <w:color w:val="auto"/>
        </w:rPr>
      </w:pPr>
      <w:r>
        <w:rPr>
          <w:rFonts w:ascii="Arial" w:cs="Arial" w:eastAsia="Arial" w:hAnsi="Arial"/>
          <w:sz w:val="18"/>
          <w:szCs w:val="18"/>
          <w:color w:val="auto"/>
        </w:rPr>
        <w:t>the Indenture, the Notes and the Note Guarantees;</w:t>
      </w:r>
    </w:p>
    <w:p>
      <w:pPr>
        <w:spacing w:after="0" w:line="117" w:lineRule="exact"/>
        <w:rPr>
          <w:rFonts w:ascii="Arial" w:cs="Arial" w:eastAsia="Arial" w:hAnsi="Arial"/>
          <w:sz w:val="18"/>
          <w:szCs w:val="18"/>
          <w:color w:val="auto"/>
        </w:rPr>
      </w:pPr>
    </w:p>
    <w:p>
      <w:pPr>
        <w:ind w:left="833" w:hanging="432"/>
        <w:spacing w:after="0"/>
        <w:tabs>
          <w:tab w:leader="none" w:pos="833" w:val="left"/>
        </w:tabs>
        <w:numPr>
          <w:ilvl w:val="1"/>
          <w:numId w:val="675"/>
        </w:numPr>
        <w:rPr>
          <w:rFonts w:ascii="Arial" w:cs="Arial" w:eastAsia="Arial" w:hAnsi="Arial"/>
          <w:sz w:val="18"/>
          <w:szCs w:val="18"/>
          <w:color w:val="auto"/>
        </w:rPr>
      </w:pPr>
      <w:r>
        <w:rPr>
          <w:rFonts w:ascii="Arial" w:cs="Arial" w:eastAsia="Arial" w:hAnsi="Arial"/>
          <w:sz w:val="18"/>
          <w:szCs w:val="18"/>
          <w:color w:val="auto"/>
        </w:rPr>
        <w:t>applicable law, rule, regulation or order, or governmental license, permit or concession;</w:t>
      </w:r>
    </w:p>
    <w:p>
      <w:pPr>
        <w:spacing w:after="0" w:line="117" w:lineRule="exact"/>
        <w:rPr>
          <w:rFonts w:ascii="Arial" w:cs="Arial" w:eastAsia="Arial" w:hAnsi="Arial"/>
          <w:sz w:val="18"/>
          <w:szCs w:val="18"/>
          <w:color w:val="auto"/>
        </w:rPr>
      </w:pPr>
    </w:p>
    <w:p>
      <w:pPr>
        <w:ind w:left="-7" w:firstLine="408"/>
        <w:spacing w:after="0" w:line="270" w:lineRule="auto"/>
        <w:tabs>
          <w:tab w:leader="none" w:pos="783" w:val="left"/>
        </w:tabs>
        <w:numPr>
          <w:ilvl w:val="1"/>
          <w:numId w:val="675"/>
        </w:numPr>
        <w:rPr>
          <w:rFonts w:ascii="Arial" w:cs="Arial" w:eastAsia="Arial" w:hAnsi="Arial"/>
          <w:sz w:val="17"/>
          <w:szCs w:val="17"/>
          <w:color w:val="auto"/>
        </w:rPr>
      </w:pPr>
      <w:r>
        <w:rPr>
          <w:rFonts w:ascii="Arial" w:cs="Arial" w:eastAsia="Arial" w:hAnsi="Arial"/>
          <w:sz w:val="17"/>
          <w:szCs w:val="17"/>
          <w:color w:val="auto"/>
        </w:rPr>
        <w:t xml:space="preserve">any agreement or instrument governing Indebtedness or Capital Stock of a Person or assets acquired by the Company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(and any amendments, restatements, modifications, renewals, supplements, refundings, replacements or refinancings of those agreements or instruments;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w:t>
      </w:r>
      <w:r>
        <w:rPr>
          <w:rFonts w:ascii="Arial" w:cs="Arial" w:eastAsia="Arial" w:hAnsi="Arial"/>
          <w:sz w:val="17"/>
          <w:szCs w:val="17"/>
          <w:color w:val="auto"/>
        </w:rPr>
        <w:t>the amendments, restatements, modifications, renewals, supplements, refundings, replacements or refinancings are not materially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more restrictive, taken as a whole, with respect to such dividend and other restrictions than those contained in those agreements or instruments at the time of such acquisition); </w:t>
      </w:r>
      <w:r>
        <w:rPr>
          <w:rFonts w:ascii="Arial" w:cs="Arial" w:eastAsia="Arial" w:hAnsi="Arial"/>
          <w:sz w:val="17"/>
          <w:szCs w:val="17"/>
          <w:i w:val="1"/>
          <w:iCs w:val="1"/>
          <w:color w:val="auto"/>
        </w:rPr>
        <w:t>provided further, that</w:t>
      </w:r>
      <w:r>
        <w:rPr>
          <w:rFonts w:ascii="Arial" w:cs="Arial" w:eastAsia="Arial" w:hAnsi="Arial"/>
          <w:sz w:val="17"/>
          <w:szCs w:val="17"/>
          <w:color w:val="auto"/>
        </w:rPr>
        <w:t>, in the case of Indebtedness, such Indebtedness was permitted by the terms of this Indenture to be Incurred;</w:t>
      </w:r>
    </w:p>
    <w:p>
      <w:pPr>
        <w:spacing w:after="0" w:line="72" w:lineRule="exact"/>
        <w:rPr>
          <w:rFonts w:ascii="Arial" w:cs="Arial" w:eastAsia="Arial" w:hAnsi="Arial"/>
          <w:sz w:val="17"/>
          <w:szCs w:val="17"/>
          <w:color w:val="auto"/>
        </w:rPr>
      </w:pPr>
    </w:p>
    <w:p>
      <w:pPr>
        <w:ind w:left="-7" w:right="280" w:firstLine="408"/>
        <w:spacing w:after="0" w:line="277" w:lineRule="auto"/>
        <w:tabs>
          <w:tab w:leader="none" w:pos="783" w:val="left"/>
        </w:tabs>
        <w:numPr>
          <w:ilvl w:val="1"/>
          <w:numId w:val="675"/>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including, without limitation, with respect to any intellectual property, entered into in the ordinary course of business;</w:t>
      </w:r>
    </w:p>
    <w:p>
      <w:pPr>
        <w:spacing w:after="0" w:line="62" w:lineRule="exact"/>
        <w:rPr>
          <w:rFonts w:ascii="Arial" w:cs="Arial" w:eastAsia="Arial" w:hAnsi="Arial"/>
          <w:sz w:val="18"/>
          <w:szCs w:val="18"/>
          <w:color w:val="auto"/>
        </w:rPr>
      </w:pPr>
    </w:p>
    <w:p>
      <w:pPr>
        <w:ind w:left="-7" w:right="60" w:firstLine="408"/>
        <w:spacing w:after="0" w:line="277" w:lineRule="auto"/>
        <w:tabs>
          <w:tab w:leader="none" w:pos="783" w:val="left"/>
        </w:tabs>
        <w:numPr>
          <w:ilvl w:val="1"/>
          <w:numId w:val="675"/>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Section 4.08(a)(3);</w:t>
      </w:r>
    </w:p>
    <w:p>
      <w:pPr>
        <w:spacing w:after="0" w:line="62" w:lineRule="exact"/>
        <w:rPr>
          <w:rFonts w:ascii="Arial" w:cs="Arial" w:eastAsia="Arial" w:hAnsi="Arial"/>
          <w:sz w:val="18"/>
          <w:szCs w:val="18"/>
          <w:color w:val="auto"/>
        </w:rPr>
      </w:pPr>
    </w:p>
    <w:p>
      <w:pPr>
        <w:ind w:left="-7" w:right="160" w:firstLine="408"/>
        <w:spacing w:after="0" w:line="277" w:lineRule="auto"/>
        <w:tabs>
          <w:tab w:leader="none" w:pos="783" w:val="left"/>
        </w:tabs>
        <w:numPr>
          <w:ilvl w:val="1"/>
          <w:numId w:val="675"/>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Equity Interests or property or assets of a Restricted Subsidiary that restricts distributions by that Restricted Subsidiary pending the sale or other disposition;</w:t>
      </w:r>
    </w:p>
    <w:p>
      <w:pPr>
        <w:spacing w:after="0" w:line="62" w:lineRule="exact"/>
        <w:rPr>
          <w:rFonts w:ascii="Arial" w:cs="Arial" w:eastAsia="Arial" w:hAnsi="Arial"/>
          <w:sz w:val="18"/>
          <w:szCs w:val="18"/>
          <w:color w:val="auto"/>
        </w:rPr>
      </w:pPr>
    </w:p>
    <w:p>
      <w:pPr>
        <w:jc w:val="both"/>
        <w:ind w:left="-7" w:right="440" w:firstLine="408"/>
        <w:spacing w:after="0" w:line="263" w:lineRule="auto"/>
        <w:tabs>
          <w:tab w:leader="none" w:pos="783" w:val="left"/>
        </w:tabs>
        <w:numPr>
          <w:ilvl w:val="1"/>
          <w:numId w:val="675"/>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restrictions contained in the agreements governing such Permitted Refinancing Indebtedness are not materially more restrictive, taken as a whole, than those contained in the agreements governing the Indebtedness being refinanced;</w:t>
      </w:r>
    </w:p>
    <w:p>
      <w:pPr>
        <w:spacing w:after="0" w:line="116"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013"/>
          </w:cols>
          <w:pgMar w:left="1427" w:top="273" w:right="459" w:bottom="1440" w:gutter="0" w:footer="0" w:header="0"/>
        </w:sectPr>
      </w:pPr>
    </w:p>
    <w:bookmarkStart w:id="527" w:name="page528"/>
    <w:bookmarkEnd w:id="527"/>
    <w:p>
      <w:pPr>
        <w:ind w:left="960" w:right="260" w:firstLine="408"/>
        <w:spacing w:after="0" w:line="277" w:lineRule="auto"/>
        <w:tabs>
          <w:tab w:leader="none" w:pos="1840" w:val="left"/>
        </w:tabs>
        <w:numPr>
          <w:ilvl w:val="0"/>
          <w:numId w:val="6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permitted to be incurred under the provisions of Section 4.12 hereof that limit the right of the debtor to dispose of the assets subject to such Liens;</w:t>
      </w:r>
    </w:p>
    <w:p>
      <w:pPr>
        <w:spacing w:after="0" w:line="62" w:lineRule="exact"/>
        <w:rPr>
          <w:rFonts w:ascii="Arial" w:cs="Arial" w:eastAsia="Arial" w:hAnsi="Arial"/>
          <w:sz w:val="18"/>
          <w:szCs w:val="18"/>
          <w:color w:val="auto"/>
        </w:rPr>
      </w:pPr>
    </w:p>
    <w:p>
      <w:pPr>
        <w:ind w:left="960" w:right="60" w:firstLine="408"/>
        <w:spacing w:after="0" w:line="259" w:lineRule="auto"/>
        <w:tabs>
          <w:tab w:leader="none" w:pos="1834" w:val="left"/>
        </w:tabs>
        <w:numPr>
          <w:ilvl w:val="0"/>
          <w:numId w:val="676"/>
        </w:numPr>
        <w:rPr>
          <w:rFonts w:ascii="Arial" w:cs="Arial" w:eastAsia="Arial" w:hAnsi="Arial"/>
          <w:sz w:val="18"/>
          <w:szCs w:val="18"/>
          <w:color w:val="auto"/>
        </w:rPr>
      </w:pPr>
      <w:r>
        <w:rPr>
          <w:rFonts w:ascii="Arial" w:cs="Arial" w:eastAsia="Arial" w:hAnsi="Arial"/>
          <w:sz w:val="18"/>
          <w:szCs w:val="18"/>
          <w:color w:val="auto"/>
        </w:rPr>
        <w:t>provisions limiting dividends or the disposition or distribution of assets, property or Equity Interests in joint venture or operating agreements, asset sale agreements, sale-leaseback agreements, stock sale agreements, merger agreements and other similar agreements entered into with the approval of the Company’s Board of Directors, which limitation is applicable only to the assets, property or Equity Interests that are the subject of such agreements;</w:t>
      </w:r>
    </w:p>
    <w:p>
      <w:pPr>
        <w:spacing w:after="0" w:line="78" w:lineRule="exact"/>
        <w:rPr>
          <w:rFonts w:ascii="Arial" w:cs="Arial" w:eastAsia="Arial" w:hAnsi="Arial"/>
          <w:sz w:val="18"/>
          <w:szCs w:val="18"/>
          <w:color w:val="auto"/>
        </w:rPr>
      </w:pPr>
    </w:p>
    <w:p>
      <w:pPr>
        <w:ind w:left="960" w:right="540" w:firstLine="408"/>
        <w:spacing w:after="0" w:line="277" w:lineRule="auto"/>
        <w:tabs>
          <w:tab w:leader="none" w:pos="184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or suppliers under contracts entered into in the ordinary course of business; and</w:t>
      </w:r>
    </w:p>
    <w:p>
      <w:pPr>
        <w:spacing w:after="0" w:line="62" w:lineRule="exact"/>
        <w:rPr>
          <w:rFonts w:ascii="Arial" w:cs="Arial" w:eastAsia="Arial" w:hAnsi="Arial"/>
          <w:sz w:val="18"/>
          <w:szCs w:val="18"/>
          <w:color w:val="auto"/>
        </w:rPr>
      </w:pPr>
    </w:p>
    <w:p>
      <w:pPr>
        <w:ind w:left="960" w:firstLine="408"/>
        <w:spacing w:after="0" w:line="271" w:lineRule="auto"/>
        <w:tabs>
          <w:tab w:leader="none" w:pos="1840" w:val="left"/>
        </w:tabs>
        <w:numPr>
          <w:ilvl w:val="0"/>
          <w:numId w:val="676"/>
        </w:numPr>
        <w:rPr>
          <w:rFonts w:ascii="Arial" w:cs="Arial" w:eastAsia="Arial" w:hAnsi="Arial"/>
          <w:sz w:val="17"/>
          <w:szCs w:val="17"/>
          <w:color w:val="auto"/>
        </w:rPr>
      </w:pPr>
      <w:r>
        <w:rPr>
          <w:rFonts w:ascii="Arial" w:cs="Arial" w:eastAsia="Arial" w:hAnsi="Arial"/>
          <w:sz w:val="17"/>
          <w:szCs w:val="17"/>
          <w:color w:val="auto"/>
        </w:rPr>
        <w:t xml:space="preserve">any agreement or instrument with respect to any Unrestricted Subsidiary or the property or assets of such Unrestricted Subsidiary that is designated as a Restricted Subsidiary in accordance with the terms of this Indenture at the time of such designation and not incurred in contemplation of such designation, which encumbrances or restrictions are not applicable to any Person or the property or assets of any Person other than such Subsidiary or its subsidiaries or the property or assets of such Subsidiary or its subsidiaries, and any extensions, refinancing, renewals, supplements or amendments or replacements thereof;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encumbrances and restrictions in any such extension, refinancing, renewal, supplement, amendment or replacement, taken as a whole, are no more restrictive in any material respect than those encumbrances or restrictions that are then in effect and that are being extended, refinanced, renewed, supplemented, amended or replaced.</w:t>
      </w:r>
    </w:p>
    <w:p>
      <w:pPr>
        <w:spacing w:after="0" w:line="286"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Limitation on Incurrence of Indebtedness and Issuance of Disqualified Stock and Preferred Stock.</w:t>
      </w:r>
    </w:p>
    <w:p>
      <w:pPr>
        <w:spacing w:after="0" w:line="117" w:lineRule="exact"/>
        <w:rPr>
          <w:sz w:val="20"/>
          <w:szCs w:val="20"/>
          <w:color w:val="auto"/>
        </w:rPr>
      </w:pPr>
    </w:p>
    <w:p>
      <w:pPr>
        <w:ind w:left="-20" w:right="120" w:firstLine="987"/>
        <w:spacing w:after="0" w:line="289" w:lineRule="auto"/>
        <w:tabs>
          <w:tab w:leader="none" w:pos="1348" w:val="left"/>
        </w:tabs>
        <w:numPr>
          <w:ilvl w:val="0"/>
          <w:numId w:val="677"/>
        </w:numPr>
        <w:rPr>
          <w:rFonts w:ascii="Arial" w:cs="Arial" w:eastAsia="Arial" w:hAnsi="Arial"/>
          <w:sz w:val="16"/>
          <w:szCs w:val="16"/>
          <w:color w:val="auto"/>
        </w:rPr>
      </w:pPr>
      <w:r>
        <w:rPr>
          <w:rFonts w:ascii="Arial" w:cs="Arial" w:eastAsia="Arial" w:hAnsi="Arial"/>
          <w:sz w:val="16"/>
          <w:szCs w:val="16"/>
          <w:color w:val="auto"/>
        </w:rPr>
        <w:t xml:space="preserve">The Company will not, and will not permit any of its Restricted Subsidiaries to, directly or indirectly, Incur any Indebtedness (including Acquired Indebtedness) and the Company will not issue any shares of Disqualified Stock and the Company will not, and the Company will not permit any of its Restricted Subsidiaries, to issue any shares of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Incur Indebtedness (including Acquired Indebtedness) or issue Disqualified Stock, and the Company or any Subsidiary Guarantor may Incur Indebtedness (including Acquired Indebtedness) or issue Preferred Stock, if the Fixed Charge Coverage Ratio of the Company for the most recently ended four full fiscal quarters for which internal financial statements are available immediately preceding the date on which such additional Indebtedness is Incurred or such Disqualified Stock or Preferred Stock is issued, as the case may be, would have been at least 2.00 to 1.00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spacing w:after="0" w:line="166" w:lineRule="exact"/>
        <w:rPr>
          <w:rFonts w:ascii="Arial" w:cs="Arial" w:eastAsia="Arial" w:hAnsi="Arial"/>
          <w:sz w:val="16"/>
          <w:szCs w:val="16"/>
          <w:color w:val="auto"/>
        </w:rPr>
      </w:pPr>
    </w:p>
    <w:p>
      <w:pPr>
        <w:ind w:left="1360" w:hanging="393"/>
        <w:spacing w:after="0"/>
        <w:tabs>
          <w:tab w:leader="none" w:pos="136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provisions of Section 4.09(a) hereof do not apply to the following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60" w:right="20" w:firstLine="408"/>
        <w:spacing w:after="0" w:line="271" w:lineRule="auto"/>
        <w:tabs>
          <w:tab w:leader="none" w:pos="1751" w:val="left"/>
        </w:tabs>
        <w:numPr>
          <w:ilvl w:val="1"/>
          <w:numId w:val="677"/>
        </w:numPr>
        <w:rPr>
          <w:rFonts w:ascii="Arial" w:cs="Arial" w:eastAsia="Arial" w:hAnsi="Arial"/>
          <w:sz w:val="17"/>
          <w:szCs w:val="17"/>
          <w:color w:val="auto"/>
        </w:rPr>
      </w:pPr>
      <w:r>
        <w:rPr>
          <w:rFonts w:ascii="Arial" w:cs="Arial" w:eastAsia="Arial" w:hAnsi="Arial"/>
          <w:sz w:val="17"/>
          <w:szCs w:val="17"/>
          <w:color w:val="auto"/>
        </w:rPr>
        <w:t xml:space="preserve">the Incurrence by the Company and the Subsidiary Guarantors of Indebtedness under Credit Facilities;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 the date of the Incurrence of any such Indebtedness and after giving effect thereto, the aggregate principal amount outstanding of all such Indebtedness Incurred pursuant to this clause (1) (together with any refinancing thereof) does not exceed the sum of: (i)(x)</w:t>
      </w:r>
    </w:p>
    <w:p>
      <w:pPr>
        <w:ind w:left="960" w:right="8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US$35.0 million; plus (y) US$100.0 million Incurred in respect of the Phase II Project;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in the case of clause (i)(y), the aggregate amount of all Net Proceeds of Asset Sales applied since the Issue Date to repay any term Indebtedness Incurred pursuant to this clause (1) (i)(y) or to repay any revolving credit indebtedness Incurred under this clause (1)(i)(y) and effect a corresponding commitment reduction thereunder pursuant to Section 4.10 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60" w:top="273" w:right="459" w:bottom="1440" w:gutter="0" w:footer="0" w:header="0"/>
        </w:sectPr>
      </w:pPr>
    </w:p>
    <w:bookmarkStart w:id="528" w:name="page529"/>
    <w:bookmarkEnd w:id="528"/>
    <w:p>
      <w:pPr>
        <w:ind w:left="-20" w:right="320" w:firstLine="408"/>
        <w:spacing w:after="0" w:line="277" w:lineRule="auto"/>
        <w:tabs>
          <w:tab w:leader="none" w:pos="771" w:val="left"/>
        </w:tabs>
        <w:numPr>
          <w:ilvl w:val="0"/>
          <w:numId w:val="6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Incurrence of Indebtedness represented by the Notes (other than Additional Notes) and the Note Guarantees (other than Note Guarantees for Additional Notes) and the Intercompany Note Proceeds Loans (if any);</w:t>
      </w:r>
    </w:p>
    <w:p>
      <w:pPr>
        <w:spacing w:after="0" w:line="62" w:lineRule="exact"/>
        <w:rPr>
          <w:rFonts w:ascii="Arial" w:cs="Arial" w:eastAsia="Arial" w:hAnsi="Arial"/>
          <w:sz w:val="18"/>
          <w:szCs w:val="18"/>
          <w:color w:val="auto"/>
        </w:rPr>
      </w:pPr>
    </w:p>
    <w:p>
      <w:pPr>
        <w:ind w:left="-20" w:firstLine="408"/>
        <w:spacing w:after="0" w:line="255" w:lineRule="auto"/>
        <w:tabs>
          <w:tab w:leader="none" w:pos="771" w:val="left"/>
        </w:tabs>
        <w:numPr>
          <w:ilvl w:val="0"/>
          <w:numId w:val="678"/>
        </w:numPr>
        <w:rPr>
          <w:rFonts w:ascii="Arial" w:cs="Arial" w:eastAsia="Arial" w:hAnsi="Arial"/>
          <w:sz w:val="18"/>
          <w:szCs w:val="18"/>
          <w:color w:val="auto"/>
        </w:rPr>
      </w:pPr>
      <w:r>
        <w:rPr>
          <w:rFonts w:ascii="Arial" w:cs="Arial" w:eastAsia="Arial" w:hAnsi="Arial"/>
          <w:sz w:val="18"/>
          <w:szCs w:val="18"/>
          <w:color w:val="auto"/>
        </w:rPr>
        <w:t>(a) the Incurrence by the Company or the Subsidiary Guarantors of Indebtedness in an aggregate principal amount at any time outstanding, including all Permitted Refinancing Indebtedness Incurred to renew, refund, refinance, replace, defease or discharge any Indebtedness Incurred pursuant to this clause (3)(a), not to exceed the greater of (x) an amount equal to 3.5 times the EBITDA of the Company for the most recently ended four full fiscal quarters for which internal financial statements are available immediately preceding the relevant time of determination and (y) US$1,200,000,000, and (b) Indebtedness existing on the Issue Date (other than the Indebtedness described in clauses (1) and (2));</w:t>
      </w:r>
    </w:p>
    <w:p>
      <w:pPr>
        <w:spacing w:after="0" w:line="84" w:lineRule="exact"/>
        <w:rPr>
          <w:rFonts w:ascii="Arial" w:cs="Arial" w:eastAsia="Arial" w:hAnsi="Arial"/>
          <w:sz w:val="18"/>
          <w:szCs w:val="18"/>
          <w:color w:val="auto"/>
        </w:rPr>
      </w:pPr>
    </w:p>
    <w:p>
      <w:pPr>
        <w:ind w:left="-20" w:firstLine="408"/>
        <w:spacing w:after="0" w:line="291" w:lineRule="auto"/>
        <w:tabs>
          <w:tab w:leader="none" w:pos="771" w:val="left"/>
        </w:tabs>
        <w:numPr>
          <w:ilvl w:val="0"/>
          <w:numId w:val="678"/>
        </w:numPr>
        <w:rPr>
          <w:rFonts w:ascii="Arial" w:cs="Arial" w:eastAsia="Arial" w:hAnsi="Arial"/>
          <w:sz w:val="16"/>
          <w:szCs w:val="16"/>
          <w:color w:val="auto"/>
        </w:rPr>
      </w:pPr>
      <w:r>
        <w:rPr>
          <w:rFonts w:ascii="Arial" w:cs="Arial" w:eastAsia="Arial" w:hAnsi="Arial"/>
          <w:sz w:val="16"/>
          <w:szCs w:val="16"/>
          <w:color w:val="auto"/>
        </w:rPr>
        <w:t>the Incurrence of Indebtedness of the Company or any of its Restricted Subsidiaries represented by Capital Lease Obligations, mortgage financings or purchase money obligations, in each case, Incurred for the purpose of financing all or any part of the purchase price or cost of design, construction, installation or improvement of property, plant or other assets (including through the acquisition of Capital Stock of any person that owns property, plant or other assets which will, upon acquisition, become a Restricted Subsidiary) used in the business of the Company or any of its Restricted Subsidiaries, in an aggregate principal amount, including all Permitted Refinancing Indebtedness Incurred to renew, refund, refinance, replace, defease or discharge any Indebtedness Incurred pursuant to this clause (4), not to exceed the greater of (x) US$50.0 million and (y) 2.0% of Total Assets at any time outstanding;</w:t>
      </w:r>
    </w:p>
    <w:p>
      <w:pPr>
        <w:spacing w:after="0" w:line="58" w:lineRule="exact"/>
        <w:rPr>
          <w:rFonts w:ascii="Arial" w:cs="Arial" w:eastAsia="Arial" w:hAnsi="Arial"/>
          <w:sz w:val="16"/>
          <w:szCs w:val="16"/>
          <w:color w:val="auto"/>
        </w:rPr>
      </w:pPr>
    </w:p>
    <w:p>
      <w:pPr>
        <w:ind w:left="-20" w:right="60" w:firstLine="408"/>
        <w:spacing w:after="0" w:line="259" w:lineRule="auto"/>
        <w:tabs>
          <w:tab w:leader="none" w:pos="771"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Permitted Refinancing Indebtedness in exchange for, or the net proceeds of which are used to renew, refund, refinance, replace, defease or discharge Indebtedness (other than intercompany Indebtedness) that was permitted by this Indenture to be Incurred under Section 4.09(a) or clauses (2), (3)(b), (4), (5) or (15) of this Section 4.09(b);</w:t>
      </w:r>
    </w:p>
    <w:p>
      <w:pPr>
        <w:spacing w:after="0" w:line="78" w:lineRule="exact"/>
        <w:rPr>
          <w:rFonts w:ascii="Arial" w:cs="Arial" w:eastAsia="Arial" w:hAnsi="Arial"/>
          <w:sz w:val="18"/>
          <w:szCs w:val="18"/>
          <w:color w:val="auto"/>
        </w:rPr>
      </w:pPr>
    </w:p>
    <w:p>
      <w:pPr>
        <w:ind w:left="-20" w:firstLine="408"/>
        <w:spacing w:after="0" w:line="293" w:lineRule="auto"/>
        <w:tabs>
          <w:tab w:leader="none" w:pos="771" w:val="left"/>
        </w:tabs>
        <w:numPr>
          <w:ilvl w:val="0"/>
          <w:numId w:val="678"/>
        </w:numPr>
        <w:rPr>
          <w:rFonts w:ascii="Arial" w:cs="Arial" w:eastAsia="Arial" w:hAnsi="Arial"/>
          <w:sz w:val="16"/>
          <w:szCs w:val="16"/>
          <w:color w:val="auto"/>
        </w:rPr>
      </w:pPr>
      <w:r>
        <w:rPr>
          <w:rFonts w:ascii="Arial" w:cs="Arial" w:eastAsia="Arial" w:hAnsi="Arial"/>
          <w:sz w:val="16"/>
          <w:szCs w:val="16"/>
          <w:color w:val="auto"/>
        </w:rPr>
        <w:t>(a) Obligations in respect of workers’ compensation claims, self-insurance obligations, bankers’ acceptances, performance, bid, appeal and surety bonds and completion or performance guarantees (including the guarantee of any land grant) provided by the Company or any Restricted Subsidiary in connection with the Property or in the ordinary course of business and (b) Indebtedness constituting reimbursement obligations with respect to letters of credit or trade or bank guarantees (including for land grants) issued in the ordinary course of business to the extent that such letters of credit, trade or bank guarantees (including for land grants) are not drawn upon or, if drawn upon, to the extent such drawing is reimbursed no later than thirty (30) days following receipt of a demand for reimbursement;</w:t>
      </w:r>
    </w:p>
    <w:p>
      <w:pPr>
        <w:spacing w:after="0" w:line="56" w:lineRule="exact"/>
        <w:rPr>
          <w:rFonts w:ascii="Arial" w:cs="Arial" w:eastAsia="Arial" w:hAnsi="Arial"/>
          <w:sz w:val="16"/>
          <w:szCs w:val="16"/>
          <w:color w:val="auto"/>
        </w:rPr>
      </w:pPr>
    </w:p>
    <w:p>
      <w:pPr>
        <w:ind w:left="-20" w:right="460" w:firstLine="408"/>
        <w:spacing w:after="0" w:line="277" w:lineRule="auto"/>
        <w:tabs>
          <w:tab w:leader="none" w:pos="771" w:val="left"/>
        </w:tabs>
        <w:numPr>
          <w:ilvl w:val="0"/>
          <w:numId w:val="678"/>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intercompany Indebtedness between or among the Company or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jc w:val="both"/>
        <w:ind w:left="420" w:right="80" w:firstLine="391"/>
        <w:spacing w:after="0" w:line="311" w:lineRule="auto"/>
        <w:tabs>
          <w:tab w:leader="none" w:pos="1233" w:val="left"/>
        </w:tabs>
        <w:numPr>
          <w:ilvl w:val="1"/>
          <w:numId w:val="678"/>
        </w:numPr>
        <w:rPr>
          <w:rFonts w:ascii="Arial" w:cs="Arial" w:eastAsia="Arial" w:hAnsi="Arial"/>
          <w:sz w:val="16"/>
          <w:szCs w:val="16"/>
          <w:color w:val="auto"/>
        </w:rPr>
      </w:pPr>
      <w:r>
        <w:rPr>
          <w:rFonts w:ascii="Arial" w:cs="Arial" w:eastAsia="Arial" w:hAnsi="Arial"/>
          <w:sz w:val="16"/>
          <w:szCs w:val="16"/>
          <w:color w:val="auto"/>
        </w:rPr>
        <w:t>if the Company or any Subsidiary Guarantor is the obligor on such Indebtedness and the payee is not the Company or a Subsidiary Guarantor, such Indebtedness must be expressly subordinated to the prior payment in full in cash of all Obligations then due with respect to the Notes, in the case of the Company, or the Note Guarantee, in the case of a Subsidiary Guarantor; and</w:t>
      </w:r>
    </w:p>
    <w:p>
      <w:pPr>
        <w:spacing w:after="0" w:line="40" w:lineRule="exact"/>
        <w:rPr>
          <w:rFonts w:ascii="Arial" w:cs="Arial" w:eastAsia="Arial" w:hAnsi="Arial"/>
          <w:sz w:val="16"/>
          <w:szCs w:val="16"/>
          <w:color w:val="auto"/>
        </w:rPr>
      </w:pPr>
    </w:p>
    <w:p>
      <w:pPr>
        <w:ind w:left="420" w:right="20" w:firstLine="391"/>
        <w:spacing w:after="0" w:line="301" w:lineRule="auto"/>
        <w:tabs>
          <w:tab w:leader="none" w:pos="1223" w:val="left"/>
        </w:tabs>
        <w:numPr>
          <w:ilvl w:val="1"/>
          <w:numId w:val="678"/>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the Company or a Restricted Subsidiary of the Company and (ii) any sale or other transfer of any such Indebtedness to a Person that is not the Company or a Restricted Subsidiary of the Company, will be deemed, in each case, to constitute an Incurrence of such Indebtedness by the Company or such Restricted Subsidiary, as the case may be, that was not permitted by this clause (7);</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9960"/>
          </w:cols>
          <w:pgMar w:left="1440" w:top="273" w:right="499" w:bottom="1440" w:gutter="0" w:footer="0" w:header="0"/>
        </w:sectPr>
      </w:pPr>
    </w:p>
    <w:bookmarkStart w:id="529" w:name="page530"/>
    <w:bookmarkEnd w:id="529"/>
    <w:p>
      <w:pPr>
        <w:ind w:left="-7" w:right="120" w:firstLine="408"/>
        <w:spacing w:after="0" w:line="277" w:lineRule="auto"/>
        <w:tabs>
          <w:tab w:leader="none" w:pos="783" w:val="left"/>
        </w:tabs>
        <w:numPr>
          <w:ilvl w:val="1"/>
          <w:numId w:val="6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of Preferred Stock of a Restricted Subsidiary issued to the Company or another Restricted Subsidiary of the Company; </w:t>
      </w:r>
      <w:r>
        <w:rPr>
          <w:rFonts w:ascii="Arial" w:cs="Arial" w:eastAsia="Arial" w:hAnsi="Arial"/>
          <w:sz w:val="18"/>
          <w:szCs w:val="18"/>
          <w:i w:val="1"/>
          <w:iCs w:val="1"/>
          <w:color w:val="auto"/>
        </w:rPr>
        <w:t>provided that</w:t>
      </w:r>
    </w:p>
    <w:p>
      <w:pPr>
        <w:spacing w:after="0" w:line="62" w:lineRule="exact"/>
        <w:rPr>
          <w:rFonts w:ascii="Arial" w:cs="Arial" w:eastAsia="Arial" w:hAnsi="Arial"/>
          <w:sz w:val="18"/>
          <w:szCs w:val="18"/>
          <w:color w:val="auto"/>
        </w:rPr>
      </w:pPr>
    </w:p>
    <w:p>
      <w:pPr>
        <w:ind w:left="433" w:right="220" w:firstLine="391"/>
        <w:spacing w:after="0" w:line="277" w:lineRule="auto"/>
        <w:tabs>
          <w:tab w:leader="none" w:pos="1246" w:val="left"/>
        </w:tabs>
        <w:numPr>
          <w:ilvl w:val="2"/>
          <w:numId w:val="679"/>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Company or a Restricted Subsidiary of the Company; and</w:t>
      </w:r>
    </w:p>
    <w:p>
      <w:pPr>
        <w:spacing w:after="0" w:line="62" w:lineRule="exact"/>
        <w:rPr>
          <w:rFonts w:ascii="Arial" w:cs="Arial" w:eastAsia="Arial" w:hAnsi="Arial"/>
          <w:sz w:val="18"/>
          <w:szCs w:val="18"/>
          <w:color w:val="auto"/>
        </w:rPr>
      </w:pPr>
    </w:p>
    <w:p>
      <w:pPr>
        <w:ind w:left="433" w:firstLine="391"/>
        <w:spacing w:after="0" w:line="263" w:lineRule="auto"/>
        <w:tabs>
          <w:tab w:leader="none" w:pos="1236" w:val="left"/>
        </w:tabs>
        <w:numPr>
          <w:ilvl w:val="2"/>
          <w:numId w:val="679"/>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the Company or a Restricted Subsidiary of the Company, will be deemed, in each case, to constitute an issuance of such Preferred Stock by such Restricted Subsidiary that was not permitted by this clause (8).</w:t>
      </w:r>
    </w:p>
    <w:p>
      <w:pPr>
        <w:spacing w:after="0" w:line="75" w:lineRule="exact"/>
        <w:rPr>
          <w:rFonts w:ascii="Arial" w:cs="Arial" w:eastAsia="Arial" w:hAnsi="Arial"/>
          <w:sz w:val="18"/>
          <w:szCs w:val="18"/>
          <w:color w:val="auto"/>
        </w:rPr>
      </w:pPr>
    </w:p>
    <w:p>
      <w:pPr>
        <w:ind w:left="-7" w:right="80" w:firstLine="408"/>
        <w:spacing w:after="0" w:line="277" w:lineRule="auto"/>
        <w:tabs>
          <w:tab w:leader="none" w:pos="783" w:val="left"/>
        </w:tabs>
        <w:numPr>
          <w:ilvl w:val="1"/>
          <w:numId w:val="679"/>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Hedging Obligations in the ordinary course of business and not for speculative purposes;</w:t>
      </w:r>
    </w:p>
    <w:p>
      <w:pPr>
        <w:spacing w:after="0" w:line="62" w:lineRule="exact"/>
        <w:rPr>
          <w:rFonts w:ascii="Arial" w:cs="Arial" w:eastAsia="Arial" w:hAnsi="Arial"/>
          <w:sz w:val="18"/>
          <w:szCs w:val="18"/>
          <w:color w:val="auto"/>
        </w:rPr>
      </w:pPr>
    </w:p>
    <w:p>
      <w:pPr>
        <w:jc w:val="both"/>
        <w:ind w:left="-7" w:right="80" w:firstLine="408"/>
        <w:spacing w:after="0" w:line="259" w:lineRule="auto"/>
        <w:tabs>
          <w:tab w:leader="none" w:pos="873" w:val="left"/>
        </w:tabs>
        <w:numPr>
          <w:ilvl w:val="1"/>
          <w:numId w:val="679"/>
        </w:numPr>
        <w:rPr>
          <w:rFonts w:ascii="Arial" w:cs="Arial" w:eastAsia="Arial" w:hAnsi="Arial"/>
          <w:sz w:val="18"/>
          <w:szCs w:val="18"/>
          <w:color w:val="auto"/>
        </w:rPr>
      </w:pPr>
      <w:r>
        <w:rPr>
          <w:rFonts w:ascii="Arial" w:cs="Arial" w:eastAsia="Arial" w:hAnsi="Arial"/>
          <w:sz w:val="18"/>
          <w:szCs w:val="18"/>
          <w:color w:val="auto"/>
        </w:rPr>
        <w:t xml:space="preserve">the guarantee by the Company or any Restricted Subsidiary of the Company of Indebtedness of the Company or a Restricted Subsidiary of the Company that was permitted to be Incurred by another provision of this Section 4.09;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Indebtedness being guaranteed is subordinated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then the guarantee shall be subordinated or </w:t>
      </w:r>
      <w:r>
        <w:rPr>
          <w:rFonts w:ascii="Arial" w:cs="Arial" w:eastAsia="Arial" w:hAnsi="Arial"/>
          <w:sz w:val="18"/>
          <w:szCs w:val="18"/>
          <w:i w:val="1"/>
          <w:iCs w:val="1"/>
          <w:color w:val="auto"/>
        </w:rPr>
        <w:t>pari passu</w:t>
      </w:r>
      <w:r>
        <w:rPr>
          <w:rFonts w:ascii="Arial" w:cs="Arial" w:eastAsia="Arial" w:hAnsi="Arial"/>
          <w:sz w:val="18"/>
          <w:szCs w:val="18"/>
          <w:color w:val="auto"/>
        </w:rPr>
        <w:t>, as applicable, to the same extent as the Indebtedness guaranteed;</w:t>
      </w:r>
    </w:p>
    <w:p>
      <w:pPr>
        <w:spacing w:after="0" w:line="78" w:lineRule="exact"/>
        <w:rPr>
          <w:rFonts w:ascii="Arial" w:cs="Arial" w:eastAsia="Arial" w:hAnsi="Arial"/>
          <w:sz w:val="18"/>
          <w:szCs w:val="18"/>
          <w:color w:val="auto"/>
        </w:rPr>
      </w:pPr>
    </w:p>
    <w:p>
      <w:pPr>
        <w:ind w:left="-7" w:right="680" w:firstLine="408"/>
        <w:spacing w:after="0" w:line="263" w:lineRule="auto"/>
        <w:tabs>
          <w:tab w:leader="none" w:pos="866" w:val="left"/>
        </w:tabs>
        <w:numPr>
          <w:ilvl w:val="1"/>
          <w:numId w:val="679"/>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inadvertently drawn against insufficient funds, so long as such Indebtedness is extinguished within five (5) Business Days of its Incurrence;</w:t>
      </w:r>
    </w:p>
    <w:p>
      <w:pPr>
        <w:spacing w:after="0" w:line="75" w:lineRule="exact"/>
        <w:rPr>
          <w:rFonts w:ascii="Arial" w:cs="Arial" w:eastAsia="Arial" w:hAnsi="Arial"/>
          <w:sz w:val="18"/>
          <w:szCs w:val="18"/>
          <w:color w:val="auto"/>
        </w:rPr>
      </w:pPr>
    </w:p>
    <w:p>
      <w:pPr>
        <w:ind w:left="-7" w:right="20" w:firstLine="408"/>
        <w:spacing w:after="0" w:line="257" w:lineRule="auto"/>
        <w:tabs>
          <w:tab w:leader="none" w:pos="873" w:val="left"/>
        </w:tabs>
        <w:numPr>
          <w:ilvl w:val="1"/>
          <w:numId w:val="679"/>
        </w:numPr>
        <w:rPr>
          <w:rFonts w:ascii="Arial" w:cs="Arial" w:eastAsia="Arial" w:hAnsi="Arial"/>
          <w:sz w:val="18"/>
          <w:szCs w:val="18"/>
          <w:color w:val="auto"/>
        </w:rPr>
      </w:pPr>
      <w:r>
        <w:rPr>
          <w:rFonts w:ascii="Arial" w:cs="Arial" w:eastAsia="Arial" w:hAnsi="Arial"/>
          <w:sz w:val="18"/>
          <w:szCs w:val="18"/>
          <w:color w:val="auto"/>
        </w:rPr>
        <w:t>to the extent constituting Indebtedness, agreements to pay service fees to professionals (including architects, engineers, contractors and designers) in furtherance of and/or in connection with the Property or agreements to pay fees and expenses or other amounts pursuant to the Services and Right to Use Agreement or the MSA or otherwise arising under the Services and Right to Use Agreement or the MSA in the ordinary course of business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such agreements shall give rise to Indebtedness for borrowed money);</w:t>
      </w:r>
    </w:p>
    <w:p>
      <w:pPr>
        <w:spacing w:after="0" w:line="79" w:lineRule="exact"/>
        <w:rPr>
          <w:rFonts w:ascii="Arial" w:cs="Arial" w:eastAsia="Arial" w:hAnsi="Arial"/>
          <w:sz w:val="18"/>
          <w:szCs w:val="18"/>
          <w:color w:val="auto"/>
        </w:rPr>
      </w:pPr>
    </w:p>
    <w:p>
      <w:pPr>
        <w:ind w:left="-7" w:firstLine="408"/>
        <w:spacing w:after="0" w:line="254" w:lineRule="auto"/>
        <w:tabs>
          <w:tab w:leader="none" w:pos="873" w:val="left"/>
        </w:tabs>
        <w:numPr>
          <w:ilvl w:val="1"/>
          <w:numId w:val="679"/>
        </w:numPr>
        <w:rPr>
          <w:rFonts w:ascii="Arial" w:cs="Arial" w:eastAsia="Arial" w:hAnsi="Arial"/>
          <w:sz w:val="18"/>
          <w:szCs w:val="18"/>
          <w:color w:val="auto"/>
        </w:rPr>
      </w:pPr>
      <w:r>
        <w:rPr>
          <w:rFonts w:ascii="Arial" w:cs="Arial" w:eastAsia="Arial" w:hAnsi="Arial"/>
          <w:sz w:val="18"/>
          <w:szCs w:val="18"/>
          <w:color w:val="auto"/>
        </w:rPr>
        <w:t xml:space="preserve">Indebtedness arising from agreements providing for indemnification, adjustment of purchase price or similar obligations, or from guarantees or letters of credit, surety bonds, or performance bonds securing any obligation of the Company or any Restricted Subsidiary of the Company pursuant to such agreements, in each case, incurred or assumed in connection with the acquisition or disposition of any business, assets or Capital Stock of a Restricted Subsidiary, other than guarantees of Indebtedness incurred by any Person acquiring all or any portion of such business, assets or Subsidiary for the purpose of financing such acquisition;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maximum aggregate liability in respect of all such Indebtedness shall at no time exceed the gross proceeds actually received in connection with such disposition;</w:t>
      </w:r>
    </w:p>
    <w:p>
      <w:pPr>
        <w:spacing w:after="0" w:line="86" w:lineRule="exact"/>
        <w:rPr>
          <w:rFonts w:ascii="Arial" w:cs="Arial" w:eastAsia="Arial" w:hAnsi="Arial"/>
          <w:sz w:val="18"/>
          <w:szCs w:val="18"/>
          <w:color w:val="auto"/>
        </w:rPr>
      </w:pPr>
    </w:p>
    <w:p>
      <w:pPr>
        <w:ind w:left="933" w:hanging="532"/>
        <w:spacing w:after="0"/>
        <w:tabs>
          <w:tab w:leader="none" w:pos="933" w:val="left"/>
        </w:tabs>
        <w:numPr>
          <w:ilvl w:val="1"/>
          <w:numId w:val="679"/>
        </w:numPr>
        <w:rPr>
          <w:rFonts w:ascii="Arial" w:cs="Arial" w:eastAsia="Arial" w:hAnsi="Arial"/>
          <w:sz w:val="18"/>
          <w:szCs w:val="18"/>
          <w:color w:val="auto"/>
        </w:rPr>
      </w:pPr>
      <w:r>
        <w:rPr>
          <w:rFonts w:ascii="Arial" w:cs="Arial" w:eastAsia="Arial" w:hAnsi="Arial"/>
          <w:sz w:val="18"/>
          <w:szCs w:val="18"/>
          <w:color w:val="auto"/>
        </w:rPr>
        <w:t>Obligations in respect of Shareholder Subordinated Debt;</w:t>
      </w:r>
    </w:p>
    <w:p>
      <w:pPr>
        <w:spacing w:after="0" w:line="117" w:lineRule="exact"/>
        <w:rPr>
          <w:rFonts w:ascii="Arial" w:cs="Arial" w:eastAsia="Arial" w:hAnsi="Arial"/>
          <w:sz w:val="18"/>
          <w:szCs w:val="18"/>
          <w:color w:val="auto"/>
        </w:rPr>
      </w:pPr>
    </w:p>
    <w:p>
      <w:pPr>
        <w:ind w:left="873" w:hanging="472"/>
        <w:spacing w:after="0"/>
        <w:tabs>
          <w:tab w:leader="none" w:pos="873" w:val="left"/>
        </w:tabs>
        <w:numPr>
          <w:ilvl w:val="1"/>
          <w:numId w:val="679"/>
        </w:numPr>
        <w:rPr>
          <w:rFonts w:ascii="Arial" w:cs="Arial" w:eastAsia="Arial" w:hAnsi="Arial"/>
          <w:sz w:val="16"/>
          <w:szCs w:val="16"/>
          <w:color w:val="auto"/>
        </w:rPr>
      </w:pPr>
      <w:r>
        <w:rPr>
          <w:rFonts w:ascii="Arial" w:cs="Arial" w:eastAsia="Arial" w:hAnsi="Arial"/>
          <w:sz w:val="16"/>
          <w:szCs w:val="16"/>
          <w:color w:val="auto"/>
        </w:rPr>
        <w:t>any guarantees made solely in connection with (and limited in scope to) the giving of a Lien of the type specified in clause</w:t>
      </w:r>
    </w:p>
    <w:p>
      <w:pPr>
        <w:spacing w:after="0" w:line="46" w:lineRule="exact"/>
        <w:rPr>
          <w:rFonts w:ascii="Arial" w:cs="Arial" w:eastAsia="Arial" w:hAnsi="Arial"/>
          <w:sz w:val="16"/>
          <w:szCs w:val="16"/>
          <w:color w:val="auto"/>
        </w:rPr>
      </w:pPr>
    </w:p>
    <w:p>
      <w:pPr>
        <w:ind w:left="-7" w:right="560" w:firstLine="7"/>
        <w:spacing w:after="0" w:line="260" w:lineRule="auto"/>
        <w:tabs>
          <w:tab w:leader="none" w:pos="337" w:val="left"/>
        </w:tabs>
        <w:numPr>
          <w:ilvl w:val="0"/>
          <w:numId w:val="680"/>
        </w:numPr>
        <w:rPr>
          <w:rFonts w:ascii="Arial" w:cs="Arial" w:eastAsia="Arial" w:hAnsi="Arial"/>
          <w:sz w:val="18"/>
          <w:szCs w:val="18"/>
          <w:color w:val="auto"/>
        </w:rPr>
      </w:pPr>
      <w:r>
        <w:rPr>
          <w:rFonts w:ascii="Arial" w:cs="Arial" w:eastAsia="Arial" w:hAnsi="Arial"/>
          <w:sz w:val="18"/>
          <w:szCs w:val="18"/>
          <w:color w:val="auto"/>
        </w:rPr>
        <w:t>of “Permitted Liens” to secure Indebtedness of an Unrestricted Subsidiary, the only recourse of which to the Company and its Restricted Subsidiaries is to the Equity Interests subject to the Liens;</w:t>
      </w:r>
    </w:p>
    <w:p>
      <w:pPr>
        <w:spacing w:after="0" w:line="77" w:lineRule="exact"/>
        <w:rPr>
          <w:rFonts w:ascii="Arial" w:cs="Arial" w:eastAsia="Arial" w:hAnsi="Arial"/>
          <w:sz w:val="18"/>
          <w:szCs w:val="18"/>
          <w:color w:val="auto"/>
        </w:rPr>
      </w:pPr>
    </w:p>
    <w:p>
      <w:pPr>
        <w:ind w:left="-7" w:right="80" w:firstLine="408"/>
        <w:spacing w:after="0" w:line="311" w:lineRule="auto"/>
        <w:tabs>
          <w:tab w:leader="none" w:pos="873" w:val="left"/>
        </w:tabs>
        <w:numPr>
          <w:ilvl w:val="1"/>
          <w:numId w:val="680"/>
        </w:numPr>
        <w:rPr>
          <w:rFonts w:ascii="Arial" w:cs="Arial" w:eastAsia="Arial" w:hAnsi="Arial"/>
          <w:sz w:val="16"/>
          <w:szCs w:val="16"/>
          <w:color w:val="auto"/>
        </w:rPr>
      </w:pPr>
      <w:r>
        <w:rPr>
          <w:rFonts w:ascii="Arial" w:cs="Arial" w:eastAsia="Arial" w:hAnsi="Arial"/>
          <w:sz w:val="16"/>
          <w:szCs w:val="16"/>
          <w:color w:val="auto"/>
        </w:rPr>
        <w:t>the Incurrence by the Company or the Subsidiary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(16), not to exceed US$50.0 million; and</w:t>
      </w:r>
    </w:p>
    <w:p>
      <w:pPr>
        <w:spacing w:after="0" w:line="81"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9953"/>
          </w:cols>
          <w:pgMar w:left="1427" w:top="273" w:right="519" w:bottom="1440" w:gutter="0" w:footer="0" w:header="0"/>
        </w:sectPr>
      </w:pPr>
    </w:p>
    <w:bookmarkStart w:id="530" w:name="page531"/>
    <w:bookmarkEnd w:id="530"/>
    <w:p>
      <w:pPr>
        <w:ind w:left="980" w:firstLine="408"/>
        <w:spacing w:after="0" w:line="296" w:lineRule="auto"/>
        <w:tabs>
          <w:tab w:leader="none" w:pos="1905" w:val="left"/>
        </w:tabs>
        <w:numPr>
          <w:ilvl w:val="0"/>
          <w:numId w:val="6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Incurrence by the Company or the Subsidiary Guarantors of additional Indebtedness in respect of the Phase II Project in an aggregate principal amount (or accreted value, as applicable) at any time outstanding, including all Permitted Refinancing Indebtedness Incurred to renew, refund, refinance, replace, defease or discharge any Indebtedness Incurred pursuant to this clause (17), not to exceed the greater of (x) 75% of the EBITDA of the Company for the most recently ended four full fiscal quarters for which internal financial statements are available (which figure shall be based on audited financial information, if for an annual period) and (y) US$350.0 million.</w:t>
      </w:r>
    </w:p>
    <w:p>
      <w:pPr>
        <w:spacing w:after="0" w:line="161"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The Company will not Incur, and will not permit any Subsidiary Guarantor to Incur, any Indebtedness (including Permitted Debt) that is contractually subordinated in right of payment to any other Indebtedness of the Company or such Subsidiary Guarantor unless such Indebtedness is also contractually subordinated in right of payment to the Notes and the applicable Note Guarantee on substantially identical terms;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Indebtedness will be deemed to be contractually subordinated in right of payment to any other Indebtedness of the Company or any Subsidiary Guarantor solely by virtue of being unsecured or by virtue of being secured on a first or junior Lien basis.</w:t>
      </w:r>
    </w:p>
    <w:p>
      <w:pPr>
        <w:spacing w:after="0" w:line="176"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For purposes of determining compliance with this Section 4.09, in the event that an item of proposed Indebtedness meets the criteria of more than one of the categories of Permitted Debt described in clauses (1) through (17) above, or is entitled to be Incurred pursuant to the first paragraph of this covenant, the Company will be permitted to classify such item of Indebtedness on the date of its Incurrence, or later reclassify all or a portion of such item of Indebtedness, in any manner that complies with this Section 4.09. Indebtedness incurred under the Senior Secured Credit Facilities will be deemed to have been incurred in reliance on the exception provided by clause (1)(x) of the definition of Permitted Debt and may not be reclassified.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4.09; provided, in each such case, that the amount of any such accrual, accretion or payment is included in Fixed Charges of the Company as accrued. Notwithstanding any other provision of this Section 4.09, the maximum amount of Indebtedness that the Company or any Restricted Subsidiary of the Company may Incur pursuant to this Section 4.09 shall not be deemed to be exceeded solely as a result of fluctuations in exchange rates or currency values.</w:t>
      </w:r>
    </w:p>
    <w:p>
      <w:pPr>
        <w:spacing w:after="0" w:line="168" w:lineRule="exact"/>
        <w:rPr>
          <w:sz w:val="20"/>
          <w:szCs w:val="20"/>
          <w:color w:val="auto"/>
        </w:rPr>
      </w:pPr>
    </w:p>
    <w:p>
      <w:pPr>
        <w:ind w:right="340" w:firstLine="991"/>
        <w:spacing w:after="0" w:line="259" w:lineRule="auto"/>
        <w:rPr>
          <w:sz w:val="20"/>
          <w:szCs w:val="20"/>
          <w:color w:val="auto"/>
        </w:rPr>
      </w:pPr>
      <w:r>
        <w:rPr>
          <w:rFonts w:ascii="Arial" w:cs="Arial" w:eastAsia="Arial" w:hAnsi="Arial"/>
          <w:sz w:val="18"/>
          <w:szCs w:val="18"/>
          <w:color w:val="auto"/>
        </w:rPr>
        <w:t>Further, for purposes of determining compliance with this covenant, to the extent the Company or any of its Restricted Subsidiaries guarantees Indebtedness of a direct or indirect parent entity to the extent otherwise permitted by this covenant, the on-loan by such direct or indirect parent entity to the Company or any of its Restricted Subsidiaries of all or a portion of the principal amount of such Indebtedness will not be double counted.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780" w:hanging="392"/>
        <w:spacing w:after="0"/>
        <w:tabs>
          <w:tab w:leader="none" w:pos="178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1"/>
          <w:numId w:val="682"/>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1"/>
          <w:numId w:val="682"/>
        </w:numPr>
        <w:rPr>
          <w:rFonts w:ascii="Arial" w:cs="Arial" w:eastAsia="Arial" w:hAnsi="Arial"/>
          <w:sz w:val="18"/>
          <w:szCs w:val="18"/>
          <w:color w:val="auto"/>
        </w:rPr>
      </w:pPr>
      <w:r>
        <w:rPr>
          <w:rFonts w:ascii="Arial" w:cs="Arial" w:eastAsia="Arial" w:hAnsi="Arial"/>
          <w:sz w:val="18"/>
          <w:szCs w:val="18"/>
          <w:color w:val="auto"/>
        </w:rPr>
        <w:t>the face amount of the Indebtedness of the other Person.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3" w:right="479" w:bottom="1440" w:gutter="0" w:footer="0" w:header="0"/>
        </w:sectPr>
      </w:pPr>
    </w:p>
    <w:bookmarkStart w:id="531" w:name="page532"/>
    <w:bookmarkEnd w:id="531"/>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4.10</w:t>
      </w:r>
      <w:r>
        <w:rPr>
          <w:sz w:val="20"/>
          <w:szCs w:val="20"/>
          <w:color w:val="auto"/>
        </w:rPr>
        <w:tab/>
      </w:r>
      <w:r>
        <w:rPr>
          <w:rFonts w:ascii="Arial" w:cs="Arial" w:eastAsia="Arial" w:hAnsi="Arial"/>
          <w:sz w:val="15"/>
          <w:szCs w:val="15"/>
          <w:i w:val="1"/>
          <w:iCs w:val="1"/>
          <w:color w:val="auto"/>
        </w:rPr>
        <w:t>Asset Sales.</w:t>
      </w:r>
    </w:p>
    <w:p>
      <w:pPr>
        <w:spacing w:after="0" w:line="117"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Company will not, and will not permit any of its Restricted Subsidiaries to, consummate an Asset Sale (other than an Event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unless:</w:t>
      </w:r>
    </w:p>
    <w:p>
      <w:pPr>
        <w:spacing w:after="0" w:line="103" w:lineRule="exact"/>
        <w:rPr>
          <w:sz w:val="20"/>
          <w:szCs w:val="20"/>
          <w:color w:val="auto"/>
        </w:rPr>
      </w:pPr>
    </w:p>
    <w:p>
      <w:pPr>
        <w:ind w:left="980" w:right="340" w:firstLine="408"/>
        <w:spacing w:after="0" w:line="308" w:lineRule="auto"/>
        <w:tabs>
          <w:tab w:leader="none" w:pos="1771" w:val="left"/>
        </w:tabs>
        <w:numPr>
          <w:ilvl w:val="1"/>
          <w:numId w:val="683"/>
        </w:numPr>
        <w:rPr>
          <w:rFonts w:ascii="Arial" w:cs="Arial" w:eastAsia="Arial" w:hAnsi="Arial"/>
          <w:sz w:val="17"/>
          <w:szCs w:val="17"/>
          <w:color w:val="auto"/>
        </w:rPr>
      </w:pPr>
      <w:r>
        <w:rPr>
          <w:rFonts w:ascii="Arial" w:cs="Arial" w:eastAsia="Arial" w:hAnsi="Arial"/>
          <w:sz w:val="17"/>
          <w:szCs w:val="17"/>
          <w:color w:val="auto"/>
        </w:rPr>
        <w:t>the Company or the Restricted Subsidiary, as the case may be, receives consideration at the time of such Asset Sale at least equal to the Fair Market Value of the assets or Equity Interests issued or sold or otherwise disposed of; and</w:t>
      </w:r>
    </w:p>
    <w:p>
      <w:pPr>
        <w:spacing w:after="0" w:line="38" w:lineRule="exact"/>
        <w:rPr>
          <w:rFonts w:ascii="Arial" w:cs="Arial" w:eastAsia="Arial" w:hAnsi="Arial"/>
          <w:sz w:val="17"/>
          <w:szCs w:val="17"/>
          <w:color w:val="auto"/>
        </w:rPr>
      </w:pPr>
    </w:p>
    <w:p>
      <w:pPr>
        <w:ind w:left="980" w:right="320" w:firstLine="408"/>
        <w:spacing w:after="0" w:line="277" w:lineRule="auto"/>
        <w:tabs>
          <w:tab w:leader="none" w:pos="1771" w:val="left"/>
        </w:tabs>
        <w:numPr>
          <w:ilvl w:val="1"/>
          <w:numId w:val="683"/>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is in the form of cash. For purposes of this provision, each of the following will be deemed to be cash:</w:t>
      </w:r>
    </w:p>
    <w:p>
      <w:pPr>
        <w:spacing w:after="0" w:line="62" w:lineRule="exact"/>
        <w:rPr>
          <w:rFonts w:ascii="Arial" w:cs="Arial" w:eastAsia="Arial" w:hAnsi="Arial"/>
          <w:sz w:val="18"/>
          <w:szCs w:val="18"/>
          <w:color w:val="auto"/>
        </w:rPr>
      </w:pPr>
    </w:p>
    <w:p>
      <w:pPr>
        <w:ind w:left="1420" w:firstLine="391"/>
        <w:spacing w:after="0" w:line="259" w:lineRule="auto"/>
        <w:tabs>
          <w:tab w:leader="none" w:pos="2233" w:val="left"/>
        </w:tabs>
        <w:numPr>
          <w:ilvl w:val="2"/>
          <w:numId w:val="683"/>
        </w:numPr>
        <w:rPr>
          <w:rFonts w:ascii="Arial" w:cs="Arial" w:eastAsia="Arial" w:hAnsi="Arial"/>
          <w:sz w:val="18"/>
          <w:szCs w:val="18"/>
          <w:color w:val="auto"/>
        </w:rPr>
      </w:pPr>
      <w:r>
        <w:rPr>
          <w:rFonts w:ascii="Arial" w:cs="Arial" w:eastAsia="Arial" w:hAnsi="Arial"/>
          <w:sz w:val="18"/>
          <w:szCs w:val="18"/>
          <w:color w:val="auto"/>
        </w:rPr>
        <w:t>any liabilities, as shown on the Company’s most recent consolidated balance sheet, of the Company or any Restricted Subsidiary (other than contingent liabilities and liabilities that are by their terms subordinated to the Notes or any Note Guarantee) that are assumed by the transferee of any such assets pursuant to a customary novation agreement that releases the Company or such Restricted Subsidiary from further liability;</w:t>
      </w:r>
    </w:p>
    <w:p>
      <w:pPr>
        <w:spacing w:after="0" w:line="78" w:lineRule="exact"/>
        <w:rPr>
          <w:rFonts w:ascii="Arial" w:cs="Arial" w:eastAsia="Arial" w:hAnsi="Arial"/>
          <w:sz w:val="18"/>
          <w:szCs w:val="18"/>
          <w:color w:val="auto"/>
        </w:rPr>
      </w:pPr>
    </w:p>
    <w:p>
      <w:pPr>
        <w:ind w:left="1420" w:right="160" w:firstLine="391"/>
        <w:spacing w:after="0" w:line="263" w:lineRule="auto"/>
        <w:tabs>
          <w:tab w:leader="none" w:pos="2223" w:val="left"/>
        </w:tabs>
        <w:numPr>
          <w:ilvl w:val="2"/>
          <w:numId w:val="683"/>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are, within 30 days of the receipt thereof, converted by the Company or such Restricted Subsidiary into cash, to the extent of the cash received in that conversion; and</w:t>
      </w:r>
    </w:p>
    <w:p>
      <w:pPr>
        <w:spacing w:after="0" w:line="75" w:lineRule="exact"/>
        <w:rPr>
          <w:rFonts w:ascii="Arial" w:cs="Arial" w:eastAsia="Arial" w:hAnsi="Arial"/>
          <w:sz w:val="18"/>
          <w:szCs w:val="18"/>
          <w:color w:val="auto"/>
        </w:rPr>
      </w:pPr>
    </w:p>
    <w:p>
      <w:pPr>
        <w:ind w:left="2240" w:hanging="429"/>
        <w:spacing w:after="0"/>
        <w:tabs>
          <w:tab w:leader="none" w:pos="2240" w:val="left"/>
        </w:tabs>
        <w:numPr>
          <w:ilvl w:val="2"/>
          <w:numId w:val="683"/>
        </w:numPr>
        <w:rPr>
          <w:rFonts w:ascii="Arial" w:cs="Arial" w:eastAsia="Arial" w:hAnsi="Arial"/>
          <w:sz w:val="18"/>
          <w:szCs w:val="18"/>
          <w:color w:val="auto"/>
        </w:rPr>
      </w:pPr>
      <w:r>
        <w:rPr>
          <w:rFonts w:ascii="Arial" w:cs="Arial" w:eastAsia="Arial" w:hAnsi="Arial"/>
          <w:sz w:val="18"/>
          <w:szCs w:val="18"/>
          <w:color w:val="auto"/>
        </w:rPr>
        <w:t>any stock or assets of the kind referred to in Section 4.10(b)(2) or Section 4.10(b)(4).</w:t>
      </w:r>
    </w:p>
    <w:p>
      <w:pPr>
        <w:spacing w:after="0" w:line="225" w:lineRule="exact"/>
        <w:rPr>
          <w:rFonts w:ascii="Arial" w:cs="Arial" w:eastAsia="Arial" w:hAnsi="Arial"/>
          <w:sz w:val="18"/>
          <w:szCs w:val="18"/>
          <w:color w:val="auto"/>
        </w:rPr>
      </w:pPr>
    </w:p>
    <w:p>
      <w:pPr>
        <w:ind w:right="700" w:firstLine="987"/>
        <w:spacing w:after="0" w:line="277" w:lineRule="auto"/>
        <w:tabs>
          <w:tab w:leader="none" w:pos="1378" w:val="left"/>
        </w:tabs>
        <w:numPr>
          <w:ilvl w:val="0"/>
          <w:numId w:val="684"/>
        </w:numPr>
        <w:rPr>
          <w:rFonts w:ascii="Arial" w:cs="Arial" w:eastAsia="Arial" w:hAnsi="Arial"/>
          <w:sz w:val="18"/>
          <w:szCs w:val="18"/>
          <w:color w:val="auto"/>
        </w:rPr>
      </w:pPr>
      <w:r>
        <w:rPr>
          <w:rFonts w:ascii="Arial" w:cs="Arial" w:eastAsia="Arial" w:hAnsi="Arial"/>
          <w:sz w:val="18"/>
          <w:szCs w:val="18"/>
          <w:color w:val="auto"/>
        </w:rPr>
        <w:t>Within 360 days after the receipt of any Net Proceeds from an Asset Sale (including an Event of Loss), the Company or the applicable Restricted Subsidiary, as the case may be may apply such Net Proceeds:</w:t>
      </w:r>
    </w:p>
    <w:p>
      <w:pPr>
        <w:spacing w:after="0" w:line="62" w:lineRule="exact"/>
        <w:rPr>
          <w:rFonts w:ascii="Arial" w:cs="Arial" w:eastAsia="Arial" w:hAnsi="Arial"/>
          <w:sz w:val="18"/>
          <w:szCs w:val="18"/>
          <w:color w:val="auto"/>
        </w:rPr>
      </w:pPr>
    </w:p>
    <w:p>
      <w:pPr>
        <w:jc w:val="both"/>
        <w:ind w:left="980" w:right="40" w:firstLine="408"/>
        <w:spacing w:after="0" w:line="301" w:lineRule="auto"/>
        <w:tabs>
          <w:tab w:leader="none" w:pos="1771" w:val="left"/>
        </w:tabs>
        <w:numPr>
          <w:ilvl w:val="1"/>
          <w:numId w:val="684"/>
        </w:numPr>
        <w:rPr>
          <w:rFonts w:ascii="Arial" w:cs="Arial" w:eastAsia="Arial" w:hAnsi="Arial"/>
          <w:sz w:val="16"/>
          <w:szCs w:val="16"/>
          <w:color w:val="auto"/>
        </w:rPr>
      </w:pPr>
      <w:r>
        <w:rPr>
          <w:rFonts w:ascii="Arial" w:cs="Arial" w:eastAsia="Arial" w:hAnsi="Arial"/>
          <w:sz w:val="16"/>
          <w:szCs w:val="16"/>
          <w:color w:val="auto"/>
        </w:rPr>
        <w:t>to repay (a) Indebtedness Incurred under Section 4.09(b)(1) and Section 4.09(b)(17), (b) other Indebtedness of the Company or a Subsidiary Guarantor secured by property and assets that are the subject of such Asset Sale, and, in each case, if the Indebtedness repaid is revolving credit Indebtedness, to correspondingly reduce commitments with respect thereto, (c) Indebtedness of a Restricted Subsidiary that is not a Subsidiary Guarantor or (d) the Notes pursuant to the redemption provisions of this Indenture;</w:t>
      </w:r>
    </w:p>
    <w:p>
      <w:pPr>
        <w:spacing w:after="0" w:line="49" w:lineRule="exact"/>
        <w:rPr>
          <w:rFonts w:ascii="Arial" w:cs="Arial" w:eastAsia="Arial" w:hAnsi="Arial"/>
          <w:sz w:val="16"/>
          <w:szCs w:val="16"/>
          <w:color w:val="auto"/>
        </w:rPr>
      </w:pPr>
    </w:p>
    <w:p>
      <w:pPr>
        <w:ind w:left="980" w:firstLine="408"/>
        <w:spacing w:after="0" w:line="254" w:lineRule="auto"/>
        <w:tabs>
          <w:tab w:leader="none" w:pos="1771" w:val="left"/>
        </w:tabs>
        <w:numPr>
          <w:ilvl w:val="1"/>
          <w:numId w:val="684"/>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another Permitted Business, or any Capital Stock of, a Person undertaking another Permitted Business, if, after giving effect to any such acquisition of Capital Stock, the Permitted Business is or becomes a Restricted Subsidiary of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such acquisition funded with any proceeds from an Event of Loss occurs within the date that is 545 days after receipt of the Net Proceeds from the relevant Event of Loss to the extent that a binding agreement to acquire such assets or Capital Stock is entered into on or prior to the date that is 360 days after receipt of the Net Proceeds from the relevant Event of Loss, and (b) if such acquisition is not consummated within the period set forth in clause (a), the Net Proceeds not so applied will be deemed to be Excess Proceeds);</w:t>
      </w:r>
    </w:p>
    <w:p>
      <w:pPr>
        <w:spacing w:after="0" w:line="86" w:lineRule="exact"/>
        <w:rPr>
          <w:rFonts w:ascii="Arial" w:cs="Arial" w:eastAsia="Arial" w:hAnsi="Arial"/>
          <w:sz w:val="18"/>
          <w:szCs w:val="18"/>
          <w:color w:val="auto"/>
        </w:rPr>
      </w:pPr>
    </w:p>
    <w:p>
      <w:pPr>
        <w:ind w:left="980" w:right="200" w:firstLine="408"/>
        <w:spacing w:after="0" w:line="259" w:lineRule="auto"/>
        <w:tabs>
          <w:tab w:leader="none" w:pos="1771" w:val="left"/>
        </w:tabs>
        <w:numPr>
          <w:ilvl w:val="1"/>
          <w:numId w:val="684"/>
        </w:numPr>
        <w:rPr>
          <w:rFonts w:ascii="Arial" w:cs="Arial" w:eastAsia="Arial" w:hAnsi="Arial"/>
          <w:sz w:val="18"/>
          <w:szCs w:val="18"/>
          <w:color w:val="auto"/>
        </w:rPr>
      </w:pPr>
      <w:r>
        <w:rPr>
          <w:rFonts w:ascii="Arial" w:cs="Arial" w:eastAsia="Arial" w:hAnsi="Arial"/>
          <w:sz w:val="18"/>
          <w:szCs w:val="18"/>
          <w:color w:val="auto"/>
        </w:rPr>
        <w:t>to make a capital expenditure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capital expenditure funded with any proceeds from an Event of Loss occurs within the date that is 545 days after receipt of the Net Proceeds from the relevant Event of Loss to the extent that a binding agreement to make such capital expenditure is entered into on or prior to the date that is 360 days after receipt of the Net Proceeds from the relevant Event of Loss); or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440" w:top="273" w:right="499" w:bottom="1440" w:gutter="0" w:footer="0" w:header="0"/>
        </w:sectPr>
      </w:pPr>
    </w:p>
    <w:bookmarkStart w:id="532" w:name="page533"/>
    <w:bookmarkEnd w:id="532"/>
    <w:p>
      <w:pPr>
        <w:ind w:left="980" w:firstLine="408"/>
        <w:spacing w:after="0" w:line="296" w:lineRule="auto"/>
        <w:tabs>
          <w:tab w:leader="none" w:pos="1771" w:val="left"/>
        </w:tabs>
        <w:numPr>
          <w:ilvl w:val="1"/>
          <w:numId w:val="6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acquire other assets that are not classified as current assets under U.S. GAAP and that are used or useful in a Permitted Business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 such acquisition funded from an Event of Loss occurs within the date that is 545 days after receipt of the Net Proceeds from the relevant Event of Loss to the extent that a binding agreement to acquire such assets is entered into on or prior to the date that is 360 days after receipt of the Net Proceeds from the relevant Event of Loss, and (b) if such acquisition is not consummated within the period set forth in clause (a), the Net Proceeds not so applied will be deemed to be Excess Proceeds); or</w:t>
      </w:r>
    </w:p>
    <w:p>
      <w:pPr>
        <w:spacing w:after="0" w:line="53" w:lineRule="exact"/>
        <w:rPr>
          <w:rFonts w:ascii="Arial" w:cs="Arial" w:eastAsia="Arial" w:hAnsi="Arial"/>
          <w:sz w:val="16"/>
          <w:szCs w:val="16"/>
          <w:color w:val="auto"/>
        </w:rPr>
      </w:pPr>
    </w:p>
    <w:p>
      <w:pPr>
        <w:ind w:left="980" w:right="160" w:firstLine="408"/>
        <w:spacing w:after="0" w:line="285" w:lineRule="auto"/>
        <w:tabs>
          <w:tab w:leader="none" w:pos="1816" w:val="left"/>
        </w:tabs>
        <w:numPr>
          <w:ilvl w:val="1"/>
          <w:numId w:val="685"/>
        </w:numPr>
        <w:rPr>
          <w:rFonts w:ascii="Arial" w:cs="Arial" w:eastAsia="Arial" w:hAnsi="Arial"/>
          <w:sz w:val="16"/>
          <w:szCs w:val="16"/>
          <w:color w:val="auto"/>
        </w:rPr>
      </w:pPr>
      <w:r>
        <w:rPr>
          <w:rFonts w:ascii="Arial" w:cs="Arial" w:eastAsia="Arial" w:hAnsi="Arial"/>
          <w:sz w:val="16"/>
          <w:szCs w:val="16"/>
          <w:color w:val="auto"/>
        </w:rPr>
        <w:t xml:space="preserve">enter into a binding commitment regarding clauses (2), (3) or (4) above (in addition to the binding commitments expressly referenced in those clauses);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binding commitment shall be treated as a permitted application of Net Proceeds from the date of such commitment until the earlier of (x) the date on which such acquisition or expenditure is consummated and (y) the 180th day following the expiration of the aforementioned 360-day period. To the extent such acquisition or expenditure is not consummated on or before such 180th day and the Company or such Restricted Subsidiary shall not have applied such Net Proceeds pursuant to clauses (2),</w:t>
      </w:r>
    </w:p>
    <w:p>
      <w:pPr>
        <w:spacing w:after="0" w:line="1" w:lineRule="exact"/>
        <w:rPr>
          <w:rFonts w:ascii="Arial" w:cs="Arial" w:eastAsia="Arial" w:hAnsi="Arial"/>
          <w:sz w:val="16"/>
          <w:szCs w:val="16"/>
          <w:color w:val="auto"/>
        </w:rPr>
      </w:pPr>
    </w:p>
    <w:p>
      <w:pPr>
        <w:ind w:left="980" w:right="80" w:firstLine="7"/>
        <w:spacing w:after="0" w:line="260" w:lineRule="auto"/>
        <w:tabs>
          <w:tab w:leader="none" w:pos="1235" w:val="left"/>
        </w:tabs>
        <w:numPr>
          <w:ilvl w:val="0"/>
          <w:numId w:val="686"/>
        </w:numPr>
        <w:rPr>
          <w:rFonts w:ascii="Arial" w:cs="Arial" w:eastAsia="Arial" w:hAnsi="Arial"/>
          <w:sz w:val="18"/>
          <w:szCs w:val="18"/>
          <w:color w:val="auto"/>
        </w:rPr>
      </w:pPr>
      <w:r>
        <w:rPr>
          <w:rFonts w:ascii="Arial" w:cs="Arial" w:eastAsia="Arial" w:hAnsi="Arial"/>
          <w:sz w:val="18"/>
          <w:szCs w:val="18"/>
          <w:color w:val="auto"/>
        </w:rPr>
        <w:t>or (4) above on or before such 180th day, such commitment shall be deemed not to have been a permitted application of Net Proceeds, and such Net Proceeds will constitute Excess Proceeds.</w:t>
      </w:r>
    </w:p>
    <w:p>
      <w:pPr>
        <w:spacing w:after="0" w:line="185" w:lineRule="exact"/>
        <w:rPr>
          <w:sz w:val="20"/>
          <w:szCs w:val="20"/>
          <w:color w:val="auto"/>
        </w:rPr>
      </w:pPr>
    </w:p>
    <w:p>
      <w:pPr>
        <w:ind w:right="240" w:firstLine="987"/>
        <w:spacing w:after="0" w:line="277" w:lineRule="auto"/>
        <w:tabs>
          <w:tab w:leader="none" w:pos="1371" w:val="left"/>
        </w:tabs>
        <w:numPr>
          <w:ilvl w:val="0"/>
          <w:numId w:val="687"/>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Indenture.</w:t>
      </w:r>
    </w:p>
    <w:p>
      <w:pPr>
        <w:spacing w:after="0" w:line="170" w:lineRule="exact"/>
        <w:rPr>
          <w:rFonts w:ascii="Arial" w:cs="Arial" w:eastAsia="Arial" w:hAnsi="Arial"/>
          <w:sz w:val="18"/>
          <w:szCs w:val="18"/>
          <w:color w:val="auto"/>
        </w:rPr>
      </w:pPr>
    </w:p>
    <w:p>
      <w:pPr>
        <w:ind w:right="60" w:firstLine="987"/>
        <w:spacing w:after="0" w:line="271" w:lineRule="auto"/>
        <w:tabs>
          <w:tab w:leader="none" w:pos="1371" w:val="left"/>
        </w:tabs>
        <w:numPr>
          <w:ilvl w:val="0"/>
          <w:numId w:val="687"/>
        </w:numPr>
        <w:rPr>
          <w:rFonts w:ascii="Arial" w:cs="Arial" w:eastAsia="Arial" w:hAnsi="Arial"/>
          <w:sz w:val="17"/>
          <w:szCs w:val="17"/>
          <w:color w:val="auto"/>
        </w:rPr>
      </w:pPr>
      <w:r>
        <w:rPr>
          <w:rFonts w:ascii="Arial" w:cs="Arial" w:eastAsia="Arial" w:hAnsi="Arial"/>
          <w:sz w:val="17"/>
          <w:szCs w:val="17"/>
          <w:color w:val="auto"/>
        </w:rPr>
        <w:t xml:space="preserve">Any Net Proceeds from Asset Sales that are not applied or invested as provided in the second paragraph of this Section 4.10 will constitute “Excess Proceeds.” When the aggregate amount of Excess Proceeds exceeds US$5.0 million, within ten (10) days thereof, the Company shall make an Asset Sale Offer to all Holders with respect to offers to purchase or redeem with the proceeds of sales of assets to purchase the maximum principal amount of Notes. The offer price in any Asset Sale Offer will be equal to 100% of the principal amount plus accrued and unpaid interest, if any, to the date of purchase, and will be payable in cash. If any Excess Proceeds remain after consummation of an Asset Sale Offer, the Company may use those Excess Proceeds for any purpose not otherwise prohibited by this Indenture. If the aggregate principal amount of Notes tendered into such Asset Sale Offer exceeds the amount of Excess Proceeds, the Company will purchase all tendered Notes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Upon completion of each Asset Sale Offer, the amount of Excess Proceeds will be reset at zero.</w:t>
      </w:r>
    </w:p>
    <w:p>
      <w:pPr>
        <w:spacing w:after="0" w:line="178" w:lineRule="exact"/>
        <w:rPr>
          <w:rFonts w:ascii="Arial" w:cs="Arial" w:eastAsia="Arial" w:hAnsi="Arial"/>
          <w:sz w:val="17"/>
          <w:szCs w:val="17"/>
          <w:color w:val="auto"/>
        </w:rPr>
      </w:pPr>
    </w:p>
    <w:p>
      <w:pPr>
        <w:ind w:firstLine="987"/>
        <w:spacing w:after="0" w:line="257" w:lineRule="auto"/>
        <w:tabs>
          <w:tab w:leader="none" w:pos="1368" w:val="left"/>
        </w:tabs>
        <w:numPr>
          <w:ilvl w:val="0"/>
          <w:numId w:val="687"/>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to the extent such laws or regulations are applicable in connection with the repurchase of the Notes pursuant to an Asset Sale Offer. To the extent that the provisions of any securities laws or regulations conflict with the provisions of Section 3.09 hereof or this Section 4.10, the Company will comply with the applicable securities laws and regulations and shall not be deemed to have breached its obligations under Section 3.09 hereof or this Section 4.10 by virtue thereof.</w:t>
      </w:r>
    </w:p>
    <w:p>
      <w:pPr>
        <w:spacing w:after="0" w:line="296"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Transactions with Affiliates.</w:t>
      </w:r>
    </w:p>
    <w:p>
      <w:pPr>
        <w:spacing w:after="0" w:line="117" w:lineRule="exact"/>
        <w:rPr>
          <w:sz w:val="20"/>
          <w:szCs w:val="20"/>
          <w:color w:val="auto"/>
        </w:rPr>
      </w:pPr>
    </w:p>
    <w:p>
      <w:pPr>
        <w:ind w:right="120" w:firstLine="987"/>
        <w:spacing w:after="0" w:line="259" w:lineRule="auto"/>
        <w:tabs>
          <w:tab w:leader="none" w:pos="1413" w:val="left"/>
        </w:tabs>
        <w:numPr>
          <w:ilvl w:val="0"/>
          <w:numId w:val="688"/>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w:t>
      </w:r>
      <w:r>
        <w:rPr>
          <w:rFonts w:ascii="Arial" w:cs="Arial" w:eastAsia="Arial" w:hAnsi="Arial"/>
          <w:sz w:val="18"/>
          <w:szCs w:val="18"/>
          <w:color w:val="auto"/>
        </w:rPr>
        <w:t>”), unless:</w:t>
      </w:r>
    </w:p>
    <w:p>
      <w:pPr>
        <w:spacing w:after="0" w:line="78" w:lineRule="exact"/>
        <w:rPr>
          <w:rFonts w:ascii="Arial" w:cs="Arial" w:eastAsia="Arial" w:hAnsi="Arial"/>
          <w:sz w:val="18"/>
          <w:szCs w:val="18"/>
          <w:color w:val="auto"/>
        </w:rPr>
      </w:pPr>
    </w:p>
    <w:p>
      <w:pPr>
        <w:ind w:left="980" w:right="100" w:firstLine="408"/>
        <w:spacing w:after="0" w:line="263" w:lineRule="auto"/>
        <w:tabs>
          <w:tab w:leader="none" w:pos="1816" w:val="left"/>
        </w:tabs>
        <w:numPr>
          <w:ilvl w:val="1"/>
          <w:numId w:val="688"/>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Company or the relevant Restricted Subsidiary than those that would have been obtained in a comparable transaction by the Company or such Restricted Subsidiary with a Person that is not an Affiliate of the Company;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3" w:right="459" w:bottom="1440" w:gutter="0" w:footer="0" w:header="0"/>
        </w:sectPr>
      </w:pPr>
    </w:p>
    <w:bookmarkStart w:id="533" w:name="page534"/>
    <w:bookmarkEnd w:id="533"/>
    <w:p>
      <w:pPr>
        <w:ind w:left="1820" w:hanging="432"/>
        <w:spacing w:after="0"/>
        <w:tabs>
          <w:tab w:leader="none" w:pos="1820" w:val="left"/>
        </w:tabs>
        <w:numPr>
          <w:ilvl w:val="1"/>
          <w:numId w:val="6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delivers to the Trustee:</w:t>
      </w:r>
    </w:p>
    <w:p>
      <w:pPr>
        <w:spacing w:after="0" w:line="117" w:lineRule="exact"/>
        <w:rPr>
          <w:rFonts w:ascii="Arial" w:cs="Arial" w:eastAsia="Arial" w:hAnsi="Arial"/>
          <w:sz w:val="18"/>
          <w:szCs w:val="18"/>
          <w:color w:val="auto"/>
        </w:rPr>
      </w:pPr>
    </w:p>
    <w:p>
      <w:pPr>
        <w:ind w:left="1420" w:right="60" w:firstLine="391"/>
        <w:spacing w:after="0" w:line="255" w:lineRule="auto"/>
        <w:tabs>
          <w:tab w:leader="none" w:pos="2233" w:val="left"/>
        </w:tabs>
        <w:numPr>
          <w:ilvl w:val="2"/>
          <w:numId w:val="689"/>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US$55.0 million, a resolution of the Board of Directors of the Company set forth in an Officer’s Certificate certifying that such Affiliate Transaction complies with this Section 4.11(a) and that such Affiliate Transaction has been approved by a majority of the disinterested members of the Board of Directors of the Company or, if the Board of Directors of the Company has no disinterested directors, approved in good faith by a majority of the members (or in the case of a single member, the sole member) of the Board of Directors of the Company; and</w:t>
      </w:r>
    </w:p>
    <w:p>
      <w:pPr>
        <w:spacing w:after="0" w:line="84" w:lineRule="exact"/>
        <w:rPr>
          <w:rFonts w:ascii="Arial" w:cs="Arial" w:eastAsia="Arial" w:hAnsi="Arial"/>
          <w:sz w:val="18"/>
          <w:szCs w:val="18"/>
          <w:color w:val="auto"/>
        </w:rPr>
      </w:pPr>
    </w:p>
    <w:p>
      <w:pPr>
        <w:ind w:left="1420" w:right="40" w:firstLine="391"/>
        <w:spacing w:after="0" w:line="257" w:lineRule="auto"/>
        <w:tabs>
          <w:tab w:leader="none" w:pos="2223" w:val="left"/>
        </w:tabs>
        <w:numPr>
          <w:ilvl w:val="2"/>
          <w:numId w:val="689"/>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US$70.0 million, an opinion as to the fairness to the Company or such Restricted Subsidiary of such Affiliate Transaction from a financial point of view issued by an accounting, appraisal or investment banking firm of international standing, or other recognized independent expert of national standing with experience appraising the terms and conditions of the type of transaction or series of related transactions.</w:t>
      </w:r>
    </w:p>
    <w:p>
      <w:pPr>
        <w:spacing w:after="0" w:line="187" w:lineRule="exact"/>
        <w:rPr>
          <w:rFonts w:ascii="Arial" w:cs="Arial" w:eastAsia="Arial" w:hAnsi="Arial"/>
          <w:sz w:val="18"/>
          <w:szCs w:val="18"/>
          <w:color w:val="auto"/>
        </w:rPr>
      </w:pPr>
    </w:p>
    <w:p>
      <w:pPr>
        <w:ind w:left="1380" w:hanging="393"/>
        <w:spacing w:after="0"/>
        <w:tabs>
          <w:tab w:leader="none" w:pos="138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following items will not be deemed to be Affiliate Transactions and, therefore, will not be subject to the provisions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4.11(a) hereof:</w:t>
      </w:r>
    </w:p>
    <w:p>
      <w:pPr>
        <w:spacing w:after="0" w:line="103" w:lineRule="exact"/>
        <w:rPr>
          <w:sz w:val="20"/>
          <w:szCs w:val="20"/>
          <w:color w:val="auto"/>
        </w:rPr>
      </w:pPr>
    </w:p>
    <w:p>
      <w:pPr>
        <w:ind w:left="980" w:right="40" w:firstLine="408"/>
        <w:spacing w:after="0" w:line="259" w:lineRule="auto"/>
        <w:tabs>
          <w:tab w:leader="none" w:pos="1771" w:val="left"/>
        </w:tabs>
        <w:numPr>
          <w:ilvl w:val="0"/>
          <w:numId w:val="691"/>
        </w:numPr>
        <w:rPr>
          <w:rFonts w:ascii="Arial" w:cs="Arial" w:eastAsia="Arial" w:hAnsi="Arial"/>
          <w:sz w:val="18"/>
          <w:szCs w:val="18"/>
          <w:color w:val="auto"/>
        </w:rPr>
      </w:pPr>
      <w:r>
        <w:rPr>
          <w:rFonts w:ascii="Arial" w:cs="Arial" w:eastAsia="Arial" w:hAnsi="Arial"/>
          <w:sz w:val="18"/>
          <w:szCs w:val="18"/>
          <w:color w:val="auto"/>
        </w:rPr>
        <w:t>any employment agreement, employee benefit plan (including compensation, retirement, disability, severance and other similar plan), officer or director indemnification, stock option or incentive plan or agreement, employee equity subscription agreement or any similar arrangement entered into by the Company or any of its Restricted Subsidiaries in the ordinary course of business and payments pursuant thereto;</w:t>
      </w:r>
    </w:p>
    <w:p>
      <w:pPr>
        <w:spacing w:after="0" w:line="78" w:lineRule="exact"/>
        <w:rPr>
          <w:rFonts w:ascii="Arial" w:cs="Arial" w:eastAsia="Arial" w:hAnsi="Arial"/>
          <w:sz w:val="18"/>
          <w:szCs w:val="18"/>
          <w:color w:val="auto"/>
        </w:rPr>
      </w:pPr>
    </w:p>
    <w:p>
      <w:pPr>
        <w:ind w:left="1820" w:hanging="432"/>
        <w:spacing w:after="0"/>
        <w:tabs>
          <w:tab w:leader="none" w:pos="182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w:t>
      </w:r>
    </w:p>
    <w:p>
      <w:pPr>
        <w:spacing w:after="0" w:line="117" w:lineRule="exact"/>
        <w:rPr>
          <w:rFonts w:ascii="Arial" w:cs="Arial" w:eastAsia="Arial" w:hAnsi="Arial"/>
          <w:sz w:val="18"/>
          <w:szCs w:val="18"/>
          <w:color w:val="auto"/>
        </w:rPr>
      </w:pPr>
    </w:p>
    <w:p>
      <w:pPr>
        <w:ind w:left="980" w:right="560" w:firstLine="408"/>
        <w:spacing w:after="0" w:line="308" w:lineRule="auto"/>
        <w:tabs>
          <w:tab w:leader="none" w:pos="1771" w:val="left"/>
        </w:tabs>
        <w:numPr>
          <w:ilvl w:val="0"/>
          <w:numId w:val="691"/>
        </w:numPr>
        <w:rPr>
          <w:rFonts w:ascii="Arial" w:cs="Arial" w:eastAsia="Arial" w:hAnsi="Arial"/>
          <w:sz w:val="17"/>
          <w:szCs w:val="17"/>
          <w:color w:val="auto"/>
        </w:rPr>
      </w:pPr>
      <w:r>
        <w:rPr>
          <w:rFonts w:ascii="Arial" w:cs="Arial" w:eastAsia="Arial" w:hAnsi="Arial"/>
          <w:sz w:val="17"/>
          <w:szCs w:val="17"/>
          <w:color w:val="auto"/>
        </w:rPr>
        <w:t>transactions with a Person (other than an Unrestricted Subsidiary) that is an Affiliate of the Company solely because the Company owns directly or through a Restricted Subsidiary, an Equity Interest in, or controls, such Person;</w:t>
      </w:r>
    </w:p>
    <w:p>
      <w:pPr>
        <w:spacing w:after="0" w:line="38" w:lineRule="exact"/>
        <w:rPr>
          <w:rFonts w:ascii="Arial" w:cs="Arial" w:eastAsia="Arial" w:hAnsi="Arial"/>
          <w:sz w:val="17"/>
          <w:szCs w:val="17"/>
          <w:color w:val="auto"/>
        </w:rPr>
      </w:pPr>
    </w:p>
    <w:p>
      <w:pPr>
        <w:ind w:left="980" w:right="300" w:firstLine="408"/>
        <w:spacing w:after="0" w:line="277" w:lineRule="auto"/>
        <w:tabs>
          <w:tab w:leader="none" w:pos="1771" w:val="left"/>
        </w:tabs>
        <w:numPr>
          <w:ilvl w:val="0"/>
          <w:numId w:val="691"/>
        </w:numPr>
        <w:rPr>
          <w:rFonts w:ascii="Arial" w:cs="Arial" w:eastAsia="Arial" w:hAnsi="Arial"/>
          <w:sz w:val="18"/>
          <w:szCs w:val="18"/>
          <w:color w:val="auto"/>
        </w:rPr>
      </w:pPr>
      <w:r>
        <w:rPr>
          <w:rFonts w:ascii="Arial" w:cs="Arial" w:eastAsia="Arial" w:hAnsi="Arial"/>
          <w:sz w:val="18"/>
          <w:szCs w:val="18"/>
          <w:color w:val="auto"/>
        </w:rPr>
        <w:t>payment of reasonable officers’ and directors’ fees and reimbursement of expenses (including the provision of indemnity to officers and directors) to Persons who are not otherwise Affiliates of the Company;</w:t>
      </w:r>
    </w:p>
    <w:p>
      <w:pPr>
        <w:spacing w:after="0" w:line="62" w:lineRule="exact"/>
        <w:rPr>
          <w:rFonts w:ascii="Arial" w:cs="Arial" w:eastAsia="Arial" w:hAnsi="Arial"/>
          <w:sz w:val="18"/>
          <w:szCs w:val="18"/>
          <w:color w:val="auto"/>
        </w:rPr>
      </w:pPr>
    </w:p>
    <w:p>
      <w:pPr>
        <w:ind w:left="980" w:right="20" w:firstLine="408"/>
        <w:spacing w:after="0" w:line="277" w:lineRule="auto"/>
        <w:tabs>
          <w:tab w:leader="none" w:pos="1771" w:val="left"/>
        </w:tabs>
        <w:numPr>
          <w:ilvl w:val="0"/>
          <w:numId w:val="691"/>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Company to Affiliates of the Company or contribution to the common equity capital of the Company;</w:t>
      </w:r>
    </w:p>
    <w:p>
      <w:pPr>
        <w:spacing w:after="0" w:line="62" w:lineRule="exact"/>
        <w:rPr>
          <w:rFonts w:ascii="Arial" w:cs="Arial" w:eastAsia="Arial" w:hAnsi="Arial"/>
          <w:sz w:val="18"/>
          <w:szCs w:val="18"/>
          <w:color w:val="auto"/>
        </w:rPr>
      </w:pPr>
    </w:p>
    <w:p>
      <w:pPr>
        <w:ind w:left="980" w:right="360" w:firstLine="408"/>
        <w:spacing w:after="0" w:line="277" w:lineRule="auto"/>
        <w:tabs>
          <w:tab w:leader="none" w:pos="1771" w:val="left"/>
        </w:tabs>
        <w:numPr>
          <w:ilvl w:val="0"/>
          <w:numId w:val="691"/>
        </w:numPr>
        <w:rPr>
          <w:rFonts w:ascii="Arial" w:cs="Arial" w:eastAsia="Arial" w:hAnsi="Arial"/>
          <w:sz w:val="18"/>
          <w:szCs w:val="18"/>
          <w:color w:val="auto"/>
        </w:rPr>
      </w:pPr>
      <w:r>
        <w:rPr>
          <w:rFonts w:ascii="Arial" w:cs="Arial" w:eastAsia="Arial" w:hAnsi="Arial"/>
          <w:sz w:val="18"/>
          <w:szCs w:val="18"/>
          <w:color w:val="auto"/>
        </w:rPr>
        <w:t>Restricted Payments (including any payments made under, pursuant to or in connection with the Services and Right to Use Agreement, the Reinvestment Agreement or the MSA) that do not violate Section 4.07 hereof;</w:t>
      </w:r>
    </w:p>
    <w:p>
      <w:pPr>
        <w:spacing w:after="0" w:line="62" w:lineRule="exact"/>
        <w:rPr>
          <w:rFonts w:ascii="Arial" w:cs="Arial" w:eastAsia="Arial" w:hAnsi="Arial"/>
          <w:sz w:val="18"/>
          <w:szCs w:val="18"/>
          <w:color w:val="auto"/>
        </w:rPr>
      </w:pPr>
    </w:p>
    <w:p>
      <w:pPr>
        <w:ind w:left="980" w:firstLine="408"/>
        <w:spacing w:after="0" w:line="254" w:lineRule="auto"/>
        <w:tabs>
          <w:tab w:leader="none" w:pos="1771" w:val="left"/>
        </w:tabs>
        <w:numPr>
          <w:ilvl w:val="0"/>
          <w:numId w:val="691"/>
        </w:numPr>
        <w:rPr>
          <w:rFonts w:ascii="Arial" w:cs="Arial" w:eastAsia="Arial" w:hAnsi="Arial"/>
          <w:sz w:val="18"/>
          <w:szCs w:val="18"/>
          <w:color w:val="auto"/>
        </w:rPr>
      </w:pPr>
      <w:r>
        <w:rPr>
          <w:rFonts w:ascii="Arial" w:cs="Arial" w:eastAsia="Arial" w:hAnsi="Arial"/>
          <w:sz w:val="18"/>
          <w:szCs w:val="18"/>
          <w:color w:val="auto"/>
        </w:rPr>
        <w:t>any agreement or arrangement existing on the Issue Date, including any amendments, modifications, supplements, extensions, replacements, terminations or renewals (so long as any such agreement or arrangement together with all such amendments, modifications, supplements, extensions, replacements, terminations and renewals, taken as a whole, is not materially more disadvantageous to the Company and its Restricted Subsidiaries, taken as a whole, than the original agreement or arrangement as in effect on the Issue Date, unless any such amendments, modifications, supplements, extensions, replacements, terminations or renewals are imposed by any Gaming Authority or any other public authority, in each case having jurisdiction over the Studio City Casino, Melco Resorts Macau (or any other operator of the Studio City Casino), the Company or any of its Restricted Subsidiaries, including, but not limited to, the government of the Macau SAR);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3" w:right="479" w:bottom="1440" w:gutter="0" w:footer="0" w:header="0"/>
        </w:sectPr>
      </w:pPr>
    </w:p>
    <w:bookmarkStart w:id="534" w:name="page535"/>
    <w:bookmarkEnd w:id="534"/>
    <w:p>
      <w:pPr>
        <w:ind w:left="-7" w:right="20" w:firstLine="408"/>
        <w:spacing w:after="0" w:line="342" w:lineRule="auto"/>
        <w:tabs>
          <w:tab w:leader="none" w:pos="783" w:val="left"/>
        </w:tabs>
        <w:numPr>
          <w:ilvl w:val="1"/>
          <w:numId w:val="6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or advances to employees (including personnel who provide services to the Company or any of its Restricted Subsidiaries pursuant to the MSA) in the ordinary course of business not to exceed US$2.0 million in the aggregate at any one time outstanding;</w:t>
      </w:r>
    </w:p>
    <w:p>
      <w:pPr>
        <w:spacing w:after="0" w:line="15" w:lineRule="exact"/>
        <w:rPr>
          <w:rFonts w:ascii="Arial" w:cs="Arial" w:eastAsia="Arial" w:hAnsi="Arial"/>
          <w:sz w:val="16"/>
          <w:szCs w:val="16"/>
          <w:color w:val="auto"/>
        </w:rPr>
      </w:pPr>
    </w:p>
    <w:p>
      <w:pPr>
        <w:ind w:left="833" w:hanging="432"/>
        <w:spacing w:after="0"/>
        <w:tabs>
          <w:tab w:leader="none" w:pos="833" w:val="left"/>
        </w:tabs>
        <w:numPr>
          <w:ilvl w:val="1"/>
          <w:numId w:val="69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 w:firstLine="408"/>
        <w:spacing w:after="0" w:line="284" w:lineRule="auto"/>
        <w:tabs>
          <w:tab w:leader="none" w:pos="873" w:val="left"/>
        </w:tabs>
        <w:numPr>
          <w:ilvl w:val="1"/>
          <w:numId w:val="692"/>
        </w:numPr>
        <w:rPr>
          <w:rFonts w:ascii="Arial" w:cs="Arial" w:eastAsia="Arial" w:hAnsi="Arial"/>
          <w:sz w:val="16"/>
          <w:szCs w:val="16"/>
          <w:color w:val="auto"/>
        </w:rPr>
      </w:pPr>
      <w:r>
        <w:rPr>
          <w:rFonts w:ascii="Arial" w:cs="Arial" w:eastAsia="Arial" w:hAnsi="Arial"/>
          <w:sz w:val="16"/>
          <w:szCs w:val="16"/>
          <w:color w:val="auto"/>
        </w:rPr>
        <w:t>(a) transactions or arrangements under, pursuant to or in connection with the Services and Right to Use Agreement, the Reinvestment Agreement or the MSA, including any amendments, modifications, supplements, extensions, replacements, terminations or renewals thereof (so long as the Services and Right to Use Agreement and the Reinvestment Agreement, taken as a whole, or the MSA, respectively, together with all such amendments, modifications, supplements, extensions, replacements, terminations and renewals, taken as a whole, is not materially more disadvantageous to the Company and its Restricted Subsidiaries, taken as a whole, than the Services and Right to Use Agreement and the Reinvestment Agreement, taken as a whole, or the MSA, respectively, as in effect on the Issue Date or, as determined in good faith by the Board of Directors of the Company, would not materially and adversely affect the Company’s ability to make payments of principal of and interest on the Notes) and (b) other than with respect to transactions or arrangements subject to clause</w:t>
      </w:r>
    </w:p>
    <w:p>
      <w:pPr>
        <w:ind w:left="-7" w:right="20" w:firstLine="7"/>
        <w:spacing w:after="0" w:line="252" w:lineRule="auto"/>
        <w:tabs>
          <w:tab w:leader="none" w:pos="237"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above, transactions or arrangements with customers, clients, suppliers or sellers of goods or services in the ordinary course of business, on terms that are fair to the Company or any of its Restricted Subsidiaries, as applicable, or are no less favorable than those that might reasonably have been obtained in a comparable transaction at such time on an arms-length basis from a Person that is not an Affiliate of the Company, in the case of each of (a) and (b), unless any such amendments, modifications, supplements, extensions, replacements, terminations or renewals are imposed by any Gaming Authority or any other public authority having jurisdiction over Melco Resorts Macau (or any other operator of the Studio City Casino), the Company or any of its Restricted Subsidiaries, including, but not limited to, the government of the Macau SAR;</w:t>
      </w:r>
    </w:p>
    <w:p>
      <w:pPr>
        <w:spacing w:after="0" w:line="84" w:lineRule="exact"/>
        <w:rPr>
          <w:rFonts w:ascii="Arial" w:cs="Arial" w:eastAsia="Arial" w:hAnsi="Arial"/>
          <w:sz w:val="18"/>
          <w:szCs w:val="18"/>
          <w:color w:val="auto"/>
        </w:rPr>
      </w:pPr>
    </w:p>
    <w:p>
      <w:pPr>
        <w:ind w:left="-7" w:right="520" w:firstLine="408"/>
        <w:spacing w:after="0" w:line="277" w:lineRule="auto"/>
        <w:tabs>
          <w:tab w:leader="none" w:pos="866" w:val="left"/>
        </w:tabs>
        <w:numPr>
          <w:ilvl w:val="1"/>
          <w:numId w:val="693"/>
        </w:numPr>
        <w:rPr>
          <w:rFonts w:ascii="Arial" w:cs="Arial" w:eastAsia="Arial" w:hAnsi="Arial"/>
          <w:sz w:val="18"/>
          <w:szCs w:val="18"/>
          <w:color w:val="auto"/>
        </w:rPr>
      </w:pPr>
      <w:r>
        <w:rPr>
          <w:rFonts w:ascii="Arial" w:cs="Arial" w:eastAsia="Arial" w:hAnsi="Arial"/>
          <w:sz w:val="18"/>
          <w:szCs w:val="18"/>
          <w:color w:val="auto"/>
        </w:rPr>
        <w:t>the execution of the Transactions, and the payment of all fees and expenses relating to the Transactions described in the Offering Memorandum;</w:t>
      </w:r>
    </w:p>
    <w:p>
      <w:pPr>
        <w:spacing w:after="0" w:line="62" w:lineRule="exact"/>
        <w:rPr>
          <w:rFonts w:ascii="Arial" w:cs="Arial" w:eastAsia="Arial" w:hAnsi="Arial"/>
          <w:sz w:val="18"/>
          <w:szCs w:val="18"/>
          <w:color w:val="auto"/>
        </w:rPr>
      </w:pPr>
    </w:p>
    <w:p>
      <w:pPr>
        <w:ind w:left="-7" w:right="140" w:firstLine="408"/>
        <w:spacing w:after="0" w:line="259" w:lineRule="auto"/>
        <w:tabs>
          <w:tab w:leader="none" w:pos="873" w:val="left"/>
        </w:tabs>
        <w:numPr>
          <w:ilvl w:val="1"/>
          <w:numId w:val="693"/>
        </w:numPr>
        <w:rPr>
          <w:rFonts w:ascii="Arial" w:cs="Arial" w:eastAsia="Arial" w:hAnsi="Arial"/>
          <w:sz w:val="18"/>
          <w:szCs w:val="18"/>
          <w:color w:val="auto"/>
        </w:rPr>
      </w:pPr>
      <w:r>
        <w:rPr>
          <w:rFonts w:ascii="Arial" w:cs="Arial" w:eastAsia="Arial" w:hAnsi="Arial"/>
          <w:sz w:val="18"/>
          <w:szCs w:val="18"/>
          <w:color w:val="auto"/>
        </w:rPr>
        <w:t xml:space="preserve">transactions or arrangements to be entered into in connection with the Property in the ordinary course of business (including, for the avoidance of doubt, transactions or arrangements necessary to conduct a Permitted Business) including any amendments, modifications, supplements, extensions, replacements, terminations or renewals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transactions or arrangements must comply with clauses 4.11(a)(1) and (a)(2)(A) hereof;</w:t>
      </w:r>
    </w:p>
    <w:p>
      <w:pPr>
        <w:spacing w:after="0" w:line="78" w:lineRule="exact"/>
        <w:rPr>
          <w:rFonts w:ascii="Arial" w:cs="Arial" w:eastAsia="Arial" w:hAnsi="Arial"/>
          <w:sz w:val="18"/>
          <w:szCs w:val="18"/>
          <w:color w:val="auto"/>
        </w:rPr>
      </w:pPr>
    </w:p>
    <w:p>
      <w:pPr>
        <w:ind w:left="-7" w:right="40" w:firstLine="408"/>
        <w:spacing w:after="0" w:line="255" w:lineRule="auto"/>
        <w:tabs>
          <w:tab w:leader="none" w:pos="873" w:val="left"/>
        </w:tabs>
        <w:numPr>
          <w:ilvl w:val="1"/>
          <w:numId w:val="693"/>
        </w:numPr>
        <w:rPr>
          <w:rFonts w:ascii="Arial" w:cs="Arial" w:eastAsia="Arial" w:hAnsi="Arial"/>
          <w:sz w:val="18"/>
          <w:szCs w:val="18"/>
          <w:color w:val="auto"/>
        </w:rPr>
      </w:pPr>
      <w:r>
        <w:rPr>
          <w:rFonts w:ascii="Arial" w:cs="Arial" w:eastAsia="Arial" w:hAnsi="Arial"/>
          <w:sz w:val="18"/>
          <w:szCs w:val="18"/>
          <w:color w:val="auto"/>
        </w:rPr>
        <w:t>transactions or arrangements duly approved by the Audit and Risk Committee of Studio City International (or any other committee of the Board of Directors of Studio City International so long as such committee consists entirely of independent directors) and the Company delivers to the Trustee a copy of the resolution of the Audit and Risk Committee of Studio City International (or, if applicable, such other committee) annexed to an Officer’s Certificate certifying that such Affiliate Transaction complies with this clause (13) and that such Affiliate Transaction has been duly approved by the Audit and Risk Committee of Studio City International (or, if applicable, such other committee);</w:t>
      </w:r>
    </w:p>
    <w:p>
      <w:pPr>
        <w:spacing w:after="0" w:line="84" w:lineRule="exact"/>
        <w:rPr>
          <w:rFonts w:ascii="Arial" w:cs="Arial" w:eastAsia="Arial" w:hAnsi="Arial"/>
          <w:sz w:val="18"/>
          <w:szCs w:val="18"/>
          <w:color w:val="auto"/>
        </w:rPr>
      </w:pPr>
    </w:p>
    <w:p>
      <w:pPr>
        <w:ind w:left="-7" w:right="420" w:firstLine="408"/>
        <w:spacing w:after="0" w:line="277" w:lineRule="auto"/>
        <w:tabs>
          <w:tab w:leader="none" w:pos="873" w:val="left"/>
        </w:tabs>
        <w:numPr>
          <w:ilvl w:val="1"/>
          <w:numId w:val="693"/>
        </w:numPr>
        <w:rPr>
          <w:rFonts w:ascii="Arial" w:cs="Arial" w:eastAsia="Arial" w:hAnsi="Arial"/>
          <w:sz w:val="18"/>
          <w:szCs w:val="18"/>
          <w:color w:val="auto"/>
        </w:rPr>
      </w:pPr>
      <w:r>
        <w:rPr>
          <w:rFonts w:ascii="Arial" w:cs="Arial" w:eastAsia="Arial" w:hAnsi="Arial"/>
          <w:sz w:val="18"/>
          <w:szCs w:val="18"/>
          <w:color w:val="auto"/>
        </w:rPr>
        <w:t>execution, delivery and performance of any tax sharing agreement or the formation and maintenance of any consolidated group for tax, accounting or cash pooling or management purposes; and</w:t>
      </w:r>
    </w:p>
    <w:p>
      <w:pPr>
        <w:spacing w:after="0" w:line="62" w:lineRule="exact"/>
        <w:rPr>
          <w:rFonts w:ascii="Arial" w:cs="Arial" w:eastAsia="Arial" w:hAnsi="Arial"/>
          <w:sz w:val="18"/>
          <w:szCs w:val="18"/>
          <w:color w:val="auto"/>
        </w:rPr>
      </w:pPr>
    </w:p>
    <w:p>
      <w:pPr>
        <w:ind w:left="-7" w:right="400" w:firstLine="408"/>
        <w:spacing w:after="0" w:line="277" w:lineRule="auto"/>
        <w:tabs>
          <w:tab w:leader="none" w:pos="873" w:val="left"/>
        </w:tabs>
        <w:numPr>
          <w:ilvl w:val="1"/>
          <w:numId w:val="693"/>
        </w:numPr>
        <w:rPr>
          <w:rFonts w:ascii="Arial" w:cs="Arial" w:eastAsia="Arial" w:hAnsi="Arial"/>
          <w:sz w:val="18"/>
          <w:szCs w:val="18"/>
          <w:color w:val="auto"/>
        </w:rPr>
      </w:pPr>
      <w:r>
        <w:rPr>
          <w:rFonts w:ascii="Arial" w:cs="Arial" w:eastAsia="Arial" w:hAnsi="Arial"/>
          <w:sz w:val="18"/>
          <w:szCs w:val="18"/>
          <w:color w:val="auto"/>
        </w:rPr>
        <w:t>provision by, between, among, to or from Persons who may be deemed Affiliates of group administrative, treasury, legal, accounting and similar services.</w:t>
      </w:r>
    </w:p>
    <w:p>
      <w:pPr>
        <w:spacing w:after="0" w:line="103"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9993"/>
          </w:cols>
          <w:pgMar w:left="1427" w:top="273" w:right="479" w:bottom="1440" w:gutter="0" w:footer="0" w:header="0"/>
        </w:sectPr>
      </w:pPr>
    </w:p>
    <w:bookmarkStart w:id="535" w:name="page536"/>
    <w:bookmarkEnd w:id="535"/>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4.12</w:t>
      </w:r>
      <w:r>
        <w:rPr>
          <w:sz w:val="20"/>
          <w:szCs w:val="20"/>
          <w:color w:val="auto"/>
        </w:rPr>
        <w:tab/>
      </w:r>
      <w:r>
        <w:rPr>
          <w:rFonts w:ascii="Arial" w:cs="Arial" w:eastAsia="Arial" w:hAnsi="Arial"/>
          <w:sz w:val="16"/>
          <w:szCs w:val="16"/>
          <w:i w:val="1"/>
          <w:iCs w:val="1"/>
          <w:color w:val="auto"/>
        </w:rPr>
        <w:t>Liens.</w:t>
      </w:r>
    </w:p>
    <w:p>
      <w:pPr>
        <w:spacing w:after="0" w:line="117"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The Company will not, and will not permit any of its Restricted Subsidiaries to, directly or indirectly, create, incur, assume or otherwise cause or suffer to exist or become effective any Lien of any kind securing Indebtedness on any asset now owned or hereafter acquired or any proceeds, income or profits therefrom or assign or convey any right to receive income therefrom, except Permitted Liens, or, if such Lien is not a Permitted Lien, unless the Notes and the Note Guarantees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so secured until such time as such obligations are no longer secured by a Lien.</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i w:val="1"/>
          <w:iCs w:val="1"/>
          <w:color w:val="auto"/>
        </w:rPr>
        <w:t>Business Activities.</w:t>
      </w:r>
    </w:p>
    <w:p>
      <w:pPr>
        <w:spacing w:after="0" w:line="117" w:lineRule="exact"/>
        <w:rPr>
          <w:sz w:val="20"/>
          <w:szCs w:val="20"/>
          <w:color w:val="auto"/>
        </w:rPr>
      </w:pPr>
    </w:p>
    <w:p>
      <w:pPr>
        <w:ind w:right="320" w:firstLine="991"/>
        <w:spacing w:after="0" w:line="308" w:lineRule="auto"/>
        <w:rPr>
          <w:sz w:val="20"/>
          <w:szCs w:val="20"/>
          <w:color w:val="auto"/>
        </w:rPr>
      </w:pPr>
      <w:r>
        <w:rPr>
          <w:rFonts w:ascii="Arial" w:cs="Arial" w:eastAsia="Arial" w:hAnsi="Arial"/>
          <w:sz w:val="17"/>
          <w:szCs w:val="17"/>
          <w:color w:val="auto"/>
        </w:rPr>
        <w:t>The Company will not, and will not permit any of its Restricted Subsidiaries to, engage in any business other than Permitted Business, except to such extent as would not be material to the Company and its Restricted Subsidiaries (taken as a whole).</w:t>
      </w:r>
    </w:p>
    <w:p>
      <w:pPr>
        <w:spacing w:after="0" w:line="25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i w:val="1"/>
          <w:iCs w:val="1"/>
          <w:color w:val="auto"/>
        </w:rPr>
        <w:t>Corporate Existence.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Subject to Article 5 hereof, the Company shall do or cause to be done all things necessary to preserve and keep in full force and effect:</w:t>
      </w:r>
    </w:p>
    <w:p>
      <w:pPr>
        <w:spacing w:after="0" w:line="140" w:lineRule="exact"/>
        <w:rPr>
          <w:sz w:val="20"/>
          <w:szCs w:val="20"/>
          <w:color w:val="auto"/>
        </w:rPr>
      </w:pPr>
    </w:p>
    <w:p>
      <w:pPr>
        <w:ind w:left="980" w:right="420" w:firstLine="408"/>
        <w:spacing w:after="0" w:line="342" w:lineRule="auto"/>
        <w:tabs>
          <w:tab w:leader="none" w:pos="1771" w:val="left"/>
        </w:tabs>
        <w:numPr>
          <w:ilvl w:val="0"/>
          <w:numId w:val="694"/>
        </w:numPr>
        <w:rPr>
          <w:rFonts w:ascii="Arial" w:cs="Arial" w:eastAsia="Arial" w:hAnsi="Arial"/>
          <w:sz w:val="16"/>
          <w:szCs w:val="16"/>
          <w:color w:val="auto"/>
        </w:rPr>
      </w:pPr>
      <w:r>
        <w:rPr>
          <w:rFonts w:ascii="Arial" w:cs="Arial" w:eastAsia="Arial" w:hAnsi="Arial"/>
          <w:sz w:val="16"/>
          <w:szCs w:val="16"/>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15" w:lineRule="exact"/>
        <w:rPr>
          <w:rFonts w:ascii="Arial" w:cs="Arial" w:eastAsia="Arial" w:hAnsi="Arial"/>
          <w:sz w:val="16"/>
          <w:szCs w:val="16"/>
          <w:color w:val="auto"/>
        </w:rPr>
      </w:pPr>
    </w:p>
    <w:p>
      <w:pPr>
        <w:ind w:left="980" w:right="20" w:firstLine="408"/>
        <w:spacing w:after="0" w:line="301" w:lineRule="auto"/>
        <w:tabs>
          <w:tab w:leader="none" w:pos="1771" w:val="left"/>
        </w:tabs>
        <w:numPr>
          <w:ilvl w:val="0"/>
          <w:numId w:val="694"/>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and its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26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i w:val="1"/>
          <w:iCs w:val="1"/>
          <w:color w:val="auto"/>
        </w:rPr>
        <w:t>Offer to Repurchase upon Change of Control.</w:t>
      </w:r>
    </w:p>
    <w:p>
      <w:pPr>
        <w:spacing w:after="0" w:line="117" w:lineRule="exact"/>
        <w:rPr>
          <w:sz w:val="20"/>
          <w:szCs w:val="20"/>
          <w:color w:val="auto"/>
        </w:rPr>
      </w:pPr>
    </w:p>
    <w:p>
      <w:pPr>
        <w:ind w:firstLine="987"/>
        <w:spacing w:after="0" w:line="254" w:lineRule="auto"/>
        <w:tabs>
          <w:tab w:leader="none" w:pos="1371" w:val="left"/>
        </w:tabs>
        <w:numPr>
          <w:ilvl w:val="0"/>
          <w:numId w:val="695"/>
        </w:numPr>
        <w:rPr>
          <w:rFonts w:ascii="Arial" w:cs="Arial" w:eastAsia="Arial" w:hAnsi="Arial"/>
          <w:sz w:val="18"/>
          <w:szCs w:val="18"/>
          <w:color w:val="auto"/>
        </w:rPr>
      </w:pPr>
      <w:r>
        <w:rPr>
          <w:rFonts w:ascii="Arial" w:cs="Arial" w:eastAsia="Arial" w:hAnsi="Arial"/>
          <w:sz w:val="18"/>
          <w:szCs w:val="18"/>
          <w:color w:val="auto"/>
        </w:rPr>
        <w:t>Upon the occurrence of a Change of Control, each Holder will have the right to require the Company to repurchase all or any part of such Holder’s Notes at a purchase price in cash equal to 101% of the principal amount thereof, plus accrued and unpaid interest and Additional Amounts, if any, to the date of repurchase (subject to the right of holders of record on the relevant record date to receive interest due on the relevant interest payment date), except to the extent the Company has previously or concurrently elected to redeem the Notes in full pursuant to Section 3.07 hereof. Within ten (10) days following any Change of Control, except to the extent that the Company has exercised its right to redeem the Notes by delivery of a notice of redemption pursuant to Section 3.03 hereof, the Company shall mail a notice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with a copy to the Trustee stating:</w:t>
      </w:r>
    </w:p>
    <w:p>
      <w:pPr>
        <w:spacing w:after="0" w:line="86" w:lineRule="exact"/>
        <w:rPr>
          <w:rFonts w:ascii="Arial" w:cs="Arial" w:eastAsia="Arial" w:hAnsi="Arial"/>
          <w:sz w:val="18"/>
          <w:szCs w:val="18"/>
          <w:color w:val="auto"/>
        </w:rPr>
      </w:pPr>
    </w:p>
    <w:p>
      <w:pPr>
        <w:ind w:left="980" w:right="60" w:firstLine="408"/>
        <w:spacing w:after="0" w:line="259" w:lineRule="auto"/>
        <w:tabs>
          <w:tab w:leader="none" w:pos="1771" w:val="left"/>
        </w:tabs>
        <w:numPr>
          <w:ilvl w:val="1"/>
          <w:numId w:val="695"/>
        </w:numPr>
        <w:rPr>
          <w:rFonts w:ascii="Arial" w:cs="Arial" w:eastAsia="Arial" w:hAnsi="Arial"/>
          <w:sz w:val="18"/>
          <w:szCs w:val="18"/>
          <w:color w:val="auto"/>
        </w:rPr>
      </w:pPr>
      <w:r>
        <w:rPr>
          <w:rFonts w:ascii="Arial" w:cs="Arial" w:eastAsia="Arial" w:hAnsi="Arial"/>
          <w:sz w:val="18"/>
          <w:szCs w:val="18"/>
          <w:color w:val="auto"/>
        </w:rPr>
        <w:t>that a Change of Control has occurred and that such Holder has the right to require the Company to repurchase such Holder’s Notes at a repurchase price in cash equal to 101% of the principal amount thereof, plus accrued and unpaid interest to the date of repurchase (subject to the right of holders of record on a record date to receive interest on the relevant interest payment date (the “</w:t>
      </w:r>
      <w:r>
        <w:rPr>
          <w:rFonts w:ascii="Arial" w:cs="Arial" w:eastAsia="Arial" w:hAnsi="Arial"/>
          <w:sz w:val="18"/>
          <w:szCs w:val="18"/>
          <w:i w:val="1"/>
          <w:iCs w:val="1"/>
          <w:color w:val="auto"/>
        </w:rPr>
        <w:t>Change</w:t>
      </w:r>
      <w:r>
        <w:rPr>
          <w:rFonts w:ascii="Arial" w:cs="Arial" w:eastAsia="Arial" w:hAnsi="Arial"/>
          <w:sz w:val="18"/>
          <w:szCs w:val="18"/>
          <w:color w:val="auto"/>
        </w:rPr>
        <w:t xml:space="preserve"> </w:t>
      </w:r>
      <w:r>
        <w:rPr>
          <w:rFonts w:ascii="Arial" w:cs="Arial" w:eastAsia="Arial" w:hAnsi="Arial"/>
          <w:sz w:val="18"/>
          <w:szCs w:val="18"/>
          <w:i w:val="1"/>
          <w:iCs w:val="1"/>
          <w:color w:val="auto"/>
        </w:rPr>
        <w:t>of Control Payment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695"/>
        </w:numPr>
        <w:rPr>
          <w:rFonts w:ascii="Arial" w:cs="Arial" w:eastAsia="Arial" w:hAnsi="Arial"/>
          <w:sz w:val="18"/>
          <w:szCs w:val="18"/>
          <w:color w:val="auto"/>
        </w:rPr>
      </w:pPr>
      <w:r>
        <w:rPr>
          <w:rFonts w:ascii="Arial" w:cs="Arial" w:eastAsia="Arial" w:hAnsi="Arial"/>
          <w:sz w:val="18"/>
          <w:szCs w:val="18"/>
          <w:color w:val="auto"/>
        </w:rPr>
        <w:t>the circumstances and relevant facts and financial information regarding such Change of Control;</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695"/>
        </w:numPr>
        <w:rPr>
          <w:rFonts w:ascii="Arial" w:cs="Arial" w:eastAsia="Arial" w:hAnsi="Arial"/>
          <w:sz w:val="16"/>
          <w:szCs w:val="16"/>
          <w:color w:val="auto"/>
        </w:rPr>
      </w:pPr>
      <w:r>
        <w:rPr>
          <w:rFonts w:ascii="Arial" w:cs="Arial" w:eastAsia="Arial" w:hAnsi="Arial"/>
          <w:sz w:val="16"/>
          <w:szCs w:val="16"/>
          <w:color w:val="auto"/>
        </w:rPr>
        <w:t>the repurchase date (which shall be no earlier than 30 days nor later than 60 days from the date such notice is mailed) (the</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p>
      <w:pPr>
        <w:spacing w:after="0" w:line="103" w:lineRule="exact"/>
        <w:rPr>
          <w:sz w:val="20"/>
          <w:szCs w:val="20"/>
          <w:color w:val="auto"/>
        </w:rPr>
      </w:pPr>
    </w:p>
    <w:p>
      <w:pPr>
        <w:ind w:left="5420" w:right="4980" w:hanging="4032"/>
        <w:spacing w:after="0" w:line="535" w:lineRule="auto"/>
        <w:tabs>
          <w:tab w:leader="none" w:pos="1784" w:val="left"/>
        </w:tabs>
        <w:numPr>
          <w:ilvl w:val="0"/>
          <w:numId w:val="696"/>
        </w:numPr>
        <w:rPr>
          <w:rFonts w:ascii="Arial" w:cs="Arial" w:eastAsia="Arial" w:hAnsi="Arial"/>
          <w:sz w:val="16"/>
          <w:szCs w:val="16"/>
          <w:color w:val="auto"/>
        </w:rPr>
      </w:pPr>
      <w:r>
        <w:rPr>
          <w:rFonts w:ascii="Arial" w:cs="Arial" w:eastAsia="Arial" w:hAnsi="Arial"/>
          <w:sz w:val="16"/>
          <w:szCs w:val="16"/>
          <w:color w:val="auto"/>
        </w:rPr>
        <w:t>that any Note not tendered will continue to accrue interest; 66</w:t>
      </w:r>
    </w:p>
    <w:p>
      <w:pPr>
        <w:sectPr>
          <w:pgSz w:w="11900" w:h="16838" w:orient="portrait"/>
          <w:cols w:equalWidth="0" w:num="1">
            <w:col w:w="10980"/>
          </w:cols>
          <w:pgMar w:left="440" w:top="273" w:right="479" w:bottom="1440" w:gutter="0" w:footer="0" w:header="0"/>
        </w:sectPr>
      </w:pPr>
    </w:p>
    <w:bookmarkStart w:id="536" w:name="page537"/>
    <w:bookmarkEnd w:id="536"/>
    <w:p>
      <w:pPr>
        <w:ind w:left="984" w:right="160" w:firstLine="408"/>
        <w:spacing w:after="0" w:line="277" w:lineRule="auto"/>
        <w:tabs>
          <w:tab w:leader="none" w:pos="1775" w:val="left"/>
        </w:tabs>
        <w:numPr>
          <w:ilvl w:val="1"/>
          <w:numId w:val="6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unless the Company defaults in the payment of the Change of Control Payment, all Notes accepted for payment pursuant to the Change of Control Offer will cease to accrue interest after the Change of Control Payment Date;</w:t>
      </w:r>
    </w:p>
    <w:p>
      <w:pPr>
        <w:spacing w:after="0" w:line="62" w:lineRule="exact"/>
        <w:rPr>
          <w:rFonts w:ascii="Arial" w:cs="Arial" w:eastAsia="Arial" w:hAnsi="Arial"/>
          <w:sz w:val="18"/>
          <w:szCs w:val="18"/>
          <w:color w:val="auto"/>
        </w:rPr>
      </w:pPr>
    </w:p>
    <w:p>
      <w:pPr>
        <w:ind w:left="984" w:firstLine="408"/>
        <w:spacing w:after="0" w:line="259" w:lineRule="auto"/>
        <w:tabs>
          <w:tab w:leader="none" w:pos="1775" w:val="left"/>
        </w:tabs>
        <w:numPr>
          <w:ilvl w:val="1"/>
          <w:numId w:val="697"/>
        </w:numPr>
        <w:rPr>
          <w:rFonts w:ascii="Arial" w:cs="Arial" w:eastAsia="Arial" w:hAnsi="Arial"/>
          <w:sz w:val="18"/>
          <w:szCs w:val="18"/>
          <w:color w:val="auto"/>
        </w:rPr>
      </w:pPr>
      <w:r>
        <w:rPr>
          <w:rFonts w:ascii="Arial" w:cs="Arial" w:eastAsia="Arial" w:hAnsi="Arial"/>
          <w:sz w:val="18"/>
          <w:szCs w:val="18"/>
          <w:color w:val="auto"/>
        </w:rPr>
        <w:t>the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78" w:lineRule="exact"/>
        <w:rPr>
          <w:rFonts w:ascii="Arial" w:cs="Arial" w:eastAsia="Arial" w:hAnsi="Arial"/>
          <w:sz w:val="18"/>
          <w:szCs w:val="18"/>
          <w:color w:val="auto"/>
        </w:rPr>
      </w:pPr>
    </w:p>
    <w:p>
      <w:pPr>
        <w:jc w:val="both"/>
        <w:ind w:left="984" w:right="40" w:firstLine="408"/>
        <w:spacing w:after="0" w:line="259" w:lineRule="auto"/>
        <w:tabs>
          <w:tab w:leader="none" w:pos="1775" w:val="left"/>
        </w:tabs>
        <w:numPr>
          <w:ilvl w:val="1"/>
          <w:numId w:val="697"/>
        </w:numPr>
        <w:rPr>
          <w:rFonts w:ascii="Arial" w:cs="Arial" w:eastAsia="Arial" w:hAnsi="Arial"/>
          <w:sz w:val="18"/>
          <w:szCs w:val="18"/>
          <w:color w:val="auto"/>
        </w:rPr>
      </w:pPr>
      <w:r>
        <w:rPr>
          <w:rFonts w:ascii="Arial" w:cs="Arial" w:eastAsia="Arial" w:hAnsi="Arial"/>
          <w:sz w:val="18"/>
          <w:szCs w:val="18"/>
          <w:color w:val="auto"/>
        </w:rPr>
        <w:t>the Holders will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the Notes delivered for purchase, and a statement that such Holder is withdrawing his election to have the Notes purchased, and</w:t>
      </w:r>
    </w:p>
    <w:p>
      <w:pPr>
        <w:spacing w:after="0" w:line="78" w:lineRule="exact"/>
        <w:rPr>
          <w:rFonts w:ascii="Arial" w:cs="Arial" w:eastAsia="Arial" w:hAnsi="Arial"/>
          <w:sz w:val="18"/>
          <w:szCs w:val="18"/>
          <w:color w:val="auto"/>
        </w:rPr>
      </w:pPr>
    </w:p>
    <w:p>
      <w:pPr>
        <w:ind w:left="984" w:right="520" w:firstLine="408"/>
        <w:spacing w:after="0" w:line="342" w:lineRule="auto"/>
        <w:tabs>
          <w:tab w:leader="none" w:pos="1775" w:val="left"/>
        </w:tabs>
        <w:numPr>
          <w:ilvl w:val="1"/>
          <w:numId w:val="697"/>
        </w:numPr>
        <w:rPr>
          <w:rFonts w:ascii="Arial" w:cs="Arial" w:eastAsia="Arial" w:hAnsi="Arial"/>
          <w:sz w:val="16"/>
          <w:szCs w:val="16"/>
          <w:color w:val="auto"/>
        </w:rPr>
      </w:pPr>
      <w:r>
        <w:rPr>
          <w:rFonts w:ascii="Arial" w:cs="Arial" w:eastAsia="Arial" w:hAnsi="Arial"/>
          <w:sz w:val="16"/>
          <w:szCs w:val="16"/>
          <w:color w:val="auto"/>
        </w:rPr>
        <w:t xml:space="preserve">that Holders whose Notes are being purchased only in part will be issued new Notes equal in principal amount to the unpurchased portion of the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unpurchased portion has a minimum denomination of US$200,000.</w:t>
      </w:r>
    </w:p>
    <w:p>
      <w:pPr>
        <w:spacing w:after="0" w:line="123" w:lineRule="exact"/>
        <w:rPr>
          <w:rFonts w:ascii="Arial" w:cs="Arial" w:eastAsia="Arial" w:hAnsi="Arial"/>
          <w:sz w:val="16"/>
          <w:szCs w:val="16"/>
          <w:color w:val="auto"/>
        </w:rPr>
      </w:pPr>
    </w:p>
    <w:p>
      <w:pPr>
        <w:ind w:left="1384" w:hanging="393"/>
        <w:spacing w:after="0"/>
        <w:tabs>
          <w:tab w:leader="none" w:pos="1384" w:val="left"/>
        </w:tabs>
        <w:numPr>
          <w:ilvl w:val="0"/>
          <w:numId w:val="698"/>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117" w:lineRule="exact"/>
        <w:rPr>
          <w:rFonts w:ascii="Arial" w:cs="Arial" w:eastAsia="Arial" w:hAnsi="Arial"/>
          <w:sz w:val="18"/>
          <w:szCs w:val="18"/>
          <w:color w:val="auto"/>
        </w:rPr>
      </w:pPr>
    </w:p>
    <w:p>
      <w:pPr>
        <w:ind w:left="1784" w:hanging="392"/>
        <w:spacing w:after="0"/>
        <w:tabs>
          <w:tab w:leader="none" w:pos="1784" w:val="left"/>
        </w:tabs>
        <w:numPr>
          <w:ilvl w:val="1"/>
          <w:numId w:val="698"/>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984" w:right="180" w:firstLine="408"/>
        <w:spacing w:after="0" w:line="277" w:lineRule="auto"/>
        <w:tabs>
          <w:tab w:leader="none" w:pos="1775" w:val="left"/>
        </w:tabs>
        <w:numPr>
          <w:ilvl w:val="1"/>
          <w:numId w:val="698"/>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984" w:right="200" w:firstLine="408"/>
        <w:spacing w:after="0" w:line="308" w:lineRule="auto"/>
        <w:tabs>
          <w:tab w:leader="none" w:pos="1775" w:val="left"/>
        </w:tabs>
        <w:numPr>
          <w:ilvl w:val="1"/>
          <w:numId w:val="698"/>
        </w:numPr>
        <w:rPr>
          <w:rFonts w:ascii="Arial" w:cs="Arial" w:eastAsia="Arial" w:hAnsi="Arial"/>
          <w:sz w:val="17"/>
          <w:szCs w:val="17"/>
          <w:color w:val="auto"/>
        </w:rPr>
      </w:pPr>
      <w:r>
        <w:rPr>
          <w:rFonts w:ascii="Arial" w:cs="Arial" w:eastAsia="Arial" w:hAnsi="Arial"/>
          <w:sz w:val="17"/>
          <w:szCs w:val="17"/>
          <w:color w:val="auto"/>
        </w:rPr>
        <w:t>deliver or cause to be delivered to the Paying Agent the Notes properly accepted together with an Officer’s Certificate stating the aggregate principal amount of Notes or portions of Notes properly tendered and being purchased by the Company.</w:t>
      </w:r>
    </w:p>
    <w:p>
      <w:pPr>
        <w:spacing w:after="0" w:line="146"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 xml:space="preserve">The Paying Agent will promptly mail (but in any case not later than five (5) days after the Change of Control Payment Date) to each Holder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has a minimum denomination of US$200,000. The Company will publicly announce the results of the Change of Control Offer on or as soon as practicable after the Change of Control Payment Date.</w:t>
      </w:r>
    </w:p>
    <w:p>
      <w:pPr>
        <w:spacing w:after="0" w:line="188" w:lineRule="exact"/>
        <w:rPr>
          <w:sz w:val="20"/>
          <w:szCs w:val="20"/>
          <w:color w:val="auto"/>
        </w:rPr>
      </w:pPr>
    </w:p>
    <w:p>
      <w:pPr>
        <w:ind w:left="4" w:right="160" w:firstLine="987"/>
        <w:spacing w:after="0" w:line="287" w:lineRule="auto"/>
        <w:tabs>
          <w:tab w:leader="none" w:pos="1375" w:val="left"/>
        </w:tabs>
        <w:numPr>
          <w:ilvl w:val="1"/>
          <w:numId w:val="69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4.15, the Company will not be required to make a Change of Control Offer upon a Change of Control if (1) a third party makes the Change of Control Offer in the manner, at the times and otherwise in compliance with the requirements set forth in this Section 4.15 hereof and purchases all Notes properly tendered and not withdrawn under the Change of Control Offer, or</w:t>
      </w:r>
    </w:p>
    <w:p>
      <w:pPr>
        <w:spacing w:after="0" w:line="2" w:lineRule="exact"/>
        <w:rPr>
          <w:rFonts w:ascii="Arial" w:cs="Arial" w:eastAsia="Arial" w:hAnsi="Arial"/>
          <w:sz w:val="16"/>
          <w:szCs w:val="16"/>
          <w:color w:val="auto"/>
        </w:rPr>
      </w:pPr>
    </w:p>
    <w:p>
      <w:pPr>
        <w:ind w:left="4" w:right="420" w:hanging="4"/>
        <w:spacing w:after="0" w:line="260" w:lineRule="auto"/>
        <w:tabs>
          <w:tab w:leader="none" w:pos="259" w:val="left"/>
        </w:tabs>
        <w:numPr>
          <w:ilvl w:val="0"/>
          <w:numId w:val="700"/>
        </w:numPr>
        <w:rPr>
          <w:rFonts w:ascii="Arial" w:cs="Arial" w:eastAsia="Arial" w:hAnsi="Arial"/>
          <w:sz w:val="18"/>
          <w:szCs w:val="18"/>
          <w:color w:val="auto"/>
        </w:rPr>
      </w:pPr>
      <w:r>
        <w:rPr>
          <w:rFonts w:ascii="Arial" w:cs="Arial" w:eastAsia="Arial" w:hAnsi="Arial"/>
          <w:sz w:val="18"/>
          <w:szCs w:val="18"/>
          <w:color w:val="auto"/>
        </w:rPr>
        <w:t>notice of redemption has been given pursuant to Section 3.03 hereof, unless and until there is a default in payment of the applicable redemption price.</w:t>
      </w:r>
    </w:p>
    <w:p>
      <w:pPr>
        <w:spacing w:after="0" w:line="185" w:lineRule="exact"/>
        <w:rPr>
          <w:rFonts w:ascii="Arial" w:cs="Arial" w:eastAsia="Arial" w:hAnsi="Arial"/>
          <w:sz w:val="18"/>
          <w:szCs w:val="18"/>
          <w:color w:val="auto"/>
        </w:rPr>
      </w:pPr>
    </w:p>
    <w:p>
      <w:pPr>
        <w:ind w:left="4" w:right="420" w:firstLine="987"/>
        <w:spacing w:after="0" w:line="277" w:lineRule="auto"/>
        <w:tabs>
          <w:tab w:leader="none" w:pos="1375" w:val="left"/>
        </w:tabs>
        <w:numPr>
          <w:ilvl w:val="1"/>
          <w:numId w:val="700"/>
        </w:numPr>
        <w:rPr>
          <w:rFonts w:ascii="Arial" w:cs="Arial" w:eastAsia="Arial" w:hAnsi="Arial"/>
          <w:sz w:val="18"/>
          <w:szCs w:val="18"/>
          <w:color w:val="auto"/>
        </w:rPr>
      </w:pPr>
      <w:r>
        <w:rPr>
          <w:rFonts w:ascii="Arial" w:cs="Arial" w:eastAsia="Arial" w:hAnsi="Arial"/>
          <w:sz w:val="18"/>
          <w:szCs w:val="18"/>
          <w:color w:val="auto"/>
        </w:rPr>
        <w:t>A Change of Control Offer may be made in advance of a Change of Control, and conditioned upon such Change of Control, if a definitive agreement is in place for the Change of Control at the time of making of the Change of Control Offer.</w:t>
      </w:r>
    </w:p>
    <w:p>
      <w:pPr>
        <w:spacing w:after="0" w:line="170" w:lineRule="exact"/>
        <w:rPr>
          <w:rFonts w:ascii="Arial" w:cs="Arial" w:eastAsia="Arial" w:hAnsi="Arial"/>
          <w:sz w:val="18"/>
          <w:szCs w:val="18"/>
          <w:color w:val="auto"/>
        </w:rPr>
      </w:pPr>
    </w:p>
    <w:p>
      <w:pPr>
        <w:ind w:left="4" w:firstLine="987"/>
        <w:spacing w:after="0" w:line="277" w:lineRule="auto"/>
        <w:tabs>
          <w:tab w:leader="none" w:pos="1375" w:val="left"/>
        </w:tabs>
        <w:numPr>
          <w:ilvl w:val="1"/>
          <w:numId w:val="700"/>
        </w:numPr>
        <w:rPr>
          <w:rFonts w:ascii="Arial" w:cs="Arial" w:eastAsia="Arial" w:hAnsi="Arial"/>
          <w:sz w:val="18"/>
          <w:szCs w:val="18"/>
          <w:color w:val="auto"/>
        </w:rPr>
      </w:pPr>
      <w:r>
        <w:rPr>
          <w:rFonts w:ascii="Arial" w:cs="Arial" w:eastAsia="Arial" w:hAnsi="Arial"/>
          <w:sz w:val="18"/>
          <w:szCs w:val="18"/>
          <w:color w:val="auto"/>
        </w:rPr>
        <w:t>Notes repurchased by the Company pursuant to a Change of Control Offer will be retired and cancelled at the option of the Company. Notes purchased by a third party pursuant to the preceding paragraph will have the status of Notes issued and outstanding.</w:t>
      </w:r>
    </w:p>
    <w:p>
      <w:pPr>
        <w:spacing w:after="0" w:line="170" w:lineRule="exact"/>
        <w:rPr>
          <w:rFonts w:ascii="Arial" w:cs="Arial" w:eastAsia="Arial" w:hAnsi="Arial"/>
          <w:sz w:val="18"/>
          <w:szCs w:val="18"/>
          <w:color w:val="auto"/>
        </w:rPr>
      </w:pPr>
    </w:p>
    <w:p>
      <w:pPr>
        <w:jc w:val="both"/>
        <w:ind w:left="4" w:right="520" w:firstLine="987"/>
        <w:spacing w:after="0" w:line="301" w:lineRule="auto"/>
        <w:tabs>
          <w:tab w:leader="none" w:pos="1352" w:val="left"/>
        </w:tabs>
        <w:numPr>
          <w:ilvl w:val="1"/>
          <w:numId w:val="700"/>
        </w:numPr>
        <w:rPr>
          <w:rFonts w:ascii="Arial" w:cs="Arial" w:eastAsia="Arial" w:hAnsi="Arial"/>
          <w:sz w:val="16"/>
          <w:szCs w:val="16"/>
          <w:color w:val="auto"/>
        </w:rPr>
      </w:pPr>
      <w:r>
        <w:rPr>
          <w:rFonts w:ascii="Arial" w:cs="Arial" w:eastAsia="Arial" w:hAnsi="Arial"/>
          <w:sz w:val="16"/>
          <w:szCs w:val="16"/>
          <w:color w:val="auto"/>
        </w:rPr>
        <w:t>The Company will comply, to the extent applicable, with the requirements of Section 14(e) of the Exchange Act and any other securities laws or regulations in connection with the repurchase of the Notes pursuant to this Section 4.15. To the extent that the provisions of any securities laws or regulations conflict with the provisions of this Section 4.15, the Company will comply with the applicable securities laws and regulations and will not be deemed to have breached its obligations under this Section 4.15 by virtue of such compliance.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3" w:right="459" w:bottom="1440" w:gutter="0" w:footer="0" w:header="0"/>
        </w:sectPr>
      </w:pPr>
    </w:p>
    <w:bookmarkStart w:id="537" w:name="page538"/>
    <w:bookmarkEnd w:id="537"/>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4.16</w:t>
      </w:r>
      <w:r>
        <w:rPr>
          <w:sz w:val="20"/>
          <w:szCs w:val="20"/>
          <w:color w:val="auto"/>
        </w:rPr>
        <w:tab/>
      </w:r>
      <w:r>
        <w:rPr>
          <w:rFonts w:ascii="Arial" w:cs="Arial" w:eastAsia="Arial" w:hAnsi="Arial"/>
          <w:sz w:val="15"/>
          <w:szCs w:val="15"/>
          <w:i w:val="1"/>
          <w:iCs w:val="1"/>
          <w:color w:val="auto"/>
        </w:rPr>
        <w:t>Payments for Consents.</w:t>
      </w:r>
    </w:p>
    <w:p>
      <w:pPr>
        <w:spacing w:after="0" w:line="117"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The Company will not, and will not permit any of its Restricted Subsidiaries to, directly or indirectly, pay or cause to be paid any consideration to or for the benefit of any Holder for or as an inducement to any consent, waiver or amendment of any of the terms or provisions of this Indenture, the Notes or the Note Guarantees unless such consideration is (1) offered to be paid; and (2) is paid to all Holders that consent, waive or agree to amend within the time frame and on the terms set forth in the solicitation documents relating to such consent, waiver or agreement.</w:t>
      </w:r>
    </w:p>
    <w:p>
      <w:pPr>
        <w:spacing w:after="0" w:line="15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Notwithstanding the foregoing, in any offer or payment of consideration for, or as an inducement to, any consent, waiver or amendment of any of the terms or provisions of this Indenture or the Notes in connection with an exchange offer, the Company and any of the Restricted Subsidiaries may exclude (a) in connection with an exchange offer, holders or beneficial owners of the Notes that are not “qualified institutional buyers” as defined in Rule 144A under the Securities Act, and (b) in connection with any consent, waiver or amendment, holders or beneficial owners of the Notes in any jurisdiction where the inclusion of such holders or beneficial owners would require the Company or any of its Restricted Subsidiaries to (i) file a registration statement, prospectus or similar document or subject the Company or any of its Restricted Subsidiaries to ongoing periodic reporting or similar requirements under any securities laws (including but not limited to, the United States federal securities laws and the laws of the European Union or its member states), (ii) qualify as a foreign corporation or other entity as a dealer in securities in such jurisdiction if it is not otherwise required to so qualify, (iii) generally consent to service of process in any such jurisdiction or (iv) subject the Company or any of its Restricted Subsidiaries to taxation in any such jurisdiction if it is not otherwise so subject, or the solicitation of such consent, waiver or amendment from, or the granting of such consent or waiver, or the approval of such amendment by, holders or beneficial owners in such jurisdiction would be unlawful, in each case as determined by the Company in its sole discretion.</w:t>
      </w:r>
    </w:p>
    <w:p>
      <w:pPr>
        <w:spacing w:after="0" w:line="28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i w:val="1"/>
          <w:iCs w:val="1"/>
          <w:color w:val="auto"/>
        </w:rPr>
        <w:t>Future Subsidiary Guarantors.</w:t>
      </w:r>
    </w:p>
    <w:p>
      <w:pPr>
        <w:spacing w:after="0" w:line="117" w:lineRule="exact"/>
        <w:rPr>
          <w:sz w:val="20"/>
          <w:szCs w:val="20"/>
          <w:color w:val="auto"/>
        </w:rPr>
      </w:pPr>
    </w:p>
    <w:p>
      <w:pPr>
        <w:ind w:right="20" w:firstLine="987"/>
        <w:spacing w:after="0" w:line="259" w:lineRule="auto"/>
        <w:tabs>
          <w:tab w:leader="none" w:pos="1371" w:val="left"/>
        </w:tabs>
        <w:numPr>
          <w:ilvl w:val="0"/>
          <w:numId w:val="701"/>
        </w:numPr>
        <w:rPr>
          <w:rFonts w:ascii="Arial" w:cs="Arial" w:eastAsia="Arial" w:hAnsi="Arial"/>
          <w:sz w:val="18"/>
          <w:szCs w:val="18"/>
          <w:color w:val="auto"/>
        </w:rPr>
      </w:pPr>
      <w:r>
        <w:rPr>
          <w:rFonts w:ascii="Arial" w:cs="Arial" w:eastAsia="Arial" w:hAnsi="Arial"/>
          <w:sz w:val="18"/>
          <w:szCs w:val="18"/>
          <w:color w:val="auto"/>
        </w:rPr>
        <w:t>If the Company or any of its Restricted Subsidiaries acquires or creates another Subsidiary after the Issue Date, then the Company shall cause such newly acquired or created Subsidiary to become a Subsidiary Guarantor (in the event that such Subsidiary provides a guarantee of any other Indebtedness of the Company or a Subsidiary Guarantor of the type specified under clauses (1) or (2) of the definition of “Indebtedness”), at which time such Subsidiary shall:</w:t>
      </w:r>
    </w:p>
    <w:p>
      <w:pPr>
        <w:spacing w:after="0" w:line="78" w:lineRule="exact"/>
        <w:rPr>
          <w:rFonts w:ascii="Arial" w:cs="Arial" w:eastAsia="Arial" w:hAnsi="Arial"/>
          <w:sz w:val="18"/>
          <w:szCs w:val="18"/>
          <w:color w:val="auto"/>
        </w:rPr>
      </w:pPr>
    </w:p>
    <w:p>
      <w:pPr>
        <w:ind w:left="980" w:right="100" w:firstLine="408"/>
        <w:spacing w:after="0" w:line="263" w:lineRule="auto"/>
        <w:tabs>
          <w:tab w:leader="none" w:pos="1771" w:val="left"/>
        </w:tabs>
        <w:numPr>
          <w:ilvl w:val="1"/>
          <w:numId w:val="701"/>
        </w:numPr>
        <w:rPr>
          <w:rFonts w:ascii="Arial" w:cs="Arial" w:eastAsia="Arial" w:hAnsi="Arial"/>
          <w:sz w:val="18"/>
          <w:szCs w:val="18"/>
          <w:color w:val="auto"/>
        </w:rPr>
      </w:pPr>
      <w:r>
        <w:rPr>
          <w:rFonts w:ascii="Arial" w:cs="Arial" w:eastAsia="Arial" w:hAnsi="Arial"/>
          <w:sz w:val="18"/>
          <w:szCs w:val="18"/>
          <w:color w:val="auto"/>
        </w:rPr>
        <w:t>execute a supplemental indenture in the form attached as Exhibit D hereto pursuant to which such Subsidiary shall unconditionally guarantee, on a senior basis, all of the Company’s Obligations under this Indenture and the Notes on the terms set forth in this Indenture;</w:t>
      </w:r>
    </w:p>
    <w:p>
      <w:pPr>
        <w:spacing w:after="0" w:line="75" w:lineRule="exact"/>
        <w:rPr>
          <w:rFonts w:ascii="Arial" w:cs="Arial" w:eastAsia="Arial" w:hAnsi="Arial"/>
          <w:sz w:val="18"/>
          <w:szCs w:val="18"/>
          <w:color w:val="auto"/>
        </w:rPr>
      </w:pPr>
    </w:p>
    <w:p>
      <w:pPr>
        <w:ind w:left="980" w:right="60" w:firstLine="408"/>
        <w:spacing w:after="0" w:line="277" w:lineRule="auto"/>
        <w:tabs>
          <w:tab w:leader="none" w:pos="1771" w:val="left"/>
        </w:tabs>
        <w:numPr>
          <w:ilvl w:val="1"/>
          <w:numId w:val="701"/>
        </w:numPr>
        <w:rPr>
          <w:rFonts w:ascii="Arial" w:cs="Arial" w:eastAsia="Arial" w:hAnsi="Arial"/>
          <w:sz w:val="18"/>
          <w:szCs w:val="18"/>
          <w:color w:val="auto"/>
        </w:rPr>
      </w:pPr>
      <w:r>
        <w:rPr>
          <w:rFonts w:ascii="Arial" w:cs="Arial" w:eastAsia="Arial" w:hAnsi="Arial"/>
          <w:sz w:val="18"/>
          <w:szCs w:val="18"/>
          <w:color w:val="auto"/>
        </w:rPr>
        <w:t>take such further action and execute and deliver such other documents as otherwise may be reasonably requested by the Trustee to give effect to the foregoing; and</w:t>
      </w:r>
    </w:p>
    <w:p>
      <w:pPr>
        <w:spacing w:after="0" w:line="62" w:lineRule="exact"/>
        <w:rPr>
          <w:rFonts w:ascii="Arial" w:cs="Arial" w:eastAsia="Arial" w:hAnsi="Arial"/>
          <w:sz w:val="18"/>
          <w:szCs w:val="18"/>
          <w:color w:val="auto"/>
        </w:rPr>
      </w:pPr>
    </w:p>
    <w:p>
      <w:pPr>
        <w:jc w:val="both"/>
        <w:ind w:left="980" w:right="500" w:firstLine="408"/>
        <w:spacing w:after="0" w:line="263" w:lineRule="auto"/>
        <w:tabs>
          <w:tab w:leader="none" w:pos="1771" w:val="left"/>
        </w:tabs>
        <w:numPr>
          <w:ilvl w:val="1"/>
          <w:numId w:val="701"/>
        </w:numPr>
        <w:rPr>
          <w:rFonts w:ascii="Arial" w:cs="Arial" w:eastAsia="Arial" w:hAnsi="Arial"/>
          <w:sz w:val="18"/>
          <w:szCs w:val="18"/>
          <w:color w:val="auto"/>
        </w:rPr>
      </w:pPr>
      <w:r>
        <w:rPr>
          <w:rFonts w:ascii="Arial" w:cs="Arial" w:eastAsia="Arial" w:hAnsi="Arial"/>
          <w:sz w:val="18"/>
          <w:szCs w:val="18"/>
          <w:color w:val="auto"/>
        </w:rPr>
        <w:t>deliver to the Trustee an Opinion of Counsel that (i) such supplemental indenture and any other documents required to be delivered have been duly authorized, executed and delivered by such Subsidiary and constitute legal, valid, binding and enforceable Obligations of such Subsidiary.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3" w:right="439" w:bottom="1440" w:gutter="0" w:footer="0" w:header="0"/>
        </w:sectPr>
      </w:pPr>
    </w:p>
    <w:bookmarkStart w:id="538" w:name="page539"/>
    <w:bookmarkEnd w:id="538"/>
    <w:p>
      <w:pPr>
        <w:ind w:right="120" w:firstLine="987"/>
        <w:spacing w:after="0" w:line="277" w:lineRule="auto"/>
        <w:tabs>
          <w:tab w:leader="none" w:pos="1381" w:val="left"/>
        </w:tabs>
        <w:numPr>
          <w:ilvl w:val="1"/>
          <w:numId w:val="7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any Guarantee of the Notes created pursuant to the provisions described in paragraph (a) above may provide by its terms that it will be automatically and unconditionally released and discharged upon:</w:t>
      </w:r>
    </w:p>
    <w:p>
      <w:pPr>
        <w:spacing w:after="0" w:line="62" w:lineRule="exact"/>
        <w:rPr>
          <w:rFonts w:ascii="Arial" w:cs="Arial" w:eastAsia="Arial" w:hAnsi="Arial"/>
          <w:sz w:val="18"/>
          <w:szCs w:val="18"/>
          <w:color w:val="auto"/>
        </w:rPr>
      </w:pPr>
    </w:p>
    <w:p>
      <w:pPr>
        <w:ind w:left="980" w:right="40" w:firstLine="408"/>
        <w:spacing w:after="0" w:line="259" w:lineRule="auto"/>
        <w:tabs>
          <w:tab w:leader="none" w:pos="1771" w:val="left"/>
        </w:tabs>
        <w:numPr>
          <w:ilvl w:val="2"/>
          <w:numId w:val="702"/>
        </w:numPr>
        <w:rPr>
          <w:rFonts w:ascii="Arial" w:cs="Arial" w:eastAsia="Arial" w:hAnsi="Arial"/>
          <w:sz w:val="18"/>
          <w:szCs w:val="18"/>
          <w:color w:val="auto"/>
        </w:rPr>
      </w:pPr>
      <w:r>
        <w:rPr>
          <w:rFonts w:ascii="Arial" w:cs="Arial" w:eastAsia="Arial" w:hAnsi="Arial"/>
          <w:sz w:val="18"/>
          <w:szCs w:val="18"/>
          <w:color w:val="auto"/>
        </w:rPr>
        <w:t>(with respect to any Guarantee created after the date of this Indenture) the release by the holders of the Company’s or the Subsidiary Guarantor’s Indebtedness described in paragraph (a) above, of their guarantee by such Restricted Subsidiary (including any deemed release upon payment in full of all obligations under such Indebtedness other than as a result of payment under such guarantee), at a time when:</w:t>
      </w:r>
    </w:p>
    <w:p>
      <w:pPr>
        <w:spacing w:after="0" w:line="78" w:lineRule="exact"/>
        <w:rPr>
          <w:rFonts w:ascii="Arial" w:cs="Arial" w:eastAsia="Arial" w:hAnsi="Arial"/>
          <w:sz w:val="18"/>
          <w:szCs w:val="18"/>
          <w:color w:val="auto"/>
        </w:rPr>
      </w:pPr>
    </w:p>
    <w:p>
      <w:pPr>
        <w:ind w:left="1420" w:right="560" w:firstLine="391"/>
        <w:spacing w:after="0" w:line="277" w:lineRule="auto"/>
        <w:tabs>
          <w:tab w:leader="none" w:pos="2233" w:val="left"/>
        </w:tabs>
        <w:numPr>
          <w:ilvl w:val="3"/>
          <w:numId w:val="702"/>
        </w:numPr>
        <w:rPr>
          <w:rFonts w:ascii="Arial" w:cs="Arial" w:eastAsia="Arial" w:hAnsi="Arial"/>
          <w:sz w:val="18"/>
          <w:szCs w:val="18"/>
          <w:color w:val="auto"/>
        </w:rPr>
      </w:pPr>
      <w:r>
        <w:rPr>
          <w:rFonts w:ascii="Arial" w:cs="Arial" w:eastAsia="Arial" w:hAnsi="Arial"/>
          <w:sz w:val="18"/>
          <w:szCs w:val="18"/>
          <w:color w:val="auto"/>
        </w:rPr>
        <w:t>no other Indebtedness of either the Company or any Subsidiary Guarantor has been guaranteed by such Restricted Subsidiary; or</w:t>
      </w:r>
    </w:p>
    <w:p>
      <w:pPr>
        <w:spacing w:after="0" w:line="62" w:lineRule="exact"/>
        <w:rPr>
          <w:rFonts w:ascii="Arial" w:cs="Arial" w:eastAsia="Arial" w:hAnsi="Arial"/>
          <w:sz w:val="18"/>
          <w:szCs w:val="18"/>
          <w:color w:val="auto"/>
        </w:rPr>
      </w:pPr>
    </w:p>
    <w:p>
      <w:pPr>
        <w:jc w:val="both"/>
        <w:ind w:left="1420" w:right="20" w:firstLine="391"/>
        <w:spacing w:after="0" w:line="263" w:lineRule="auto"/>
        <w:tabs>
          <w:tab w:leader="none" w:pos="2223" w:val="left"/>
        </w:tabs>
        <w:numPr>
          <w:ilvl w:val="3"/>
          <w:numId w:val="702"/>
        </w:numPr>
        <w:rPr>
          <w:rFonts w:ascii="Arial" w:cs="Arial" w:eastAsia="Arial" w:hAnsi="Arial"/>
          <w:sz w:val="18"/>
          <w:szCs w:val="18"/>
          <w:color w:val="auto"/>
        </w:rPr>
      </w:pPr>
      <w:r>
        <w:rPr>
          <w:rFonts w:ascii="Arial" w:cs="Arial" w:eastAsia="Arial" w:hAnsi="Arial"/>
          <w:sz w:val="18"/>
          <w:szCs w:val="18"/>
          <w:color w:val="auto"/>
        </w:rPr>
        <w:t>the holders of all such other Indebtedness that is guaranteed by such Restricted Subsidiary also release their guarantee by such Restricted Subsidiary (including any deemed release upon payment in full of all obligations under such Indebtedness other than as a result of payment under such guarantee); or</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2"/>
          <w:numId w:val="702"/>
        </w:numPr>
        <w:rPr>
          <w:rFonts w:ascii="Arial" w:cs="Arial" w:eastAsia="Arial" w:hAnsi="Arial"/>
          <w:sz w:val="16"/>
          <w:szCs w:val="16"/>
          <w:color w:val="auto"/>
        </w:rPr>
      </w:pPr>
      <w:r>
        <w:rPr>
          <w:rFonts w:ascii="Arial" w:cs="Arial" w:eastAsia="Arial" w:hAnsi="Arial"/>
          <w:sz w:val="16"/>
          <w:szCs w:val="16"/>
          <w:color w:val="auto"/>
        </w:rPr>
        <w:t>the release of the Note Guarantees on the terms and conditions and in the circumstances described in Section 11.08 hereof.</w:t>
      </w:r>
    </w:p>
    <w:p>
      <w:pPr>
        <w:spacing w:after="0" w:line="248" w:lineRule="exact"/>
        <w:rPr>
          <w:rFonts w:ascii="Arial" w:cs="Arial" w:eastAsia="Arial" w:hAnsi="Arial"/>
          <w:sz w:val="16"/>
          <w:szCs w:val="16"/>
          <w:color w:val="auto"/>
        </w:rPr>
      </w:pPr>
    </w:p>
    <w:p>
      <w:pPr>
        <w:ind w:right="80" w:firstLine="436"/>
        <w:spacing w:after="0" w:line="291" w:lineRule="auto"/>
        <w:tabs>
          <w:tab w:leader="none" w:pos="820" w:val="left"/>
        </w:tabs>
        <w:numPr>
          <w:ilvl w:val="0"/>
          <w:numId w:val="703"/>
        </w:numPr>
        <w:rPr>
          <w:rFonts w:ascii="Arial" w:cs="Arial" w:eastAsia="Arial" w:hAnsi="Arial"/>
          <w:sz w:val="16"/>
          <w:szCs w:val="16"/>
          <w:color w:val="auto"/>
        </w:rPr>
      </w:pPr>
      <w:r>
        <w:rPr>
          <w:rFonts w:ascii="Arial" w:cs="Arial" w:eastAsia="Arial" w:hAnsi="Arial"/>
          <w:sz w:val="16"/>
          <w:szCs w:val="16"/>
          <w:color w:val="auto"/>
        </w:rPr>
        <w:t>Each additional Note Guarantee will be limited as necessary to recognize certain defences generally available to guarantors (including those that relate to fraudulent conveyance or transfer, voidable preference, financial assistance, corporate purpose, capital maintenance or similar laws, regulations or defences affecting the rights of creditors generally) or other considerations under applicable law. Notwithstanding Section 4.17(a) hereof, the Company shall not be obligated to cause such Restricted Subsidiary to Guarantee the Notes to the extent that such Guarantee by such Restricted Subsidiary would reasonably be expected to give rise to or result in (i) any liability for the officers, directors or shareholders of such Restricted Subsidiary or (ii) any significant cost, expense, liability or obligation (including with respect of any Taxes, but excluding any reasonable guarantee or similar fee payable to the Company or a Restricted Subsidiary of the Company) other than reasonable out of pocket expenses.</w:t>
      </w:r>
    </w:p>
    <w:p>
      <w:pPr>
        <w:spacing w:after="0" w:line="27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4.18</w:t>
      </w:r>
      <w:r>
        <w:rPr>
          <w:sz w:val="20"/>
          <w:szCs w:val="20"/>
          <w:color w:val="auto"/>
        </w:rPr>
        <w:tab/>
      </w:r>
      <w:r>
        <w:rPr>
          <w:rFonts w:ascii="Arial" w:cs="Arial" w:eastAsia="Arial" w:hAnsi="Arial"/>
          <w:sz w:val="16"/>
          <w:szCs w:val="16"/>
          <w:i w:val="1"/>
          <w:iCs w:val="1"/>
          <w:color w:val="auto"/>
        </w:rPr>
        <w:t>Designation of Restricted and Unrestricted Subsidiaries.</w:t>
      </w:r>
    </w:p>
    <w:p>
      <w:pPr>
        <w:spacing w:after="0" w:line="117" w:lineRule="exact"/>
        <w:rPr>
          <w:sz w:val="20"/>
          <w:szCs w:val="20"/>
          <w:color w:val="auto"/>
        </w:rPr>
      </w:pPr>
    </w:p>
    <w:p>
      <w:pPr>
        <w:ind w:right="200" w:firstLine="991"/>
        <w:spacing w:after="0" w:line="289" w:lineRule="auto"/>
        <w:rPr>
          <w:sz w:val="20"/>
          <w:szCs w:val="20"/>
          <w:color w:val="auto"/>
        </w:rPr>
      </w:pPr>
      <w:r>
        <w:rPr>
          <w:rFonts w:ascii="Arial" w:cs="Arial" w:eastAsia="Arial" w:hAnsi="Arial"/>
          <w:sz w:val="16"/>
          <w:szCs w:val="16"/>
          <w:color w:val="auto"/>
        </w:rPr>
        <w:t xml:space="preserve">The Board of Directors of the Company may designate any Restricted Subsidiary to be an Unrestricted Subsidiary if that designation would not cause a Default;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 no event will the business currently operated by the Company, Studio City Developments Limited, Studio City Entertainment Limited or Studio City Hotels Limited be transferred to or held by an Unrestricted Subsidiary.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Section 4.07 hereof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Board of Directors of the Company may re-designate any Unrestricted Subsidiary to be a Restricted Subsidiary if that re-designation would not cause a Default.</w:t>
      </w:r>
    </w:p>
    <w:p>
      <w:pPr>
        <w:spacing w:after="0" w:line="166"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Any designation of a Subsidiary of the Company as an Unrestricted Subsidiary will be evidenced to the Trustee by filing with the Trustee a certified copy of a resolution of the Board of Directors of the Company giving effect to such designation and an Officer’s Certificate of the Company certifying that such designation complied with the preceding conditions and was permitted by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Section 4.09 hereof, the Company will be in Default of such covenant. The Board of Directors of the Company may at any time designate any Unrestricted Subsidiary to be a Restricted Subsidiary of the Company;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such designation will be deemed to be an Incurrence of Indebtedness by a Restricted Subsidiary of the Company of any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Indebtedness of such Unrestricted Subsidiary, and such designation will only be permitted if (1) such Indebtedness is permitted under Section 4.09 hereof,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designation had occurred at the beginning of the reference period; and (2) no Default or Event of Default would be in existence following such designation. On such designation, the Company shall deliver an Officer’s Certificate of the Company to the Trustee regarding such designation and certifying that such designation complies with the preceding conditions and the relevant covenants under this Indenture.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3" w:right="459" w:bottom="1440" w:gutter="0" w:footer="0" w:header="0"/>
        </w:sectPr>
      </w:pPr>
    </w:p>
    <w:bookmarkStart w:id="539" w:name="page540"/>
    <w:bookmarkEnd w:id="539"/>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4.19</w:t>
      </w:r>
      <w:r>
        <w:rPr>
          <w:sz w:val="20"/>
          <w:szCs w:val="20"/>
          <w:color w:val="auto"/>
        </w:rPr>
        <w:tab/>
      </w:r>
      <w:r>
        <w:rPr>
          <w:rFonts w:ascii="Arial" w:cs="Arial" w:eastAsia="Arial" w:hAnsi="Arial"/>
          <w:sz w:val="17"/>
          <w:szCs w:val="17"/>
          <w:i w:val="1"/>
          <w:iCs w:val="1"/>
          <w:color w:val="auto"/>
        </w:rPr>
        <w:t>Listing.</w:t>
      </w:r>
    </w:p>
    <w:p>
      <w:pPr>
        <w:spacing w:after="0" w:line="11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Company will use its commercially reasonable efforts to list and maintain the listing and quotation of the Notes on the Official List of the Singapore Exchange Securities Trading Limited or another comparable exchange.</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6"/>
          <w:szCs w:val="16"/>
          <w:i w:val="1"/>
          <w:iCs w:val="1"/>
          <w:color w:val="auto"/>
        </w:rPr>
        <w:t>Limitations on Use of Proceeds</w:t>
      </w:r>
    </w:p>
    <w:p>
      <w:pPr>
        <w:spacing w:after="0" w:line="11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Company will not, and will not cause or permit any of its Restricted Subsidiaries to, use the net proceeds from the sale of the Notes, in any amount, for any purpose other than as set forth under the caption “Use of Proceeds” in the Offering Memorandum.</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4.21</w:t>
      </w:r>
      <w:r>
        <w:rPr>
          <w:sz w:val="20"/>
          <w:szCs w:val="20"/>
          <w:color w:val="auto"/>
        </w:rPr>
        <w:tab/>
      </w:r>
      <w:r>
        <w:rPr>
          <w:rFonts w:ascii="Arial" w:cs="Arial" w:eastAsia="Arial" w:hAnsi="Arial"/>
          <w:sz w:val="16"/>
          <w:szCs w:val="16"/>
          <w:i w:val="1"/>
          <w:iCs w:val="1"/>
          <w:color w:val="auto"/>
        </w:rPr>
        <w:t>Special Put Option.</w:t>
      </w:r>
    </w:p>
    <w:p>
      <w:pPr>
        <w:spacing w:after="0" w:line="117" w:lineRule="exact"/>
        <w:rPr>
          <w:sz w:val="20"/>
          <w:szCs w:val="20"/>
          <w:color w:val="auto"/>
        </w:rPr>
      </w:pPr>
    </w:p>
    <w:p>
      <w:pPr>
        <w:ind w:firstLine="987"/>
        <w:spacing w:after="0" w:line="255" w:lineRule="auto"/>
        <w:tabs>
          <w:tab w:leader="none" w:pos="1371" w:val="left"/>
        </w:tabs>
        <w:numPr>
          <w:ilvl w:val="0"/>
          <w:numId w:val="704"/>
        </w:numPr>
        <w:rPr>
          <w:rFonts w:ascii="Arial" w:cs="Arial" w:eastAsia="Arial" w:hAnsi="Arial"/>
          <w:sz w:val="18"/>
          <w:szCs w:val="18"/>
          <w:color w:val="auto"/>
        </w:rPr>
      </w:pPr>
      <w:r>
        <w:rPr>
          <w:rFonts w:ascii="Arial" w:cs="Arial" w:eastAsia="Arial" w:hAnsi="Arial"/>
          <w:sz w:val="18"/>
          <w:szCs w:val="18"/>
          <w:color w:val="auto"/>
        </w:rPr>
        <w:t>Upon a Special Put Option Triggering Event, each Holder will have the right to require the Company to repurchase all or any part of such Holder’s Notes pursuant to a Special Put Option Offer (as defined below) on the terms set forth in this Section 4.21. In the Special Put Option Offer, the Company will offer to purchase the Notes at a purchase price in cash equal to 100% of the principal amount thereof, plus accrued and unpaid interest, if any, and Additional Amounts, if any, to but excluding the date of repurchase (subject to the right of Holders of record on the relevant record date to receive interest due on the relevant interest payment date), except to the extent the Company has previously or concurrently elected to redeem the Notes in full as described under Section 3.07 hereof.</w:t>
      </w:r>
    </w:p>
    <w:p>
      <w:pPr>
        <w:spacing w:after="0" w:line="192" w:lineRule="exact"/>
        <w:rPr>
          <w:rFonts w:ascii="Arial" w:cs="Arial" w:eastAsia="Arial" w:hAnsi="Arial"/>
          <w:sz w:val="18"/>
          <w:szCs w:val="18"/>
          <w:color w:val="auto"/>
        </w:rPr>
      </w:pPr>
    </w:p>
    <w:p>
      <w:pPr>
        <w:ind w:right="320" w:firstLine="987"/>
        <w:spacing w:after="0" w:line="286" w:lineRule="auto"/>
        <w:tabs>
          <w:tab w:leader="none" w:pos="1378" w:val="left"/>
        </w:tabs>
        <w:numPr>
          <w:ilvl w:val="0"/>
          <w:numId w:val="704"/>
        </w:numPr>
        <w:rPr>
          <w:rFonts w:ascii="Arial" w:cs="Arial" w:eastAsia="Arial" w:hAnsi="Arial"/>
          <w:sz w:val="17"/>
          <w:szCs w:val="17"/>
          <w:color w:val="auto"/>
        </w:rPr>
      </w:pPr>
      <w:r>
        <w:rPr>
          <w:rFonts w:ascii="Arial" w:cs="Arial" w:eastAsia="Arial" w:hAnsi="Arial"/>
          <w:sz w:val="17"/>
          <w:szCs w:val="17"/>
          <w:color w:val="auto"/>
        </w:rPr>
        <w:t>Within ten days following the occurrence of a Special Put Option Triggering Event, except to the extent that the Company has exercised its right to redeem the Notes in full by delivery of a notice of redemption as described under Section 3.07 hereof the Company shall mail a notice (a “</w:t>
      </w:r>
      <w:r>
        <w:rPr>
          <w:rFonts w:ascii="Arial" w:cs="Arial" w:eastAsia="Arial" w:hAnsi="Arial"/>
          <w:sz w:val="17"/>
          <w:szCs w:val="17"/>
          <w:i w:val="1"/>
          <w:iCs w:val="1"/>
          <w:color w:val="auto"/>
        </w:rPr>
        <w:t>Special Put Option Offer</w:t>
      </w:r>
      <w:r>
        <w:rPr>
          <w:rFonts w:ascii="Arial" w:cs="Arial" w:eastAsia="Arial" w:hAnsi="Arial"/>
          <w:sz w:val="17"/>
          <w:szCs w:val="17"/>
          <w:color w:val="auto"/>
        </w:rPr>
        <w:t>”) to each Holder with a copy to the Trustee and the Paying Agent stating:</w:t>
      </w:r>
    </w:p>
    <w:p>
      <w:pPr>
        <w:spacing w:after="0" w:line="57" w:lineRule="exact"/>
        <w:rPr>
          <w:rFonts w:ascii="Arial" w:cs="Arial" w:eastAsia="Arial" w:hAnsi="Arial"/>
          <w:sz w:val="17"/>
          <w:szCs w:val="17"/>
          <w:color w:val="auto"/>
        </w:rPr>
      </w:pPr>
    </w:p>
    <w:p>
      <w:pPr>
        <w:ind w:left="980" w:firstLine="408"/>
        <w:spacing w:after="0" w:line="259" w:lineRule="auto"/>
        <w:tabs>
          <w:tab w:leader="none" w:pos="1771" w:val="left"/>
        </w:tabs>
        <w:numPr>
          <w:ilvl w:val="1"/>
          <w:numId w:val="704"/>
        </w:numPr>
        <w:rPr>
          <w:rFonts w:ascii="Arial" w:cs="Arial" w:eastAsia="Arial" w:hAnsi="Arial"/>
          <w:sz w:val="18"/>
          <w:szCs w:val="18"/>
          <w:color w:val="auto"/>
        </w:rPr>
      </w:pPr>
      <w:r>
        <w:rPr>
          <w:rFonts w:ascii="Arial" w:cs="Arial" w:eastAsia="Arial" w:hAnsi="Arial"/>
          <w:sz w:val="18"/>
          <w:szCs w:val="18"/>
          <w:color w:val="auto"/>
        </w:rPr>
        <w:t>that a Special Put Option Triggering Event has occurred and that such holder has the right to require the Company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704"/>
        </w:numPr>
        <w:rPr>
          <w:rFonts w:ascii="Arial" w:cs="Arial" w:eastAsia="Arial" w:hAnsi="Arial"/>
          <w:sz w:val="16"/>
          <w:szCs w:val="16"/>
          <w:color w:val="auto"/>
        </w:rPr>
      </w:pPr>
      <w:r>
        <w:rPr>
          <w:rFonts w:ascii="Arial" w:cs="Arial" w:eastAsia="Arial" w:hAnsi="Arial"/>
          <w:sz w:val="16"/>
          <w:szCs w:val="16"/>
          <w:color w:val="auto"/>
        </w:rPr>
        <w:t>the repurchase date (which shall be no earlier than 30 days nor later than 60 days from the date such notice is mailed); and</w:t>
      </w:r>
    </w:p>
    <w:p>
      <w:pPr>
        <w:spacing w:after="0" w:line="140" w:lineRule="exact"/>
        <w:rPr>
          <w:rFonts w:ascii="Arial" w:cs="Arial" w:eastAsia="Arial" w:hAnsi="Arial"/>
          <w:sz w:val="16"/>
          <w:szCs w:val="16"/>
          <w:color w:val="auto"/>
        </w:rPr>
      </w:pPr>
    </w:p>
    <w:p>
      <w:pPr>
        <w:ind w:left="980" w:right="280" w:firstLine="408"/>
        <w:spacing w:after="0" w:line="277" w:lineRule="auto"/>
        <w:tabs>
          <w:tab w:leader="none" w:pos="1771" w:val="left"/>
        </w:tabs>
        <w:numPr>
          <w:ilvl w:val="1"/>
          <w:numId w:val="704"/>
        </w:numPr>
        <w:rPr>
          <w:rFonts w:ascii="Arial" w:cs="Arial" w:eastAsia="Arial" w:hAnsi="Arial"/>
          <w:sz w:val="18"/>
          <w:szCs w:val="18"/>
          <w:color w:val="auto"/>
        </w:rPr>
      </w:pPr>
      <w:r>
        <w:rPr>
          <w:rFonts w:ascii="Arial" w:cs="Arial" w:eastAsia="Arial" w:hAnsi="Arial"/>
          <w:sz w:val="18"/>
          <w:szCs w:val="18"/>
          <w:color w:val="auto"/>
        </w:rPr>
        <w:t>the instructions determined by the Company, consistent with this Section 4.21, that a Holder must follow in order to have its Notes repurchased.</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On the date of repurchase pursuant to a Special Put Option Offer, the Company will, to the extent lawful:</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70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Special Put Option Offer;</w:t>
      </w:r>
    </w:p>
    <w:p>
      <w:pPr>
        <w:spacing w:after="0" w:line="117" w:lineRule="exact"/>
        <w:rPr>
          <w:rFonts w:ascii="Arial" w:cs="Arial" w:eastAsia="Arial" w:hAnsi="Arial"/>
          <w:sz w:val="18"/>
          <w:szCs w:val="18"/>
          <w:color w:val="auto"/>
        </w:rPr>
      </w:pPr>
    </w:p>
    <w:p>
      <w:pPr>
        <w:ind w:left="980" w:right="60" w:firstLine="408"/>
        <w:spacing w:after="0" w:line="263" w:lineRule="auto"/>
        <w:tabs>
          <w:tab w:leader="none" w:pos="1771" w:val="left"/>
        </w:tabs>
        <w:numPr>
          <w:ilvl w:val="1"/>
          <w:numId w:val="70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repurchase price, plus accrued and unpaid interest, if any, and Additional Amounts, if any, to but excluding the date of repurchase (the “</w:t>
      </w:r>
      <w:r>
        <w:rPr>
          <w:rFonts w:ascii="Arial" w:cs="Arial" w:eastAsia="Arial" w:hAnsi="Arial"/>
          <w:sz w:val="18"/>
          <w:szCs w:val="18"/>
          <w:i w:val="1"/>
          <w:iCs w:val="1"/>
          <w:color w:val="auto"/>
        </w:rPr>
        <w:t>Special Put Option Payment</w:t>
      </w:r>
      <w:r>
        <w:rPr>
          <w:rFonts w:ascii="Arial" w:cs="Arial" w:eastAsia="Arial" w:hAnsi="Arial"/>
          <w:sz w:val="18"/>
          <w:szCs w:val="18"/>
          <w:color w:val="auto"/>
        </w:rPr>
        <w:t>”), in respect of all Notes or portions of Notes properly tendered; and</w:t>
      </w:r>
    </w:p>
    <w:p>
      <w:pPr>
        <w:spacing w:after="0" w:line="75" w:lineRule="exact"/>
        <w:rPr>
          <w:rFonts w:ascii="Arial" w:cs="Arial" w:eastAsia="Arial" w:hAnsi="Arial"/>
          <w:sz w:val="18"/>
          <w:szCs w:val="18"/>
          <w:color w:val="auto"/>
        </w:rPr>
      </w:pPr>
    </w:p>
    <w:p>
      <w:pPr>
        <w:ind w:left="980" w:right="340" w:firstLine="408"/>
        <w:spacing w:after="0" w:line="308" w:lineRule="auto"/>
        <w:tabs>
          <w:tab w:leader="none" w:pos="1771" w:val="left"/>
        </w:tabs>
        <w:numPr>
          <w:ilvl w:val="1"/>
          <w:numId w:val="704"/>
        </w:numPr>
        <w:rPr>
          <w:rFonts w:ascii="Arial" w:cs="Arial" w:eastAsia="Arial" w:hAnsi="Arial"/>
          <w:sz w:val="17"/>
          <w:szCs w:val="17"/>
          <w:color w:val="auto"/>
        </w:rPr>
      </w:pPr>
      <w:r>
        <w:rPr>
          <w:rFonts w:ascii="Arial" w:cs="Arial" w:eastAsia="Arial" w:hAnsi="Arial"/>
          <w:sz w:val="17"/>
          <w:szCs w:val="17"/>
          <w:color w:val="auto"/>
        </w:rPr>
        <w:t>deliver or cause to be delivered to the Trustee, the Notes properly accepted together with an Officer’s Certificate stating the aggregate principal amount of Notes or portions of Notes properly tendered and being purchased by the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3" w:right="459" w:bottom="1440" w:gutter="0" w:footer="0" w:header="0"/>
        </w:sectPr>
      </w:pPr>
    </w:p>
    <w:bookmarkStart w:id="540" w:name="page541"/>
    <w:bookmarkEnd w:id="540"/>
    <w:p>
      <w:pPr>
        <w:ind w:left="-40" w:right="200" w:firstLine="987"/>
        <w:spacing w:after="0" w:line="263" w:lineRule="auto"/>
        <w:tabs>
          <w:tab w:leader="none" w:pos="1338" w:val="left"/>
        </w:tabs>
        <w:numPr>
          <w:ilvl w:val="0"/>
          <w:numId w:val="7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Paying Agent will promptly mail to each Holder properly tendered the Special Put Option Payment for such Notes, and the Trustee, or its authenticating agent, will promptly authenticate and mail (or cause to be transferred by book entry) to each Holder a new Note equal in principal amount to any unpurchased portion of the Notes surrendered, if any.</w:t>
      </w:r>
    </w:p>
    <w:p>
      <w:pPr>
        <w:spacing w:after="0" w:line="183" w:lineRule="exact"/>
        <w:rPr>
          <w:rFonts w:ascii="Arial" w:cs="Arial" w:eastAsia="Arial" w:hAnsi="Arial"/>
          <w:sz w:val="18"/>
          <w:szCs w:val="18"/>
          <w:color w:val="auto"/>
        </w:rPr>
      </w:pPr>
    </w:p>
    <w:p>
      <w:pPr>
        <w:ind w:left="-40" w:right="160" w:firstLine="987"/>
        <w:spacing w:after="0" w:line="279" w:lineRule="auto"/>
        <w:tabs>
          <w:tab w:leader="none" w:pos="1328" w:val="left"/>
        </w:tabs>
        <w:numPr>
          <w:ilvl w:val="0"/>
          <w:numId w:val="705"/>
        </w:numPr>
        <w:rPr>
          <w:rFonts w:ascii="Arial" w:cs="Arial" w:eastAsia="Arial" w:hAnsi="Arial"/>
          <w:sz w:val="17"/>
          <w:szCs w:val="17"/>
          <w:color w:val="auto"/>
        </w:rPr>
      </w:pPr>
      <w:r>
        <w:rPr>
          <w:rFonts w:ascii="Arial" w:cs="Arial" w:eastAsia="Arial" w:hAnsi="Arial"/>
          <w:sz w:val="17"/>
          <w:szCs w:val="17"/>
          <w:color w:val="auto"/>
        </w:rPr>
        <w:t>The provisions described in this Section 4.21 that require the Company to make a Special Put Option Offer following a Special Put Option Triggering Event will be applicable whether or not any other provisions of the Indenture are applicable. Except as described this Section 4.21 with respect to a Special Put Option Triggering Event, this Indenture does not contain provisions that permit the Holders to require that the Company repurchase or redeem the Notes in the event of a termination, rescission or expiration of any Gaming License.</w:t>
      </w:r>
    </w:p>
    <w:p>
      <w:pPr>
        <w:spacing w:after="0" w:line="171" w:lineRule="exact"/>
        <w:rPr>
          <w:rFonts w:ascii="Arial" w:cs="Arial" w:eastAsia="Arial" w:hAnsi="Arial"/>
          <w:sz w:val="17"/>
          <w:szCs w:val="17"/>
          <w:color w:val="auto"/>
        </w:rPr>
      </w:pPr>
    </w:p>
    <w:p>
      <w:pPr>
        <w:ind w:left="-40" w:right="20" w:firstLine="987"/>
        <w:spacing w:after="0" w:line="275" w:lineRule="auto"/>
        <w:tabs>
          <w:tab w:leader="none" w:pos="1308" w:val="left"/>
        </w:tabs>
        <w:numPr>
          <w:ilvl w:val="0"/>
          <w:numId w:val="705"/>
        </w:numPr>
        <w:rPr>
          <w:rFonts w:ascii="Arial" w:cs="Arial" w:eastAsia="Arial" w:hAnsi="Arial"/>
          <w:sz w:val="17"/>
          <w:szCs w:val="17"/>
          <w:color w:val="auto"/>
        </w:rPr>
      </w:pPr>
      <w:r>
        <w:rPr>
          <w:rFonts w:ascii="Arial" w:cs="Arial" w:eastAsia="Arial" w:hAnsi="Arial"/>
          <w:sz w:val="17"/>
          <w:szCs w:val="17"/>
          <w:color w:val="auto"/>
        </w:rPr>
        <w:t>The Company will not be required to make a Special Put Option Offer upon a Special Put Option Triggering Event if (1) a third party makes the Special Put Option Offer in the manner, at the times and otherwise in compliance with the requirements set forth in the Indenture applicable to a Special Put Option Offer made by the Company and purchases all Notes properly tendered and not withdrawn under the Special Put Option Offer, or (2) notice of redemption has been given in accordance with Section 3.07 and Section 3.10 hereof pursuant to which the Company has exercised its right to redeem the Notes in full, unless and until there is a default in payment of the applicable redemption price.</w:t>
      </w:r>
    </w:p>
    <w:p>
      <w:pPr>
        <w:spacing w:after="0" w:line="176" w:lineRule="exact"/>
        <w:rPr>
          <w:rFonts w:ascii="Arial" w:cs="Arial" w:eastAsia="Arial" w:hAnsi="Arial"/>
          <w:sz w:val="17"/>
          <w:szCs w:val="17"/>
          <w:color w:val="auto"/>
        </w:rPr>
      </w:pPr>
    </w:p>
    <w:p>
      <w:pPr>
        <w:ind w:left="-40" w:firstLine="987"/>
        <w:spacing w:after="0" w:line="263" w:lineRule="auto"/>
        <w:tabs>
          <w:tab w:leader="none" w:pos="1341" w:val="left"/>
        </w:tabs>
        <w:numPr>
          <w:ilvl w:val="0"/>
          <w:numId w:val="705"/>
        </w:numPr>
        <w:rPr>
          <w:rFonts w:ascii="Arial" w:cs="Arial" w:eastAsia="Arial" w:hAnsi="Arial"/>
          <w:sz w:val="18"/>
          <w:szCs w:val="18"/>
          <w:color w:val="auto"/>
        </w:rPr>
      </w:pPr>
      <w:r>
        <w:rPr>
          <w:rFonts w:ascii="Arial" w:cs="Arial" w:eastAsia="Arial" w:hAnsi="Arial"/>
          <w:sz w:val="18"/>
          <w:szCs w:val="18"/>
          <w:color w:val="auto"/>
        </w:rPr>
        <w:t>Notes repurchased by the Company pursuant to a Special Put Option Offer will have the status of Notes issued but not outstanding or will be retired and cancelled at the option of the Company. Notes purchased by a third party pursuant to sub-clause (b)(3) of this Section 4.21 will have the status of Notes issued and outstanding.</w:t>
      </w:r>
    </w:p>
    <w:p>
      <w:pPr>
        <w:spacing w:after="0" w:line="183" w:lineRule="exact"/>
        <w:rPr>
          <w:rFonts w:ascii="Arial" w:cs="Arial" w:eastAsia="Arial" w:hAnsi="Arial"/>
          <w:sz w:val="18"/>
          <w:szCs w:val="18"/>
          <w:color w:val="auto"/>
        </w:rPr>
      </w:pPr>
    </w:p>
    <w:p>
      <w:pPr>
        <w:ind w:left="-40" w:right="80" w:firstLine="987"/>
        <w:spacing w:after="0" w:line="259" w:lineRule="auto"/>
        <w:tabs>
          <w:tab w:leader="none" w:pos="1338"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Company will comply, to the extent applicable, with the requirements of Section 14(e) of the Exchange Act and any other securities laws or regulations in connection with the repurchase of Notes pursuant to this provision. To the extent that the provisions of any securities laws or regulations conflict with provisions of this provision, the Company will comply with the applicable securities laws and regulations and will not be deemed to have breached its obligations under this covenant by virtue thereof.</w:t>
      </w:r>
    </w:p>
    <w:p>
      <w:pPr>
        <w:spacing w:after="0" w:line="295" w:lineRule="exact"/>
        <w:rPr>
          <w:sz w:val="20"/>
          <w:szCs w:val="20"/>
          <w:color w:val="auto"/>
        </w:rPr>
      </w:pPr>
    </w:p>
    <w:p>
      <w:pPr>
        <w:ind w:left="400"/>
        <w:spacing w:after="0"/>
        <w:tabs>
          <w:tab w:leader="none" w:pos="1460" w:val="left"/>
        </w:tabs>
        <w:rPr>
          <w:sz w:val="20"/>
          <w:szCs w:val="20"/>
          <w:color w:val="auto"/>
        </w:rPr>
      </w:pPr>
      <w:r>
        <w:rPr>
          <w:rFonts w:ascii="Arial" w:cs="Arial" w:eastAsia="Arial" w:hAnsi="Arial"/>
          <w:sz w:val="18"/>
          <w:szCs w:val="18"/>
          <w:color w:val="auto"/>
        </w:rPr>
        <w:t>Section 4.22</w:t>
      </w:r>
      <w:r>
        <w:rPr>
          <w:sz w:val="20"/>
          <w:szCs w:val="20"/>
          <w:color w:val="auto"/>
        </w:rPr>
        <w:tab/>
      </w:r>
      <w:r>
        <w:rPr>
          <w:rFonts w:ascii="Arial" w:cs="Arial" w:eastAsia="Arial" w:hAnsi="Arial"/>
          <w:sz w:val="16"/>
          <w:szCs w:val="16"/>
          <w:i w:val="1"/>
          <w:iCs w:val="1"/>
          <w:color w:val="auto"/>
        </w:rPr>
        <w:t>Intercompany Note Proceeds Loans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Company shall, and shall cause its Restricted Subsidiaries to, ensure that:</w:t>
      </w:r>
    </w:p>
    <w:p>
      <w:pPr>
        <w:spacing w:after="0" w:line="117" w:lineRule="exact"/>
        <w:rPr>
          <w:sz w:val="20"/>
          <w:szCs w:val="20"/>
          <w:color w:val="auto"/>
        </w:rPr>
      </w:pPr>
    </w:p>
    <w:p>
      <w:pPr>
        <w:ind w:left="940" w:right="620" w:firstLine="408"/>
        <w:spacing w:after="0" w:line="277" w:lineRule="auto"/>
        <w:tabs>
          <w:tab w:leader="none" w:pos="1731" w:val="left"/>
        </w:tabs>
        <w:numPr>
          <w:ilvl w:val="0"/>
          <w:numId w:val="706"/>
        </w:numPr>
        <w:rPr>
          <w:rFonts w:ascii="Arial" w:cs="Arial" w:eastAsia="Arial" w:hAnsi="Arial"/>
          <w:sz w:val="18"/>
          <w:szCs w:val="18"/>
          <w:color w:val="auto"/>
        </w:rPr>
      </w:pPr>
      <w:r>
        <w:rPr>
          <w:rFonts w:ascii="Arial" w:cs="Arial" w:eastAsia="Arial" w:hAnsi="Arial"/>
          <w:sz w:val="18"/>
          <w:szCs w:val="18"/>
          <w:color w:val="auto"/>
        </w:rPr>
        <w:t>the Intercompany Note Proceeds Loans (if any) are subordinated in right of payment to the Guarantees provided by the Company’s Restricted Subsidiaries party thereto;</w:t>
      </w:r>
    </w:p>
    <w:p>
      <w:pPr>
        <w:spacing w:after="0" w:line="62" w:lineRule="exact"/>
        <w:rPr>
          <w:rFonts w:ascii="Arial" w:cs="Arial" w:eastAsia="Arial" w:hAnsi="Arial"/>
          <w:sz w:val="18"/>
          <w:szCs w:val="18"/>
          <w:color w:val="auto"/>
        </w:rPr>
      </w:pPr>
    </w:p>
    <w:p>
      <w:pPr>
        <w:ind w:left="940" w:right="180" w:firstLine="408"/>
        <w:spacing w:after="0" w:line="277" w:lineRule="auto"/>
        <w:tabs>
          <w:tab w:leader="none" w:pos="1731" w:val="left"/>
        </w:tabs>
        <w:numPr>
          <w:ilvl w:val="0"/>
          <w:numId w:val="706"/>
        </w:numPr>
        <w:rPr>
          <w:rFonts w:ascii="Arial" w:cs="Arial" w:eastAsia="Arial" w:hAnsi="Arial"/>
          <w:sz w:val="18"/>
          <w:szCs w:val="18"/>
          <w:color w:val="auto"/>
        </w:rPr>
      </w:pPr>
      <w:r>
        <w:rPr>
          <w:rFonts w:ascii="Arial" w:cs="Arial" w:eastAsia="Arial" w:hAnsi="Arial"/>
          <w:sz w:val="18"/>
          <w:szCs w:val="18"/>
          <w:color w:val="auto"/>
        </w:rPr>
        <w:t>the Company will receive interest payments under such Intercompany Note Proceeds Loans (if any) in amounts sufficient for the Company to make interest payments under the Notes as they become due; and</w:t>
      </w:r>
    </w:p>
    <w:p>
      <w:pPr>
        <w:spacing w:after="0" w:line="62" w:lineRule="exact"/>
        <w:rPr>
          <w:rFonts w:ascii="Arial" w:cs="Arial" w:eastAsia="Arial" w:hAnsi="Arial"/>
          <w:sz w:val="18"/>
          <w:szCs w:val="18"/>
          <w:color w:val="auto"/>
        </w:rPr>
      </w:pPr>
    </w:p>
    <w:p>
      <w:pPr>
        <w:ind w:left="1740" w:hanging="392"/>
        <w:spacing w:after="0"/>
        <w:tabs>
          <w:tab w:leader="none" w:pos="1740" w:val="left"/>
        </w:tabs>
        <w:numPr>
          <w:ilvl w:val="0"/>
          <w:numId w:val="706"/>
        </w:numPr>
        <w:rPr>
          <w:rFonts w:ascii="Arial" w:cs="Arial" w:eastAsia="Arial" w:hAnsi="Arial"/>
          <w:sz w:val="17"/>
          <w:szCs w:val="17"/>
          <w:color w:val="auto"/>
        </w:rPr>
      </w:pPr>
      <w:r>
        <w:rPr>
          <w:rFonts w:ascii="Arial" w:cs="Arial" w:eastAsia="Arial" w:hAnsi="Arial"/>
          <w:sz w:val="17"/>
          <w:szCs w:val="17"/>
          <w:color w:val="auto"/>
        </w:rPr>
        <w:t>the maturity date of such Intercompany Note Proceeds Loans (if any) will be same as the maturity date of the Notes.</w:t>
      </w:r>
    </w:p>
    <w:p>
      <w:pPr>
        <w:spacing w:after="0" w:line="345" w:lineRule="exact"/>
        <w:rPr>
          <w:sz w:val="20"/>
          <w:szCs w:val="20"/>
          <w:color w:val="auto"/>
        </w:rPr>
      </w:pPr>
    </w:p>
    <w:p>
      <w:pPr>
        <w:ind w:left="400"/>
        <w:spacing w:after="0"/>
        <w:tabs>
          <w:tab w:leader="none" w:pos="1460" w:val="left"/>
        </w:tabs>
        <w:rPr>
          <w:sz w:val="20"/>
          <w:szCs w:val="20"/>
          <w:color w:val="auto"/>
        </w:rPr>
      </w:pPr>
      <w:r>
        <w:rPr>
          <w:rFonts w:ascii="Arial" w:cs="Arial" w:eastAsia="Arial" w:hAnsi="Arial"/>
          <w:sz w:val="18"/>
          <w:szCs w:val="18"/>
          <w:color w:val="auto"/>
        </w:rPr>
        <w:t>Section 4.23</w:t>
      </w:r>
      <w:r>
        <w:rPr>
          <w:sz w:val="20"/>
          <w:szCs w:val="20"/>
          <w:color w:val="auto"/>
        </w:rPr>
        <w:tab/>
      </w:r>
      <w:r>
        <w:rPr>
          <w:rFonts w:ascii="Arial" w:cs="Arial" w:eastAsia="Arial" w:hAnsi="Arial"/>
          <w:sz w:val="15"/>
          <w:szCs w:val="15"/>
          <w:i w:val="1"/>
          <w:iCs w:val="1"/>
          <w:color w:val="auto"/>
        </w:rPr>
        <w:t>Suspension of Covenants</w:t>
      </w:r>
    </w:p>
    <w:p>
      <w:pPr>
        <w:spacing w:after="0" w:line="117" w:lineRule="exact"/>
        <w:rPr>
          <w:sz w:val="20"/>
          <w:szCs w:val="20"/>
          <w:color w:val="auto"/>
        </w:rPr>
      </w:pPr>
    </w:p>
    <w:p>
      <w:pPr>
        <w:ind w:left="-40" w:right="100" w:firstLine="987"/>
        <w:spacing w:after="0" w:line="311" w:lineRule="auto"/>
        <w:tabs>
          <w:tab w:leader="none" w:pos="1328" w:val="left"/>
        </w:tabs>
        <w:numPr>
          <w:ilvl w:val="0"/>
          <w:numId w:val="707"/>
        </w:numPr>
        <w:rPr>
          <w:rFonts w:ascii="Arial" w:cs="Arial" w:eastAsia="Arial" w:hAnsi="Arial"/>
          <w:sz w:val="16"/>
          <w:szCs w:val="16"/>
          <w:color w:val="auto"/>
        </w:rPr>
      </w:pPr>
      <w:r>
        <w:rPr>
          <w:rFonts w:ascii="Arial" w:cs="Arial" w:eastAsia="Arial" w:hAnsi="Arial"/>
          <w:sz w:val="16"/>
          <w:szCs w:val="16"/>
          <w:color w:val="auto"/>
        </w:rPr>
        <w:t>The following covenants (the “</w:t>
      </w:r>
      <w:r>
        <w:rPr>
          <w:rFonts w:ascii="Arial" w:cs="Arial" w:eastAsia="Arial" w:hAnsi="Arial"/>
          <w:sz w:val="16"/>
          <w:szCs w:val="16"/>
          <w:i w:val="1"/>
          <w:iCs w:val="1"/>
          <w:color w:val="auto"/>
        </w:rPr>
        <w:t>Suspended Covenants</w:t>
      </w:r>
      <w:r>
        <w:rPr>
          <w:rFonts w:ascii="Arial" w:cs="Arial" w:eastAsia="Arial" w:hAnsi="Arial"/>
          <w:sz w:val="16"/>
          <w:szCs w:val="16"/>
          <w:color w:val="auto"/>
        </w:rPr>
        <w:t>”) will not apply during any period during which the Notes have an Investment Grade Status (a “</w:t>
      </w:r>
      <w:r>
        <w:rPr>
          <w:rFonts w:ascii="Arial" w:cs="Arial" w:eastAsia="Arial" w:hAnsi="Arial"/>
          <w:sz w:val="16"/>
          <w:szCs w:val="16"/>
          <w:i w:val="1"/>
          <w:iCs w:val="1"/>
          <w:color w:val="auto"/>
        </w:rPr>
        <w:t>Suspension Period</w:t>
      </w:r>
      <w:r>
        <w:rPr>
          <w:rFonts w:ascii="Arial" w:cs="Arial" w:eastAsia="Arial" w:hAnsi="Arial"/>
          <w:sz w:val="16"/>
          <w:szCs w:val="16"/>
          <w:color w:val="auto"/>
        </w:rPr>
        <w:t>”): Section 4.07, Section 4.08, Section 4.09, Section 4.10, Section 4.11, Section 5.01(a)(3) and Section 4.17. Additionally, during any Suspension Period, the Company will not be permitted to designate any Restricted Subsidiary as an Unrestricted Subsidiary.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20"/>
          </w:cols>
          <w:pgMar w:left="480" w:top="273" w:right="499" w:bottom="1440" w:gutter="0" w:footer="0" w:header="0"/>
        </w:sectPr>
      </w:pPr>
    </w:p>
    <w:bookmarkStart w:id="541" w:name="page542"/>
    <w:bookmarkEnd w:id="541"/>
    <w:p>
      <w:pPr>
        <w:ind w:left="4" w:right="20" w:firstLine="987"/>
        <w:spacing w:after="0" w:line="269" w:lineRule="auto"/>
        <w:tabs>
          <w:tab w:leader="none" w:pos="1385" w:val="left"/>
        </w:tabs>
        <w:numPr>
          <w:ilvl w:val="1"/>
          <w:numId w:val="70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Company and its Restricted Subsidiaries are not subject to the Suspended Covenants for any period of time as a result of the foregoing, and on any subsequent date (the “</w:t>
      </w:r>
      <w:r>
        <w:rPr>
          <w:rFonts w:ascii="Arial" w:cs="Arial" w:eastAsia="Arial" w:hAnsi="Arial"/>
          <w:sz w:val="17"/>
          <w:szCs w:val="17"/>
          <w:i w:val="1"/>
          <w:iCs w:val="1"/>
          <w:color w:val="auto"/>
        </w:rPr>
        <w:t>Reversion Date</w:t>
      </w:r>
      <w:r>
        <w:rPr>
          <w:rFonts w:ascii="Arial" w:cs="Arial" w:eastAsia="Arial" w:hAnsi="Arial"/>
          <w:sz w:val="17"/>
          <w:szCs w:val="17"/>
          <w:color w:val="auto"/>
        </w:rPr>
        <w:t xml:space="preserve">”) the Notes cease to have Investment Grade Status, then the Suspended Covenants will apply with respect to events occurring following the Reversion Date (unless and until the Notes subsequently attain an Investment Grade Status, in which case the Suspended Covenants will again be suspended for such time that the Notes maintain an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Default or Event of Default will be deemed to exist under the Indenture with respect to the Suspended Covenants, and none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or any of its Subsidiaries will bear any liability for any actions taken or events occurring during a Suspension Period and before any related Reversion Date, or any actions taken at any time pursuant to any contractual obligation or binding commitment arising prior to such Reversion Date, regardless of whether those actions or events would have been permitted if the applicable Suspended Covenant had remained in effect during such period. The Company shall notify the Trustee should the Notes achieve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notification shall not be a condition for the suspension of the covenants set forth above to be effective. The Trustee shall be under no obligation to notify the holders of the Notes that the Notes have achieved Investment Grade Status.</w:t>
      </w:r>
    </w:p>
    <w:p>
      <w:pPr>
        <w:spacing w:after="0" w:line="181" w:lineRule="exact"/>
        <w:rPr>
          <w:rFonts w:ascii="Arial" w:cs="Arial" w:eastAsia="Arial" w:hAnsi="Arial"/>
          <w:sz w:val="17"/>
          <w:szCs w:val="17"/>
          <w:color w:val="auto"/>
        </w:rPr>
      </w:pPr>
    </w:p>
    <w:p>
      <w:pPr>
        <w:jc w:val="both"/>
        <w:ind w:left="4" w:right="160" w:firstLine="987"/>
        <w:spacing w:after="0" w:line="291" w:lineRule="auto"/>
        <w:tabs>
          <w:tab w:leader="none" w:pos="1375" w:val="left"/>
        </w:tabs>
        <w:numPr>
          <w:ilvl w:val="1"/>
          <w:numId w:val="708"/>
        </w:numPr>
        <w:rPr>
          <w:rFonts w:ascii="Arial" w:cs="Arial" w:eastAsia="Arial" w:hAnsi="Arial"/>
          <w:sz w:val="16"/>
          <w:szCs w:val="16"/>
          <w:color w:val="auto"/>
        </w:rPr>
      </w:pPr>
      <w:r>
        <w:rPr>
          <w:rFonts w:ascii="Arial" w:cs="Arial" w:eastAsia="Arial" w:hAnsi="Arial"/>
          <w:sz w:val="16"/>
          <w:szCs w:val="16"/>
          <w:color w:val="auto"/>
        </w:rPr>
        <w:t>On each Reversion Date, all Indebtedness Incurred during the Suspension Period prior to such Reversion Date will be deemed to be Indebtedness existing on the Issue Date. For purposes of calculating the amount available to be made as Restricted Payments under Section 4.07(a)(4)</w:t>
      </w:r>
    </w:p>
    <w:p>
      <w:pPr>
        <w:ind w:left="4" w:hanging="4"/>
        <w:spacing w:after="0" w:line="269" w:lineRule="auto"/>
        <w:tabs>
          <w:tab w:leader="none" w:pos="289" w:val="left"/>
        </w:tabs>
        <w:numPr>
          <w:ilvl w:val="0"/>
          <w:numId w:val="709"/>
        </w:numPr>
        <w:rPr>
          <w:rFonts w:ascii="Arial" w:cs="Arial" w:eastAsia="Arial" w:hAnsi="Arial"/>
          <w:sz w:val="17"/>
          <w:szCs w:val="17"/>
          <w:color w:val="auto"/>
        </w:rPr>
      </w:pPr>
      <w:r>
        <w:rPr>
          <w:rFonts w:ascii="Arial" w:cs="Arial" w:eastAsia="Arial" w:hAnsi="Arial"/>
          <w:sz w:val="17"/>
          <w:szCs w:val="17"/>
          <w:color w:val="auto"/>
        </w:rPr>
        <w:t>hereof on or after the Reversion Date, calculations under such covenant shall be made as though such covenant had been in effect during the entire period of time after the Issue Date (including the Suspension Period). Restricted Payments made during the Suspension Period not otherwise permitted pursuant to any of clauses (2) through (6) or (18) under Section 4.07(b) hereof will reduce the amount available to be made as Restricted Payments under Section 4.07(a)(4)(C) hereof; provided, that the amount available to be made as Restricted Payments on the Reversion Date shall not be reduced to below zero solely as a result of such Restricted Payments. In addition, for purposes of the other Suspended Covenants, all agreements entered into and all actions taken during the Suspension Period, including, without limitation, the Incurrence of Indebtedness shall be deemed to have been taken or to have existed prior to the Issue Date.</w:t>
      </w:r>
    </w:p>
    <w:p>
      <w:pPr>
        <w:spacing w:after="0" w:line="28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117" w:lineRule="exact"/>
        <w:rPr>
          <w:sz w:val="20"/>
          <w:szCs w:val="20"/>
          <w:color w:val="auto"/>
        </w:rPr>
      </w:pPr>
    </w:p>
    <w:p>
      <w:pPr>
        <w:jc w:val="both"/>
        <w:ind w:left="4" w:right="60" w:firstLine="987"/>
        <w:spacing w:after="0" w:line="286" w:lineRule="auto"/>
        <w:tabs>
          <w:tab w:leader="none" w:pos="1375" w:val="left"/>
        </w:tabs>
        <w:numPr>
          <w:ilvl w:val="0"/>
          <w:numId w:val="710"/>
        </w:numPr>
        <w:rPr>
          <w:rFonts w:ascii="Arial" w:cs="Arial" w:eastAsia="Arial" w:hAnsi="Arial"/>
          <w:sz w:val="17"/>
          <w:szCs w:val="17"/>
          <w:color w:val="auto"/>
        </w:rPr>
      </w:pPr>
      <w:r>
        <w:rPr>
          <w:rFonts w:ascii="Arial" w:cs="Arial" w:eastAsia="Arial" w:hAnsi="Arial"/>
          <w:sz w:val="17"/>
          <w:szCs w:val="17"/>
          <w:i w:val="1"/>
          <w:iCs w:val="1"/>
          <w:color w:val="auto"/>
        </w:rPr>
        <w:t>The Company</w:t>
      </w:r>
      <w:r>
        <w:rPr>
          <w:rFonts w:ascii="Arial" w:cs="Arial" w:eastAsia="Arial" w:hAnsi="Arial"/>
          <w:sz w:val="17"/>
          <w:szCs w:val="17"/>
          <w:color w:val="auto"/>
        </w:rPr>
        <w:t>. The Company will not, directly or indirectly: (1) consolidate or merge with or into another Person (whether or not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survives); or (2) sell, assign, transfer, convey or otherwise dispose of all or substantially all of the properties or assets of the Company and its Restricted Subsidiaries taken as a whole, in one or more related transactions, to another Person unless:</w:t>
      </w:r>
    </w:p>
    <w:p>
      <w:pPr>
        <w:spacing w:after="0" w:line="57" w:lineRule="exact"/>
        <w:rPr>
          <w:rFonts w:ascii="Arial" w:cs="Arial" w:eastAsia="Arial" w:hAnsi="Arial"/>
          <w:sz w:val="17"/>
          <w:szCs w:val="17"/>
          <w:color w:val="auto"/>
        </w:rPr>
      </w:pPr>
    </w:p>
    <w:p>
      <w:pPr>
        <w:ind w:left="1784" w:hanging="392"/>
        <w:spacing w:after="0"/>
        <w:tabs>
          <w:tab w:leader="none" w:pos="1784" w:val="left"/>
        </w:tabs>
        <w:numPr>
          <w:ilvl w:val="1"/>
          <w:numId w:val="71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424" w:right="300" w:firstLine="391"/>
        <w:spacing w:after="0" w:line="308" w:lineRule="auto"/>
        <w:tabs>
          <w:tab w:leader="none" w:pos="2237" w:val="left"/>
        </w:tabs>
        <w:numPr>
          <w:ilvl w:val="2"/>
          <w:numId w:val="710"/>
        </w:numPr>
        <w:rPr>
          <w:rFonts w:ascii="Arial" w:cs="Arial" w:eastAsia="Arial" w:hAnsi="Arial"/>
          <w:sz w:val="17"/>
          <w:szCs w:val="17"/>
          <w:color w:val="auto"/>
        </w:rPr>
      </w:pPr>
      <w:r>
        <w:rPr>
          <w:rFonts w:ascii="Arial" w:cs="Arial" w:eastAsia="Arial" w:hAnsi="Arial"/>
          <w:sz w:val="17"/>
          <w:szCs w:val="17"/>
          <w:color w:val="auto"/>
        </w:rPr>
        <w:t>if the transaction or series of transactions is a consolidation of the Company with or a merger of the Company with or into any other Person, the Company shall be the surviving entity of such merger or consolidation; or</w:t>
      </w:r>
    </w:p>
    <w:p>
      <w:pPr>
        <w:spacing w:after="0" w:line="38" w:lineRule="exact"/>
        <w:rPr>
          <w:rFonts w:ascii="Arial" w:cs="Arial" w:eastAsia="Arial" w:hAnsi="Arial"/>
          <w:sz w:val="17"/>
          <w:szCs w:val="17"/>
          <w:color w:val="auto"/>
        </w:rPr>
      </w:pPr>
    </w:p>
    <w:p>
      <w:pPr>
        <w:ind w:left="1424" w:right="80" w:firstLine="391"/>
        <w:spacing w:after="0" w:line="296" w:lineRule="auto"/>
        <w:tabs>
          <w:tab w:leader="none" w:pos="2227" w:val="left"/>
        </w:tabs>
        <w:numPr>
          <w:ilvl w:val="2"/>
          <w:numId w:val="710"/>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the Company)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the Company under the Notes and this Indenture, pursuant to supplemental indentures or other documents or agreements reasonably satisfactory to the Trustee;</w:t>
      </w:r>
    </w:p>
    <w:p>
      <w:pPr>
        <w:spacing w:after="0" w:line="53" w:lineRule="exact"/>
        <w:rPr>
          <w:rFonts w:ascii="Arial" w:cs="Arial" w:eastAsia="Arial" w:hAnsi="Arial"/>
          <w:sz w:val="16"/>
          <w:szCs w:val="16"/>
          <w:color w:val="auto"/>
        </w:rPr>
      </w:pPr>
    </w:p>
    <w:p>
      <w:pPr>
        <w:ind w:left="1784" w:hanging="392"/>
        <w:spacing w:after="0"/>
        <w:tabs>
          <w:tab w:leader="none" w:pos="1784" w:val="left"/>
        </w:tabs>
        <w:numPr>
          <w:ilvl w:val="1"/>
          <w:numId w:val="71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3" w:right="459" w:bottom="1440" w:gutter="0" w:footer="0" w:header="0"/>
        </w:sectPr>
      </w:pPr>
    </w:p>
    <w:bookmarkStart w:id="542" w:name="page543"/>
    <w:bookmarkEnd w:id="542"/>
    <w:p>
      <w:pPr>
        <w:ind w:left="980" w:firstLine="408"/>
        <w:spacing w:after="0" w:line="257" w:lineRule="auto"/>
        <w:tabs>
          <w:tab w:leader="none" w:pos="1771" w:val="left"/>
        </w:tabs>
        <w:numPr>
          <w:ilvl w:val="1"/>
          <w:numId w:val="7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or if applicable, the Person formed by or surviving any such consolidation or merger (if other than the Company),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US$1.00 of additional Indebtedness pursuant to the Fixed Charge Coverage Ratio test set forth in Section 4.09(a) hereof.</w:t>
      </w:r>
    </w:p>
    <w:p>
      <w:pPr>
        <w:spacing w:after="0" w:line="187" w:lineRule="exact"/>
        <w:rPr>
          <w:rFonts w:ascii="Arial" w:cs="Arial" w:eastAsia="Arial" w:hAnsi="Arial"/>
          <w:sz w:val="18"/>
          <w:szCs w:val="18"/>
          <w:color w:val="auto"/>
        </w:rPr>
      </w:pPr>
    </w:p>
    <w:p>
      <w:pPr>
        <w:ind w:right="180" w:firstLine="987"/>
        <w:spacing w:after="0" w:line="259" w:lineRule="auto"/>
        <w:tabs>
          <w:tab w:leader="none" w:pos="1381" w:val="left"/>
        </w:tabs>
        <w:numPr>
          <w:ilvl w:val="0"/>
          <w:numId w:val="712"/>
        </w:numPr>
        <w:rPr>
          <w:rFonts w:ascii="Arial" w:cs="Arial" w:eastAsia="Arial" w:hAnsi="Arial"/>
          <w:sz w:val="18"/>
          <w:szCs w:val="18"/>
          <w:color w:val="auto"/>
        </w:rPr>
      </w:pPr>
      <w:r>
        <w:rPr>
          <w:rFonts w:ascii="Arial" w:cs="Arial" w:eastAsia="Arial" w:hAnsi="Arial"/>
          <w:sz w:val="18"/>
          <w:szCs w:val="18"/>
          <w:i w:val="1"/>
          <w:iCs w:val="1"/>
          <w:color w:val="auto"/>
        </w:rPr>
        <w:t>The Subsidiary Guarantors</w:t>
      </w:r>
      <w:r>
        <w:rPr>
          <w:rFonts w:ascii="Arial" w:cs="Arial" w:eastAsia="Arial" w:hAnsi="Arial"/>
          <w:sz w:val="18"/>
          <w:szCs w:val="18"/>
          <w:color w:val="auto"/>
        </w:rPr>
        <w:t>. Subject to the Section 11.08(c) hereof, no Subsidiary Guarantor will, and the Company will not permit</w:t>
      </w:r>
      <w:r>
        <w:rPr>
          <w:rFonts w:ascii="Arial" w:cs="Arial" w:eastAsia="Arial" w:hAnsi="Arial"/>
          <w:sz w:val="18"/>
          <w:szCs w:val="18"/>
          <w:i w:val="1"/>
          <w:iCs w:val="1"/>
          <w:color w:val="auto"/>
        </w:rPr>
        <w:t xml:space="preserve"> </w:t>
      </w:r>
      <w:r>
        <w:rPr>
          <w:rFonts w:ascii="Arial" w:cs="Arial" w:eastAsia="Arial" w:hAnsi="Arial"/>
          <w:sz w:val="18"/>
          <w:szCs w:val="18"/>
          <w:color w:val="auto"/>
        </w:rPr>
        <w:t>any Subsidiary Guarantor to, directly or indirectly: (1) consolidate or merge with or into another Person (whether or not such Subsidiary Guarantor survives); or (2) sell, assign, transfer, convey or otherwise dispose of all or substantially all of the properties or assets of such Subsidiary Guarantor in one or more related transactions, to another Person, unless:</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712"/>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420" w:right="60" w:firstLine="391"/>
        <w:spacing w:after="0" w:line="263" w:lineRule="auto"/>
        <w:tabs>
          <w:tab w:leader="none" w:pos="2233" w:val="left"/>
        </w:tabs>
        <w:numPr>
          <w:ilvl w:val="2"/>
          <w:numId w:val="712"/>
        </w:numPr>
        <w:rPr>
          <w:rFonts w:ascii="Arial" w:cs="Arial" w:eastAsia="Arial" w:hAnsi="Arial"/>
          <w:sz w:val="18"/>
          <w:szCs w:val="18"/>
          <w:color w:val="auto"/>
        </w:rPr>
      </w:pPr>
      <w:r>
        <w:rPr>
          <w:rFonts w:ascii="Arial" w:cs="Arial" w:eastAsia="Arial" w:hAnsi="Arial"/>
          <w:sz w:val="18"/>
          <w:szCs w:val="18"/>
          <w:color w:val="auto"/>
        </w:rPr>
        <w:t>if the transaction or series of transactions is a consolidation of such Subsidiary Guarantor with or a merger of such Subsidiary Guarantor with or into any other Person, such Subsidiary Guarantor shall be the surviving entity of such consolidation or merger; or</w:t>
      </w:r>
    </w:p>
    <w:p>
      <w:pPr>
        <w:spacing w:after="0" w:line="75" w:lineRule="exact"/>
        <w:rPr>
          <w:rFonts w:ascii="Arial" w:cs="Arial" w:eastAsia="Arial" w:hAnsi="Arial"/>
          <w:sz w:val="18"/>
          <w:szCs w:val="18"/>
          <w:color w:val="auto"/>
        </w:rPr>
      </w:pPr>
    </w:p>
    <w:p>
      <w:pPr>
        <w:ind w:left="1420" w:firstLine="391"/>
        <w:spacing w:after="0" w:line="275" w:lineRule="auto"/>
        <w:tabs>
          <w:tab w:leader="none" w:pos="2223" w:val="left"/>
        </w:tabs>
        <w:numPr>
          <w:ilvl w:val="2"/>
          <w:numId w:val="712"/>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such Subsidiary Guarantor)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such Subsidiary Guarantor under its Note Guarantee and this Indenture, pursuant to a supplemental indenture; and</w:t>
      </w:r>
    </w:p>
    <w:p>
      <w:pPr>
        <w:spacing w:after="0" w:line="68" w:lineRule="exact"/>
        <w:rPr>
          <w:rFonts w:ascii="Arial" w:cs="Arial" w:eastAsia="Arial" w:hAnsi="Arial"/>
          <w:sz w:val="17"/>
          <w:szCs w:val="17"/>
          <w:color w:val="auto"/>
        </w:rPr>
      </w:pPr>
    </w:p>
    <w:p>
      <w:pPr>
        <w:ind w:left="1780" w:hanging="392"/>
        <w:spacing w:after="0"/>
        <w:tabs>
          <w:tab w:leader="none" w:pos="1780" w:val="left"/>
        </w:tabs>
        <w:numPr>
          <w:ilvl w:val="1"/>
          <w:numId w:val="712"/>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This Section 5.01 will not apply to:</w:t>
      </w:r>
    </w:p>
    <w:p>
      <w:pPr>
        <w:spacing w:after="0" w:line="117" w:lineRule="exact"/>
        <w:rPr>
          <w:rFonts w:ascii="Arial" w:cs="Arial" w:eastAsia="Arial" w:hAnsi="Arial"/>
          <w:sz w:val="18"/>
          <w:szCs w:val="18"/>
          <w:color w:val="auto"/>
        </w:rPr>
      </w:pPr>
    </w:p>
    <w:p>
      <w:pPr>
        <w:ind w:left="980" w:right="980" w:firstLine="408"/>
        <w:spacing w:after="0" w:line="308" w:lineRule="auto"/>
        <w:tabs>
          <w:tab w:leader="none" w:pos="1771" w:val="left"/>
        </w:tabs>
        <w:numPr>
          <w:ilvl w:val="1"/>
          <w:numId w:val="712"/>
        </w:numPr>
        <w:rPr>
          <w:rFonts w:ascii="Arial" w:cs="Arial" w:eastAsia="Arial" w:hAnsi="Arial"/>
          <w:sz w:val="17"/>
          <w:szCs w:val="17"/>
          <w:color w:val="auto"/>
        </w:rPr>
      </w:pPr>
      <w:r>
        <w:rPr>
          <w:rFonts w:ascii="Arial" w:cs="Arial" w:eastAsia="Arial" w:hAnsi="Arial"/>
          <w:sz w:val="17"/>
          <w:szCs w:val="17"/>
          <w:color w:val="auto"/>
        </w:rPr>
        <w:t>a merger of the Company or a Subsidiary Guarantor, as the case may be, with an Affiliate solely for the purpose of reincorporating the Company or a Subsidiary Guarantor, as the case may be, in another jurisdiction; or</w:t>
      </w:r>
    </w:p>
    <w:p>
      <w:pPr>
        <w:spacing w:after="0" w:line="146" w:lineRule="exact"/>
        <w:rPr>
          <w:rFonts w:ascii="Arial" w:cs="Arial" w:eastAsia="Arial" w:hAnsi="Arial"/>
          <w:sz w:val="17"/>
          <w:szCs w:val="17"/>
          <w:color w:val="auto"/>
        </w:rPr>
      </w:pPr>
    </w:p>
    <w:p>
      <w:pPr>
        <w:ind w:left="980" w:right="80" w:firstLine="408"/>
        <w:spacing w:after="0" w:line="277" w:lineRule="auto"/>
        <w:tabs>
          <w:tab w:leader="none" w:pos="1771" w:val="left"/>
        </w:tabs>
        <w:numPr>
          <w:ilvl w:val="1"/>
          <w:numId w:val="712"/>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or other disposition of assets between or among the Company and the Subsidiary Guarantors or between or among the Subsidiary Guarantors.</w:t>
      </w:r>
    </w:p>
    <w:p>
      <w:pPr>
        <w:spacing w:after="0" w:line="170"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 xml:space="preserve">Upon consummation of any consolidation or merger, or any sale, assignment, transfer, conveyance, or other disposition of assets by a Subsidiary Guarantor with or into the Company or another Subsidiary Guarantor in accordance with this Section 5.01 which results in a Subsidiary Guarantor distributing all of its assets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assets required by law to maintain its corporate existence) to the Company or another Subsidiary Guarantor, such transferring Subsidiary Guarantor may be wound up pursuant to a solvent liquidation or solvent reorganization, provided it shall have no third party recourse Indebtedness or be the obligor under any intercompany Indebtedness.</w:t>
      </w:r>
    </w:p>
    <w:p>
      <w:pPr>
        <w:spacing w:after="0" w:line="28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i w:val="1"/>
          <w:iCs w:val="1"/>
          <w:color w:val="auto"/>
        </w:rPr>
        <w:t>Successor Corporation Substituted.</w:t>
      </w:r>
    </w:p>
    <w:p>
      <w:pPr>
        <w:spacing w:after="0" w:line="11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predecessor Company shall not be relieved from the obligation to pay the principal of and interest on the Notes except in the case of a sale of all of the Company’s assets in a transaction that is subject to, and that complies with the provisions of, Section 5.01 hereof.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3" w:right="459" w:bottom="1440" w:gutter="0" w:footer="0" w:header="0"/>
        </w:sectPr>
      </w:pPr>
    </w:p>
    <w:bookmarkStart w:id="543" w:name="page544"/>
    <w:bookmarkEnd w:id="543"/>
    <w:p>
      <w:pPr>
        <w:jc w:val="center"/>
        <w:ind w:right="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6</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DEFAULTS AND REMEDIES</w:t>
      </w:r>
    </w:p>
    <w:p>
      <w:pPr>
        <w:spacing w:after="0" w:line="10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117" w:lineRule="exact"/>
        <w:rPr>
          <w:sz w:val="20"/>
          <w:szCs w:val="20"/>
          <w:color w:val="auto"/>
        </w:rPr>
      </w:pPr>
    </w:p>
    <w:p>
      <w:pPr>
        <w:ind w:left="920" w:hanging="373"/>
        <w:spacing w:after="0"/>
        <w:tabs>
          <w:tab w:leader="none" w:pos="92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Each of the following is an event of default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40" w:hanging="392"/>
        <w:spacing w:after="0"/>
        <w:tabs>
          <w:tab w:leader="none" w:pos="134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or Additional Amounts, if any, with respect to the Notes;</w:t>
      </w:r>
    </w:p>
    <w:p>
      <w:pPr>
        <w:spacing w:after="0" w:line="117" w:lineRule="exact"/>
        <w:rPr>
          <w:rFonts w:ascii="Arial" w:cs="Arial" w:eastAsia="Arial" w:hAnsi="Arial"/>
          <w:sz w:val="18"/>
          <w:szCs w:val="18"/>
          <w:color w:val="auto"/>
        </w:rPr>
      </w:pPr>
    </w:p>
    <w:p>
      <w:pPr>
        <w:ind w:left="540" w:right="120" w:firstLine="408"/>
        <w:spacing w:after="0" w:line="277" w:lineRule="auto"/>
        <w:tabs>
          <w:tab w:leader="none" w:pos="1331" w:val="left"/>
        </w:tabs>
        <w:numPr>
          <w:ilvl w:val="1"/>
          <w:numId w:val="713"/>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upon required repurchase, or otherwise) of the principal of, or premium, if any, on the Notes;</w:t>
      </w:r>
    </w:p>
    <w:p>
      <w:pPr>
        <w:spacing w:after="0" w:line="62" w:lineRule="exact"/>
        <w:rPr>
          <w:rFonts w:ascii="Arial" w:cs="Arial" w:eastAsia="Arial" w:hAnsi="Arial"/>
          <w:sz w:val="18"/>
          <w:szCs w:val="18"/>
          <w:color w:val="auto"/>
        </w:rPr>
      </w:pPr>
    </w:p>
    <w:p>
      <w:pPr>
        <w:ind w:left="540" w:firstLine="408"/>
        <w:spacing w:after="0" w:line="277" w:lineRule="auto"/>
        <w:tabs>
          <w:tab w:leader="none" w:pos="1331" w:val="left"/>
        </w:tabs>
        <w:numPr>
          <w:ilvl w:val="1"/>
          <w:numId w:val="713"/>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comply with its obligations under the provisions of Section 3.09, 4.10, 4.15, 4.21 or 5.01 hereof;</w:t>
      </w:r>
    </w:p>
    <w:p>
      <w:pPr>
        <w:spacing w:after="0" w:line="62" w:lineRule="exact"/>
        <w:rPr>
          <w:rFonts w:ascii="Arial" w:cs="Arial" w:eastAsia="Arial" w:hAnsi="Arial"/>
          <w:sz w:val="18"/>
          <w:szCs w:val="18"/>
          <w:color w:val="auto"/>
        </w:rPr>
      </w:pPr>
    </w:p>
    <w:p>
      <w:pPr>
        <w:ind w:left="540" w:right="340" w:firstLine="408"/>
        <w:spacing w:after="0" w:line="263" w:lineRule="auto"/>
        <w:tabs>
          <w:tab w:leader="none" w:pos="1331" w:val="left"/>
        </w:tabs>
        <w:numPr>
          <w:ilvl w:val="1"/>
          <w:numId w:val="713"/>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for 60 days after notice to the Company by the Trustee or the Holders of at least 25% in aggregate principal amount of the Notes then outstanding voting as a single class to comply with any of the other agreements in this Indenture,;</w:t>
      </w:r>
    </w:p>
    <w:p>
      <w:pPr>
        <w:spacing w:after="0" w:line="75" w:lineRule="exact"/>
        <w:rPr>
          <w:rFonts w:ascii="Arial" w:cs="Arial" w:eastAsia="Arial" w:hAnsi="Arial"/>
          <w:sz w:val="18"/>
          <w:szCs w:val="18"/>
          <w:color w:val="auto"/>
        </w:rPr>
      </w:pPr>
    </w:p>
    <w:p>
      <w:pPr>
        <w:ind w:left="540" w:right="140" w:firstLine="408"/>
        <w:spacing w:after="0" w:line="259" w:lineRule="auto"/>
        <w:tabs>
          <w:tab w:leader="none" w:pos="1331" w:val="left"/>
        </w:tabs>
        <w:numPr>
          <w:ilvl w:val="1"/>
          <w:numId w:val="713"/>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this Indenture, if that default:</w:t>
      </w:r>
    </w:p>
    <w:p>
      <w:pPr>
        <w:spacing w:after="0" w:line="78" w:lineRule="exact"/>
        <w:rPr>
          <w:rFonts w:ascii="Arial" w:cs="Arial" w:eastAsia="Arial" w:hAnsi="Arial"/>
          <w:sz w:val="18"/>
          <w:szCs w:val="18"/>
          <w:color w:val="auto"/>
        </w:rPr>
      </w:pPr>
    </w:p>
    <w:p>
      <w:pPr>
        <w:ind w:left="980" w:right="160" w:firstLine="391"/>
        <w:spacing w:after="0" w:line="277" w:lineRule="auto"/>
        <w:tabs>
          <w:tab w:leader="none" w:pos="1793" w:val="left"/>
        </w:tabs>
        <w:numPr>
          <w:ilvl w:val="2"/>
          <w:numId w:val="713"/>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1800" w:hanging="429"/>
        <w:spacing w:after="0"/>
        <w:tabs>
          <w:tab w:leader="none" w:pos="1800" w:val="left"/>
        </w:tabs>
        <w:numPr>
          <w:ilvl w:val="2"/>
          <w:numId w:val="713"/>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17" w:lineRule="exact"/>
        <w:rPr>
          <w:sz w:val="20"/>
          <w:szCs w:val="20"/>
          <w:color w:val="auto"/>
        </w:rPr>
      </w:pPr>
    </w:p>
    <w:p>
      <w:pPr>
        <w:ind w:left="980" w:right="40"/>
        <w:spacing w:after="0" w:line="263"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US$20.0 million or more at any time outstanding;</w:t>
      </w:r>
    </w:p>
    <w:p>
      <w:pPr>
        <w:spacing w:after="0" w:line="76" w:lineRule="exact"/>
        <w:rPr>
          <w:sz w:val="20"/>
          <w:szCs w:val="20"/>
          <w:color w:val="auto"/>
        </w:rPr>
      </w:pPr>
    </w:p>
    <w:p>
      <w:pPr>
        <w:ind w:left="540" w:right="40" w:firstLine="408"/>
        <w:spacing w:after="0" w:line="286" w:lineRule="auto"/>
        <w:tabs>
          <w:tab w:leader="none" w:pos="1331" w:val="left"/>
        </w:tabs>
        <w:numPr>
          <w:ilvl w:val="0"/>
          <w:numId w:val="714"/>
        </w:numPr>
        <w:rPr>
          <w:rFonts w:ascii="Arial" w:cs="Arial" w:eastAsia="Arial" w:hAnsi="Arial"/>
          <w:sz w:val="17"/>
          <w:szCs w:val="17"/>
          <w:color w:val="auto"/>
        </w:rPr>
      </w:pPr>
      <w:r>
        <w:rPr>
          <w:rFonts w:ascii="Arial" w:cs="Arial" w:eastAsia="Arial" w:hAnsi="Arial"/>
          <w:sz w:val="17"/>
          <w:szCs w:val="17"/>
          <w:color w:val="auto"/>
        </w:rPr>
        <w:t>failure by the Company or any of its Restricted Subsidiaries to pay final judgments entered by a court or courts of competent jurisdiction (other than any judgment as to which a reputable third party insurer has accepted full responsibility and coverage) aggregating in excess of US$20.0 million, which judgments are not paid, discharged or stayed for a period of 60 days;</w:t>
      </w:r>
    </w:p>
    <w:p>
      <w:pPr>
        <w:spacing w:after="0" w:line="57" w:lineRule="exact"/>
        <w:rPr>
          <w:rFonts w:ascii="Arial" w:cs="Arial" w:eastAsia="Arial" w:hAnsi="Arial"/>
          <w:sz w:val="17"/>
          <w:szCs w:val="17"/>
          <w:color w:val="auto"/>
        </w:rPr>
      </w:pPr>
    </w:p>
    <w:p>
      <w:pPr>
        <w:ind w:left="540" w:right="60" w:firstLine="408"/>
        <w:spacing w:after="0" w:line="308" w:lineRule="auto"/>
        <w:tabs>
          <w:tab w:leader="none" w:pos="1331" w:val="left"/>
        </w:tabs>
        <w:numPr>
          <w:ilvl w:val="0"/>
          <w:numId w:val="714"/>
        </w:numPr>
        <w:rPr>
          <w:rFonts w:ascii="Arial" w:cs="Arial" w:eastAsia="Arial" w:hAnsi="Arial"/>
          <w:sz w:val="17"/>
          <w:szCs w:val="17"/>
          <w:color w:val="auto"/>
        </w:rPr>
      </w:pPr>
      <w:r>
        <w:rPr>
          <w:rFonts w:ascii="Arial" w:cs="Arial" w:eastAsia="Arial" w:hAnsi="Arial"/>
          <w:sz w:val="17"/>
          <w:szCs w:val="17"/>
          <w:color w:val="auto"/>
        </w:rPr>
        <w:t>the Company or any of its Restricted Subsidiaries that is a Significant Subsidiary or any group of Restricted Subsidiaries of the Company that, taken together, would constitute a Significant Subsidiary pursuant to or within the meaning of Bankruptcy Law:</w:t>
      </w:r>
    </w:p>
    <w:p>
      <w:pPr>
        <w:spacing w:after="0" w:line="38" w:lineRule="exact"/>
        <w:rPr>
          <w:rFonts w:ascii="Arial" w:cs="Arial" w:eastAsia="Arial" w:hAnsi="Arial"/>
          <w:sz w:val="17"/>
          <w:szCs w:val="17"/>
          <w:color w:val="auto"/>
        </w:rPr>
      </w:pPr>
    </w:p>
    <w:p>
      <w:pPr>
        <w:ind w:left="1800" w:hanging="429"/>
        <w:spacing w:after="0"/>
        <w:tabs>
          <w:tab w:leader="none" w:pos="180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commences a voluntary case or is the subject of a petition by a creditor to have it declared bankrupt,</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40"/>
          </w:cols>
          <w:pgMar w:left="880" w:top="269" w:right="479" w:bottom="1440" w:gutter="0" w:footer="0" w:header="0"/>
        </w:sectPr>
      </w:pPr>
    </w:p>
    <w:bookmarkStart w:id="544" w:name="page545"/>
    <w:bookmarkEnd w:id="544"/>
    <w:p>
      <w:pPr>
        <w:ind w:left="2240" w:hanging="429"/>
        <w:spacing w:after="0"/>
        <w:tabs>
          <w:tab w:leader="none" w:pos="2240" w:val="left"/>
        </w:tabs>
        <w:numPr>
          <w:ilvl w:val="1"/>
          <w:numId w:val="7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consents to the entry of an order for relief against it in an involuntary case,</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2220" w:hanging="409"/>
        <w:spacing w:after="0"/>
        <w:tabs>
          <w:tab w:leader="none" w:pos="222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420" w:right="400" w:firstLine="391"/>
        <w:spacing w:after="0" w:line="342" w:lineRule="auto"/>
        <w:tabs>
          <w:tab w:leader="none" w:pos="2233" w:val="left"/>
        </w:tabs>
        <w:numPr>
          <w:ilvl w:val="1"/>
          <w:numId w:val="716"/>
        </w:numPr>
        <w:rPr>
          <w:rFonts w:ascii="Arial" w:cs="Arial" w:eastAsia="Arial" w:hAnsi="Arial"/>
          <w:sz w:val="16"/>
          <w:szCs w:val="16"/>
          <w:color w:val="auto"/>
        </w:rPr>
      </w:pPr>
      <w:r>
        <w:rPr>
          <w:rFonts w:ascii="Arial" w:cs="Arial" w:eastAsia="Arial" w:hAnsi="Arial"/>
          <w:sz w:val="16"/>
          <w:szCs w:val="16"/>
          <w:color w:val="auto"/>
        </w:rPr>
        <w:t>is for relief against the Company or any of its Restricted Subsidiaries that is a Significant Subsidiary or any group of Restricted Subsidiaries of the Company that, taken together, would constitute a Significant Subsidiary in an involuntary case;</w:t>
      </w:r>
    </w:p>
    <w:p>
      <w:pPr>
        <w:spacing w:after="0" w:line="15" w:lineRule="exact"/>
        <w:rPr>
          <w:rFonts w:ascii="Arial" w:cs="Arial" w:eastAsia="Arial" w:hAnsi="Arial"/>
          <w:sz w:val="16"/>
          <w:szCs w:val="16"/>
          <w:color w:val="auto"/>
        </w:rPr>
      </w:pPr>
    </w:p>
    <w:p>
      <w:pPr>
        <w:ind w:left="1420" w:firstLine="391"/>
        <w:spacing w:after="0" w:line="259" w:lineRule="auto"/>
        <w:tabs>
          <w:tab w:leader="none" w:pos="2223" w:val="left"/>
        </w:tabs>
        <w:numPr>
          <w:ilvl w:val="1"/>
          <w:numId w:val="716"/>
        </w:numPr>
        <w:rPr>
          <w:rFonts w:ascii="Arial" w:cs="Arial" w:eastAsia="Arial" w:hAnsi="Arial"/>
          <w:sz w:val="18"/>
          <w:szCs w:val="18"/>
          <w:color w:val="auto"/>
        </w:rPr>
      </w:pPr>
      <w:r>
        <w:rPr>
          <w:rFonts w:ascii="Arial" w:cs="Arial" w:eastAsia="Arial" w:hAnsi="Arial"/>
          <w:sz w:val="18"/>
          <w:szCs w:val="18"/>
          <w:color w:val="auto"/>
        </w:rPr>
        <w:t>appoints a custodian of the Company or of any of its Restricted Subsidiaries that is a Significant Subsidiary or any group of Restricted Subsidiaries of the Company that, taken together, would constitute a Significant Subsidiary or for all or substantially all of the property of the Company or any of its Restricted Subsidiaries that is a Significant Subsidiary or any group of Restricted Subsidiaries of the Company that, taken together, would constitute a Significant Subsidiary; or</w:t>
      </w:r>
    </w:p>
    <w:p>
      <w:pPr>
        <w:spacing w:after="0" w:line="78" w:lineRule="exact"/>
        <w:rPr>
          <w:rFonts w:ascii="Arial" w:cs="Arial" w:eastAsia="Arial" w:hAnsi="Arial"/>
          <w:sz w:val="18"/>
          <w:szCs w:val="18"/>
          <w:color w:val="auto"/>
        </w:rPr>
      </w:pPr>
    </w:p>
    <w:p>
      <w:pPr>
        <w:ind w:left="1420" w:right="20" w:firstLine="391"/>
        <w:spacing w:after="0" w:line="277" w:lineRule="auto"/>
        <w:tabs>
          <w:tab w:leader="none" w:pos="2223" w:val="left"/>
        </w:tabs>
        <w:numPr>
          <w:ilvl w:val="1"/>
          <w:numId w:val="716"/>
        </w:numPr>
        <w:rPr>
          <w:rFonts w:ascii="Arial" w:cs="Arial" w:eastAsia="Arial" w:hAnsi="Arial"/>
          <w:sz w:val="18"/>
          <w:szCs w:val="18"/>
          <w:color w:val="auto"/>
        </w:rPr>
      </w:pPr>
      <w:r>
        <w:rPr>
          <w:rFonts w:ascii="Arial" w:cs="Arial" w:eastAsia="Arial" w:hAnsi="Arial"/>
          <w:sz w:val="18"/>
          <w:szCs w:val="18"/>
          <w:color w:val="auto"/>
        </w:rPr>
        <w:t>orders the liquidation of the Company or of any of its Restricted Subsidiaries that is a Significant Subsidiary or any group of Restricted Subsidiaries of the Company that, taken together, would constitute a Significant Subsidiary;</w:t>
      </w:r>
    </w:p>
    <w:p>
      <w:pPr>
        <w:spacing w:after="0" w:line="62" w:lineRule="exact"/>
        <w:rPr>
          <w:rFonts w:ascii="Arial" w:cs="Arial" w:eastAsia="Arial" w:hAnsi="Arial"/>
          <w:sz w:val="18"/>
          <w:szCs w:val="18"/>
          <w:color w:val="auto"/>
        </w:rPr>
      </w:pPr>
    </w:p>
    <w:p>
      <w:pPr>
        <w:ind w:left="980" w:right="120" w:firstLine="408"/>
        <w:spacing w:after="0" w:line="263" w:lineRule="auto"/>
        <w:tabs>
          <w:tab w:leader="none" w:pos="1771" w:val="left"/>
        </w:tabs>
        <w:numPr>
          <w:ilvl w:val="0"/>
          <w:numId w:val="716"/>
        </w:numPr>
        <w:rPr>
          <w:rFonts w:ascii="Arial" w:cs="Arial" w:eastAsia="Arial" w:hAnsi="Arial"/>
          <w:sz w:val="18"/>
          <w:szCs w:val="18"/>
          <w:color w:val="auto"/>
        </w:rPr>
      </w:pPr>
      <w:r>
        <w:rPr>
          <w:rFonts w:ascii="Arial" w:cs="Arial" w:eastAsia="Arial" w:hAnsi="Arial"/>
          <w:sz w:val="18"/>
          <w:szCs w:val="18"/>
          <w:color w:val="auto"/>
        </w:rPr>
        <w:t>except as permitted by this Indenture, (a) any Note Guarantee being held in any judicial proceeding in a competent jurisdiction to be unenforceable or invalid or ceases for any reason to be in full force and effect, or (b) any Person acting on behalf of any Subsidiary Guarantor, denying or disaffirming its Obligations under its Note Guarantee; and</w:t>
      </w:r>
    </w:p>
    <w:p>
      <w:pPr>
        <w:spacing w:after="0" w:line="75" w:lineRule="exact"/>
        <w:rPr>
          <w:rFonts w:ascii="Arial" w:cs="Arial" w:eastAsia="Arial" w:hAnsi="Arial"/>
          <w:sz w:val="18"/>
          <w:szCs w:val="18"/>
          <w:color w:val="auto"/>
        </w:rPr>
      </w:pPr>
    </w:p>
    <w:p>
      <w:pPr>
        <w:ind w:left="980" w:right="160" w:firstLine="408"/>
        <w:spacing w:after="0" w:line="259" w:lineRule="auto"/>
        <w:tabs>
          <w:tab w:leader="none" w:pos="186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 termination or rescission of any Gaming License or the Macau government takes any formal measure to do so (excluding any termination or rescission resulting from or in connection with any renewal, tender or other process conducted by the government of Macau in connection with the granting or renewal of any Gaming License; provided that such renewal, tender or other process results in the granting or renewal of the relevant Gaming License).</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117"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In the case of an Event of Default specified in Section 6.01(a)(7) or 6.01(a)(8) hereof, with respect to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w:t>
      </w:r>
    </w:p>
    <w:p>
      <w:pPr>
        <w:spacing w:after="0" w:line="176"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The Holders of a majority in aggregate principal amount of the then outstanding Notes by written notice to the Trustee may, on behalf of all of the Holders, rescind an acceleration (including any related payment default that resulted from such acceleration) and its consequences, if the rescission would not conflict with any judgment or decree and if all existing Events of Default (except non-payment of principal of, premium, if any, or interest on the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3" w:right="439" w:bottom="1440" w:gutter="0" w:footer="0" w:header="0"/>
        </w:sectPr>
      </w:pPr>
    </w:p>
    <w:bookmarkStart w:id="545" w:name="page546"/>
    <w:bookmarkEnd w:id="545"/>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6.03</w:t>
      </w:r>
      <w:r>
        <w:rPr>
          <w:sz w:val="20"/>
          <w:szCs w:val="20"/>
          <w:color w:val="auto"/>
        </w:rPr>
        <w:tab/>
      </w:r>
      <w:r>
        <w:rPr>
          <w:rFonts w:ascii="Arial" w:cs="Arial" w:eastAsia="Arial" w:hAnsi="Arial"/>
          <w:sz w:val="15"/>
          <w:szCs w:val="15"/>
          <w:i w:val="1"/>
          <w:iCs w:val="1"/>
          <w:color w:val="auto"/>
        </w:rPr>
        <w:t>Other Remedies.</w:t>
      </w:r>
    </w:p>
    <w:p>
      <w:pPr>
        <w:spacing w:after="0" w:line="117" w:lineRule="exact"/>
        <w:rPr>
          <w:sz w:val="20"/>
          <w:szCs w:val="20"/>
          <w:color w:val="auto"/>
        </w:rPr>
      </w:pPr>
    </w:p>
    <w:p>
      <w:pPr>
        <w:jc w:val="both"/>
        <w:ind w:right="40" w:firstLine="991"/>
        <w:spacing w:after="0" w:line="308" w:lineRule="auto"/>
        <w:rPr>
          <w:sz w:val="20"/>
          <w:szCs w:val="20"/>
          <w:color w:val="auto"/>
        </w:rPr>
      </w:pPr>
      <w:r>
        <w:rPr>
          <w:rFonts w:ascii="Arial" w:cs="Arial" w:eastAsia="Arial" w:hAnsi="Arial"/>
          <w:sz w:val="17"/>
          <w:szCs w:val="17"/>
          <w:color w:val="auto"/>
        </w:rPr>
        <w:t>If an Event of Default occurs and is continuing, the Trustee may pursue any available remedy to collect the payment of principal, premium and Additional Amounts, if any, and interest on the Notes or to enforce the performance of any provision of the Notes or this Indenture.</w:t>
      </w:r>
    </w:p>
    <w:p>
      <w:pPr>
        <w:spacing w:after="0" w:line="146" w:lineRule="exact"/>
        <w:rPr>
          <w:sz w:val="20"/>
          <w:szCs w:val="20"/>
          <w:color w:val="auto"/>
        </w:rPr>
      </w:pPr>
    </w:p>
    <w:p>
      <w:pPr>
        <w:jc w:val="both"/>
        <w:ind w:right="60" w:firstLine="991"/>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27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117" w:lineRule="exact"/>
        <w:rPr>
          <w:sz w:val="20"/>
          <w:szCs w:val="20"/>
          <w:color w:val="auto"/>
        </w:rPr>
      </w:pPr>
    </w:p>
    <w:p>
      <w:pPr>
        <w:ind w:right="160" w:firstLine="991"/>
        <w:spacing w:after="0" w:line="272" w:lineRule="auto"/>
        <w:rPr>
          <w:sz w:val="20"/>
          <w:szCs w:val="20"/>
          <w:color w:val="auto"/>
        </w:rPr>
      </w:pPr>
      <w:r>
        <w:rPr>
          <w:rFonts w:ascii="Arial" w:cs="Arial" w:eastAsia="Arial" w:hAnsi="Arial"/>
          <w:sz w:val="17"/>
          <w:szCs w:val="17"/>
          <w:color w:val="auto"/>
        </w:rPr>
        <w:t xml:space="preserve">Holders of not less than a majority in aggregate principal amount of the then outstanding Notes by written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Holders of a majority in aggregate principal amount of the then outstanding Notes may rescind an acceleration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8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117"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Holders of a majority in aggregate principal amount of the then outstanding Notes may direct, in writing,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or that may involve the Trustee in personal liability.</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117" w:lineRule="exact"/>
        <w:rPr>
          <w:sz w:val="20"/>
          <w:szCs w:val="20"/>
          <w:color w:val="auto"/>
        </w:rPr>
      </w:pPr>
    </w:p>
    <w:p>
      <w:pPr>
        <w:ind w:right="80" w:firstLine="987"/>
        <w:spacing w:after="0" w:line="257" w:lineRule="auto"/>
        <w:tabs>
          <w:tab w:leader="none" w:pos="1371" w:val="left"/>
        </w:tabs>
        <w:numPr>
          <w:ilvl w:val="0"/>
          <w:numId w:val="717"/>
        </w:numPr>
        <w:rPr>
          <w:rFonts w:ascii="Arial" w:cs="Arial" w:eastAsia="Arial" w:hAnsi="Arial"/>
          <w:sz w:val="18"/>
          <w:szCs w:val="18"/>
          <w:color w:val="auto"/>
        </w:rPr>
      </w:pPr>
      <w:r>
        <w:rPr>
          <w:rFonts w:ascii="Arial" w:cs="Arial" w:eastAsia="Arial" w:hAnsi="Arial"/>
          <w:sz w:val="18"/>
          <w:szCs w:val="18"/>
          <w:color w:val="auto"/>
        </w:rPr>
        <w:t>Subject to the provisions of this Indenture relating to the duties of the Trustee, in case an Event of Default occurs and is continuing, the Trustee will be under no obligation to exercise any of the rights or powers under this Indenture at the request or direction of any Holders unless such Holders have offered to the Trustee indemnity and/or security to its satisfaction against any loss, liability or expense. Except to enforce the right to receive payment of principal, premium, if any, or interest or Additional Amounts, if any, when due, no Holder may pursue any remedy with respect to this Indenture or the Notes unless:</w:t>
      </w:r>
    </w:p>
    <w:p>
      <w:pPr>
        <w:spacing w:after="0" w:line="79" w:lineRule="exact"/>
        <w:rPr>
          <w:rFonts w:ascii="Arial" w:cs="Arial" w:eastAsia="Arial" w:hAnsi="Arial"/>
          <w:sz w:val="18"/>
          <w:szCs w:val="18"/>
          <w:color w:val="auto"/>
        </w:rPr>
      </w:pPr>
    </w:p>
    <w:p>
      <w:pPr>
        <w:ind w:left="1780" w:hanging="392"/>
        <w:spacing w:after="0"/>
        <w:tabs>
          <w:tab w:leader="none" w:pos="178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117" w:lineRule="exact"/>
        <w:rPr>
          <w:rFonts w:ascii="Arial" w:cs="Arial" w:eastAsia="Arial" w:hAnsi="Arial"/>
          <w:sz w:val="18"/>
          <w:szCs w:val="18"/>
          <w:color w:val="auto"/>
        </w:rPr>
      </w:pPr>
    </w:p>
    <w:p>
      <w:pPr>
        <w:ind w:left="980" w:right="100" w:firstLine="408"/>
        <w:spacing w:after="0" w:line="277" w:lineRule="auto"/>
        <w:tabs>
          <w:tab w:leader="none" w:pos="1771" w:val="left"/>
        </w:tabs>
        <w:numPr>
          <w:ilvl w:val="1"/>
          <w:numId w:val="717"/>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have made a written request to the Trustee to pursue the remedy;</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717"/>
        </w:numPr>
        <w:rPr>
          <w:rFonts w:ascii="Arial" w:cs="Arial" w:eastAsia="Arial" w:hAnsi="Arial"/>
          <w:sz w:val="16"/>
          <w:szCs w:val="16"/>
          <w:color w:val="auto"/>
        </w:rPr>
      </w:pPr>
      <w:r>
        <w:rPr>
          <w:rFonts w:ascii="Arial" w:cs="Arial" w:eastAsia="Arial" w:hAnsi="Arial"/>
          <w:sz w:val="16"/>
          <w:szCs w:val="16"/>
          <w:color w:val="auto"/>
        </w:rPr>
        <w:t>such Holders have offered the Trustee security and/or indemnity satisfactory to the Trustee against any loss, liability or expense;</w:t>
      </w:r>
    </w:p>
    <w:p>
      <w:pPr>
        <w:spacing w:after="0" w:line="140" w:lineRule="exact"/>
        <w:rPr>
          <w:rFonts w:ascii="Arial" w:cs="Arial" w:eastAsia="Arial" w:hAnsi="Arial"/>
          <w:sz w:val="16"/>
          <w:szCs w:val="16"/>
          <w:color w:val="auto"/>
        </w:rPr>
      </w:pPr>
    </w:p>
    <w:p>
      <w:pPr>
        <w:ind w:left="980" w:right="280" w:firstLine="408"/>
        <w:spacing w:after="0" w:line="277" w:lineRule="auto"/>
        <w:tabs>
          <w:tab w:leader="none" w:pos="1771" w:val="left"/>
        </w:tabs>
        <w:numPr>
          <w:ilvl w:val="1"/>
          <w:numId w:val="717"/>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request and the offer of security and/or indemnity to its satisfaction; and</w:t>
      </w:r>
    </w:p>
    <w:p>
      <w:pPr>
        <w:spacing w:after="0" w:line="62" w:lineRule="exact"/>
        <w:rPr>
          <w:rFonts w:ascii="Arial" w:cs="Arial" w:eastAsia="Arial" w:hAnsi="Arial"/>
          <w:sz w:val="18"/>
          <w:szCs w:val="18"/>
          <w:color w:val="auto"/>
        </w:rPr>
      </w:pPr>
    </w:p>
    <w:p>
      <w:pPr>
        <w:ind w:left="980" w:right="240" w:firstLine="408"/>
        <w:spacing w:after="0" w:line="277" w:lineRule="auto"/>
        <w:tabs>
          <w:tab w:leader="none" w:pos="1771" w:val="left"/>
        </w:tabs>
        <w:numPr>
          <w:ilvl w:val="1"/>
          <w:numId w:val="717"/>
        </w:numPr>
        <w:rPr>
          <w:rFonts w:ascii="Arial" w:cs="Arial" w:eastAsia="Arial" w:hAnsi="Arial"/>
          <w:sz w:val="18"/>
          <w:szCs w:val="18"/>
          <w:color w:val="auto"/>
        </w:rPr>
      </w:pPr>
      <w:r>
        <w:rPr>
          <w:rFonts w:ascii="Arial" w:cs="Arial" w:eastAsia="Arial" w:hAnsi="Arial"/>
          <w:sz w:val="18"/>
          <w:szCs w:val="18"/>
          <w:color w:val="auto"/>
        </w:rPr>
        <w:t>during such 60-day period, Holders of a majority in aggregate principal amount of the then outstanding Notes have not given the Trustee a written direction inconsistent with such request.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273" w:right="439" w:bottom="1440" w:gutter="0" w:footer="0" w:header="0"/>
        </w:sectPr>
      </w:pPr>
    </w:p>
    <w:bookmarkStart w:id="546" w:name="page547"/>
    <w:bookmarkEnd w:id="546"/>
    <w:p>
      <w:pPr>
        <w:ind w:left="98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w:t>
      </w:r>
      <w:r>
        <w:rPr>
          <w:sz w:val="20"/>
          <w:szCs w:val="20"/>
          <w:color w:val="auto"/>
        </w:rPr>
        <w:tab/>
      </w:r>
      <w:r>
        <w:rPr>
          <w:rFonts w:ascii="Arial" w:cs="Arial" w:eastAsia="Arial" w:hAnsi="Arial"/>
          <w:sz w:val="16"/>
          <w:szCs w:val="16"/>
          <w:color w:val="auto"/>
        </w:rPr>
        <w:t>A Holder may not use this Indenture to prejudice the rights of another Holder or to obtain a preference or priority over another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31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to Receive Payment.</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Notwithstanding any other provision of this Indenture, the right of any Holder to receive payment of principal, premium, Additional Amounts, if any, and interest on the Notes, on or after the respective due dates expressed in the Note (including in connection with an offer to purchase), or to bring suit for the enforcement of any such payment on or after such respective dates, shall not be impaired or affected without the consent of such Holder;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If an Event of Default specified in Section 6.01(a)(1) or (a)(2) hereof occurs and is continuing, the Trustee is authorized to recover judgment in its own name and as trustee of an express trust against the Company for the whole amount of principal of, premium, Additional Amounts, if any, and interest remaining unpaid on, the Notes and interest on overdue principal and premium, if any and, to the extent lawful, interest and such further amount as shall be sufficient to cover the costs and expenses of collection, including the reasonable compensation, expenses, disbursements and advances of the Trustee, its agents and counsel.</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11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7.08 hereof. To the extent that the payment of any such compensation, expenses, disbursements and advances of the Trustee, its agents and counsel, and any other amounts due the Trustee under Section 7.08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117" w:lineRule="exact"/>
        <w:rPr>
          <w:sz w:val="20"/>
          <w:szCs w:val="20"/>
          <w:color w:val="auto"/>
        </w:rPr>
      </w:pPr>
    </w:p>
    <w:p>
      <w:pPr>
        <w:jc w:val="both"/>
        <w:ind w:left="980" w:right="380" w:firstLine="401"/>
        <w:spacing w:after="0" w:line="26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the Agents, and their respective agents and attorneys for amounts due under Section 7.08 hereof,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all compensation, expenses and liabilities incurred, and all advances made, by the Trustee or any Agent, and the costs and expenses of collection;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0"/>
          </w:cols>
          <w:pgMar w:left="440" w:top="273" w:right="479" w:bottom="1440" w:gutter="0" w:footer="0" w:header="0"/>
        </w:sectPr>
      </w:pPr>
    </w:p>
    <w:bookmarkStart w:id="547" w:name="page548"/>
    <w:bookmarkEnd w:id="547"/>
    <w:p>
      <w:pPr>
        <w:ind w:left="980" w:right="520" w:firstLine="401"/>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w:t>
      </w:r>
      <w:r>
        <w:rPr>
          <w:rFonts w:ascii="Arial" w:cs="Arial" w:eastAsia="Arial" w:hAnsi="Arial"/>
          <w:sz w:val="18"/>
          <w:szCs w:val="18"/>
          <w:color w:val="auto"/>
        </w:rPr>
        <w:t>: to Holders for amounts due and unpaid on the Notes for principal, premium, Additional Amounts, if any,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without preference or priority of any kind, according to the amounts due and payable on the Notes for principal, premium, Additional Amounts, if any, and interest, respectively; and</w:t>
      </w:r>
    </w:p>
    <w:p>
      <w:pPr>
        <w:spacing w:after="0" w:line="76"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6.10.</w:t>
      </w:r>
    </w:p>
    <w:p>
      <w:pPr>
        <w:spacing w:after="0" w:line="333"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117"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hereof, or a suit by Holders of more than 10% in aggregate principal amount of the then outstanding Notes.</w:t>
      </w:r>
    </w:p>
    <w:p>
      <w:pPr>
        <w:spacing w:after="0" w:line="37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Duties of Trustee.</w:t>
      </w:r>
    </w:p>
    <w:p>
      <w:pPr>
        <w:spacing w:after="0" w:line="117" w:lineRule="exact"/>
        <w:rPr>
          <w:sz w:val="20"/>
          <w:szCs w:val="20"/>
          <w:color w:val="auto"/>
        </w:rPr>
      </w:pPr>
    </w:p>
    <w:p>
      <w:pPr>
        <w:ind w:right="100" w:firstLine="987"/>
        <w:spacing w:after="0" w:line="263" w:lineRule="auto"/>
        <w:tabs>
          <w:tab w:leader="none" w:pos="1371" w:val="left"/>
        </w:tabs>
        <w:numPr>
          <w:ilvl w:val="0"/>
          <w:numId w:val="718"/>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1380" w:hanging="393"/>
        <w:spacing w:after="0"/>
        <w:tabs>
          <w:tab w:leader="none" w:pos="138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980" w:firstLine="408"/>
        <w:spacing w:after="0" w:line="263" w:lineRule="auto"/>
        <w:tabs>
          <w:tab w:leader="none" w:pos="1771" w:val="left"/>
        </w:tabs>
        <w:numPr>
          <w:ilvl w:val="1"/>
          <w:numId w:val="718"/>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980" w:right="60" w:firstLine="408"/>
        <w:spacing w:after="0" w:line="259" w:lineRule="auto"/>
        <w:tabs>
          <w:tab w:leader="none" w:pos="1771" w:val="left"/>
        </w:tabs>
        <w:numPr>
          <w:ilvl w:val="1"/>
          <w:numId w:val="718"/>
        </w:numPr>
        <w:rPr>
          <w:rFonts w:ascii="Arial" w:cs="Arial" w:eastAsia="Arial" w:hAnsi="Arial"/>
          <w:sz w:val="18"/>
          <w:szCs w:val="18"/>
          <w:color w:val="auto"/>
        </w:rPr>
      </w:pPr>
      <w:r>
        <w:rPr>
          <w:rFonts w:ascii="Arial" w:cs="Arial" w:eastAsia="Arial" w:hAnsi="Arial"/>
          <w:sz w:val="18"/>
          <w:szCs w:val="18"/>
          <w:color w:val="auto"/>
        </w:rPr>
        <w:t>in the absence of willful misconduct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78" w:lineRule="exact"/>
        <w:rPr>
          <w:rFonts w:ascii="Arial" w:cs="Arial" w:eastAsia="Arial" w:hAnsi="Arial"/>
          <w:sz w:val="18"/>
          <w:szCs w:val="18"/>
          <w:color w:val="auto"/>
        </w:rPr>
      </w:pPr>
    </w:p>
    <w:p>
      <w:pPr>
        <w:ind w:left="980" w:right="460" w:firstLine="408"/>
        <w:spacing w:after="0" w:line="263" w:lineRule="auto"/>
        <w:tabs>
          <w:tab w:leader="none" w:pos="1771" w:val="left"/>
        </w:tabs>
        <w:numPr>
          <w:ilvl w:val="1"/>
          <w:numId w:val="718"/>
        </w:numPr>
        <w:rPr>
          <w:rFonts w:ascii="Arial" w:cs="Arial" w:eastAsia="Arial" w:hAnsi="Arial"/>
          <w:sz w:val="18"/>
          <w:szCs w:val="18"/>
          <w:color w:val="auto"/>
        </w:rPr>
      </w:pPr>
      <w:r>
        <w:rPr>
          <w:rFonts w:ascii="Arial" w:cs="Arial" w:eastAsia="Arial" w:hAnsi="Arial"/>
          <w:sz w:val="18"/>
          <w:szCs w:val="18"/>
          <w:color w:val="auto"/>
        </w:rPr>
        <w:t>other than with respect to a payment default, the Trustee shall not be charged with knowledge of any Default or Event of Default unless written notice has been delivered to a Responsible Officer at the Corporate Trust Office of the Trustee referencing the applicable provision of this Indenture.</w:t>
      </w:r>
    </w:p>
    <w:p>
      <w:pPr>
        <w:spacing w:after="0" w:line="183" w:lineRule="exact"/>
        <w:rPr>
          <w:rFonts w:ascii="Arial" w:cs="Arial" w:eastAsia="Arial" w:hAnsi="Arial"/>
          <w:sz w:val="18"/>
          <w:szCs w:val="18"/>
          <w:color w:val="auto"/>
        </w:rPr>
      </w:pPr>
    </w:p>
    <w:p>
      <w:pPr>
        <w:ind w:right="300" w:firstLine="987"/>
        <w:spacing w:after="0" w:line="277" w:lineRule="auto"/>
        <w:tabs>
          <w:tab w:leader="none" w:pos="1368"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grossly negligent action, its own grossly negligent failure to act, or its own willful misconduct, except that:</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718"/>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718"/>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3" w:right="459" w:bottom="1440" w:gutter="0" w:footer="0" w:header="0"/>
        </w:sectPr>
      </w:pPr>
    </w:p>
    <w:bookmarkStart w:id="548" w:name="page549"/>
    <w:bookmarkEnd w:id="548"/>
    <w:p>
      <w:pPr>
        <w:ind w:left="940" w:right="340" w:firstLine="408"/>
        <w:spacing w:after="0" w:line="277" w:lineRule="auto"/>
        <w:tabs>
          <w:tab w:leader="none" w:pos="1731" w:val="left"/>
        </w:tabs>
        <w:numPr>
          <w:ilvl w:val="1"/>
          <w:numId w:val="7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will not be liable with respect to any action it takes or omits to take in good faith in accordance with a direction received by it pursuant to Section 6.05 hereof.</w:t>
      </w:r>
    </w:p>
    <w:p>
      <w:pPr>
        <w:spacing w:after="0" w:line="170" w:lineRule="exact"/>
        <w:rPr>
          <w:rFonts w:ascii="Arial" w:cs="Arial" w:eastAsia="Arial" w:hAnsi="Arial"/>
          <w:sz w:val="18"/>
          <w:szCs w:val="18"/>
          <w:color w:val="auto"/>
        </w:rPr>
      </w:pPr>
    </w:p>
    <w:p>
      <w:pPr>
        <w:ind w:left="-40" w:right="320" w:firstLine="987"/>
        <w:spacing w:after="0" w:line="277" w:lineRule="auto"/>
        <w:tabs>
          <w:tab w:leader="none" w:pos="1338" w:val="left"/>
        </w:tabs>
        <w:numPr>
          <w:ilvl w:val="0"/>
          <w:numId w:val="720"/>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ind w:left="1320" w:hanging="373"/>
        <w:spacing w:after="0"/>
        <w:tabs>
          <w:tab w:leader="none" w:pos="132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w:t>
      </w:r>
    </w:p>
    <w:p>
      <w:pPr>
        <w:spacing w:after="0" w:line="225" w:lineRule="exact"/>
        <w:rPr>
          <w:rFonts w:ascii="Arial" w:cs="Arial" w:eastAsia="Arial" w:hAnsi="Arial"/>
          <w:sz w:val="18"/>
          <w:szCs w:val="18"/>
          <w:color w:val="auto"/>
        </w:rPr>
      </w:pPr>
    </w:p>
    <w:p>
      <w:pPr>
        <w:ind w:left="-40" w:right="100" w:firstLine="987"/>
        <w:spacing w:after="0" w:line="277" w:lineRule="auto"/>
        <w:tabs>
          <w:tab w:leader="none" w:pos="1308" w:val="left"/>
        </w:tabs>
        <w:numPr>
          <w:ilvl w:val="0"/>
          <w:numId w:val="720"/>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278" w:lineRule="exact"/>
        <w:rPr>
          <w:sz w:val="20"/>
          <w:szCs w:val="20"/>
          <w:color w:val="auto"/>
        </w:rPr>
      </w:pPr>
    </w:p>
    <w:p>
      <w:pPr>
        <w:ind w:left="400"/>
        <w:spacing w:after="0"/>
        <w:tabs>
          <w:tab w:leader="none" w:pos="14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117" w:lineRule="exact"/>
        <w:rPr>
          <w:sz w:val="20"/>
          <w:szCs w:val="20"/>
          <w:color w:val="auto"/>
        </w:rPr>
      </w:pPr>
    </w:p>
    <w:p>
      <w:pPr>
        <w:ind w:left="-40" w:right="420" w:firstLine="987"/>
        <w:spacing w:after="0" w:line="277" w:lineRule="auto"/>
        <w:tabs>
          <w:tab w:leader="none" w:pos="1328" w:val="left"/>
        </w:tabs>
        <w:numPr>
          <w:ilvl w:val="0"/>
          <w:numId w:val="721"/>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ind w:left="-40" w:right="80" w:firstLine="987"/>
        <w:spacing w:after="0" w:line="255" w:lineRule="auto"/>
        <w:tabs>
          <w:tab w:leader="none" w:pos="1341" w:val="left"/>
        </w:tabs>
        <w:numPr>
          <w:ilvl w:val="0"/>
          <w:numId w:val="721"/>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engage and consult with professional advisors and counsel selected by it at the reasonable expense of the Company, and the Trustee may rely conclusively upon advice of such professional advisors and counsel or any Opinion of Counsel will be full and complete authorization and protection from liability in respect of any action taken, suffered or omitted by it hereunder in good faith and in reliance thereon by the Trustee and any of its directors, officers, employees or agents duly appointed.</w:t>
      </w:r>
    </w:p>
    <w:p>
      <w:pPr>
        <w:spacing w:after="0" w:line="192" w:lineRule="exact"/>
        <w:rPr>
          <w:rFonts w:ascii="Arial" w:cs="Arial" w:eastAsia="Arial" w:hAnsi="Arial"/>
          <w:sz w:val="18"/>
          <w:szCs w:val="18"/>
          <w:color w:val="auto"/>
        </w:rPr>
      </w:pPr>
    </w:p>
    <w:p>
      <w:pPr>
        <w:ind w:left="-40" w:right="480" w:firstLine="987"/>
        <w:spacing w:after="0" w:line="277" w:lineRule="auto"/>
        <w:tabs>
          <w:tab w:leader="none" w:pos="1328" w:val="left"/>
        </w:tabs>
        <w:numPr>
          <w:ilvl w:val="0"/>
          <w:numId w:val="721"/>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The Trustee shall have no duty to monitor the performance of such agents.</w:t>
      </w:r>
    </w:p>
    <w:p>
      <w:pPr>
        <w:spacing w:after="0" w:line="170" w:lineRule="exact"/>
        <w:rPr>
          <w:rFonts w:ascii="Arial" w:cs="Arial" w:eastAsia="Arial" w:hAnsi="Arial"/>
          <w:sz w:val="18"/>
          <w:szCs w:val="18"/>
          <w:color w:val="auto"/>
        </w:rPr>
      </w:pPr>
    </w:p>
    <w:p>
      <w:pPr>
        <w:ind w:left="-40" w:right="40" w:firstLine="987"/>
        <w:spacing w:after="0" w:line="259" w:lineRule="auto"/>
        <w:tabs>
          <w:tab w:leader="none" w:pos="1338" w:val="left"/>
        </w:tabs>
        <w:numPr>
          <w:ilvl w:val="0"/>
          <w:numId w:val="721"/>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 The Trustee shall not be required to take action at the direction of the Company or Holders which conflicts with the requirements of this Indenture or for which it is not indemnified to its satisfaction, or which involves undue risk or would be contrary to applicable law or regulation.</w:t>
      </w:r>
    </w:p>
    <w:p>
      <w:pPr>
        <w:spacing w:after="0" w:line="186" w:lineRule="exact"/>
        <w:rPr>
          <w:rFonts w:ascii="Arial" w:cs="Arial" w:eastAsia="Arial" w:hAnsi="Arial"/>
          <w:sz w:val="18"/>
          <w:szCs w:val="18"/>
          <w:color w:val="auto"/>
        </w:rPr>
      </w:pPr>
    </w:p>
    <w:p>
      <w:pPr>
        <w:ind w:left="-40" w:right="660" w:firstLine="987"/>
        <w:spacing w:after="0" w:line="277" w:lineRule="auto"/>
        <w:tabs>
          <w:tab w:leader="none" w:pos="1331" w:val="left"/>
        </w:tabs>
        <w:numPr>
          <w:ilvl w:val="0"/>
          <w:numId w:val="721"/>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or a director of the Company.</w:t>
      </w:r>
    </w:p>
    <w:p>
      <w:pPr>
        <w:spacing w:after="0" w:line="170" w:lineRule="exact"/>
        <w:rPr>
          <w:rFonts w:ascii="Arial" w:cs="Arial" w:eastAsia="Arial" w:hAnsi="Arial"/>
          <w:sz w:val="18"/>
          <w:szCs w:val="18"/>
          <w:color w:val="auto"/>
        </w:rPr>
      </w:pPr>
    </w:p>
    <w:p>
      <w:pPr>
        <w:ind w:left="-40" w:firstLine="987"/>
        <w:spacing w:after="0" w:line="263" w:lineRule="auto"/>
        <w:tabs>
          <w:tab w:leader="none" w:pos="1308" w:val="left"/>
        </w:tabs>
        <w:numPr>
          <w:ilvl w:val="0"/>
          <w:numId w:val="721"/>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indemnity and/or security satisfactory to it in its sole discretion against the losses, liabilities and expenses that might be incurred by it in compliance with such request or direction.</w:t>
      </w:r>
    </w:p>
    <w:p>
      <w:pPr>
        <w:spacing w:after="0" w:line="183" w:lineRule="exact"/>
        <w:rPr>
          <w:rFonts w:ascii="Arial" w:cs="Arial" w:eastAsia="Arial" w:hAnsi="Arial"/>
          <w:sz w:val="18"/>
          <w:szCs w:val="18"/>
          <w:color w:val="auto"/>
        </w:rPr>
      </w:pPr>
    </w:p>
    <w:p>
      <w:pPr>
        <w:ind w:left="-40" w:right="20" w:firstLine="987"/>
        <w:spacing w:after="0" w:line="254" w:lineRule="auto"/>
        <w:tabs>
          <w:tab w:leader="none" w:pos="1341" w:val="left"/>
        </w:tabs>
        <w:numPr>
          <w:ilvl w:val="0"/>
          <w:numId w:val="721"/>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epidemic, pandemic (or any government restrictions imposed in response to an epidemic or pandemic) work stoppages, accidents, acts of war or terrorism, civil or military disturbances, nuclear or natural catastrophes or acts of God, interruptions, loss or malfunctions of utilities, communications or computer (software and hardware) services and the unavailability of the Federal Reserve Bank wire or facsimile or other communication facility; it being understood that the Trustee shall use reasonable efforts which are consistent with accepted practices in the banking industry to resume performance as soon as practicable under the circumstances.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40"/>
          </w:cols>
          <w:pgMar w:left="480" w:top="273" w:right="479" w:bottom="1440" w:gutter="0" w:footer="0" w:header="0"/>
        </w:sectPr>
      </w:pPr>
    </w:p>
    <w:bookmarkStart w:id="549" w:name="page550"/>
    <w:bookmarkEnd w:id="549"/>
    <w:p>
      <w:pPr>
        <w:ind w:right="280" w:firstLine="987"/>
        <w:spacing w:after="0" w:line="381" w:lineRule="auto"/>
        <w:tabs>
          <w:tab w:leader="none" w:pos="1378" w:val="left"/>
        </w:tabs>
        <w:numPr>
          <w:ilvl w:val="0"/>
          <w:numId w:val="72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recitals contained herein and in the Notes are made by the Company and not by the Trustee, and the Trustee, does not assume any responsibility for the correctness thereof. The Trustee makes no representation as to the validity or sufficiency of this Indenture or the Notes.</w:t>
      </w:r>
    </w:p>
    <w:p>
      <w:pPr>
        <w:spacing w:after="0" w:line="100" w:lineRule="exact"/>
        <w:rPr>
          <w:rFonts w:ascii="Arial" w:cs="Arial" w:eastAsia="Arial" w:hAnsi="Arial"/>
          <w:sz w:val="15"/>
          <w:szCs w:val="15"/>
          <w:color w:val="auto"/>
        </w:rPr>
      </w:pPr>
    </w:p>
    <w:p>
      <w:pPr>
        <w:ind w:right="100" w:firstLine="987"/>
        <w:spacing w:after="0" w:line="255" w:lineRule="auto"/>
        <w:tabs>
          <w:tab w:leader="none" w:pos="1338" w:val="left"/>
        </w:tabs>
        <w:numPr>
          <w:ilvl w:val="0"/>
          <w:numId w:val="722"/>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92" w:lineRule="exact"/>
        <w:rPr>
          <w:rFonts w:ascii="Arial" w:cs="Arial" w:eastAsia="Arial" w:hAnsi="Arial"/>
          <w:sz w:val="18"/>
          <w:szCs w:val="18"/>
          <w:color w:val="auto"/>
        </w:rPr>
      </w:pPr>
    </w:p>
    <w:p>
      <w:pPr>
        <w:ind w:right="260" w:firstLine="987"/>
        <w:spacing w:after="0" w:line="263" w:lineRule="auto"/>
        <w:tabs>
          <w:tab w:leader="none" w:pos="1341" w:val="left"/>
        </w:tabs>
        <w:numPr>
          <w:ilvl w:val="0"/>
          <w:numId w:val="722"/>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jc w:val="both"/>
        <w:ind w:right="120" w:firstLine="987"/>
        <w:spacing w:after="0" w:line="286" w:lineRule="auto"/>
        <w:tabs>
          <w:tab w:leader="none" w:pos="1378" w:val="left"/>
        </w:tabs>
        <w:numPr>
          <w:ilvl w:val="0"/>
          <w:numId w:val="722"/>
        </w:numPr>
        <w:rPr>
          <w:rFonts w:ascii="Arial" w:cs="Arial" w:eastAsia="Arial" w:hAnsi="Arial"/>
          <w:sz w:val="17"/>
          <w:szCs w:val="17"/>
          <w:color w:val="auto"/>
        </w:rPr>
      </w:pPr>
      <w:r>
        <w:rPr>
          <w:rFonts w:ascii="Arial" w:cs="Arial" w:eastAsia="Arial" w:hAnsi="Arial"/>
          <w:sz w:val="17"/>
          <w:szCs w:val="17"/>
          <w:color w:val="auto"/>
        </w:rPr>
        <w:t xml:space="preserve">The rights, privileges, indemnity,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any such agent or custodian shall not be deemed to be a fiduciary;</w:t>
      </w:r>
    </w:p>
    <w:p>
      <w:pPr>
        <w:spacing w:after="0" w:line="165" w:lineRule="exact"/>
        <w:rPr>
          <w:rFonts w:ascii="Arial" w:cs="Arial" w:eastAsia="Arial" w:hAnsi="Arial"/>
          <w:sz w:val="17"/>
          <w:szCs w:val="17"/>
          <w:color w:val="auto"/>
        </w:rPr>
      </w:pPr>
    </w:p>
    <w:p>
      <w:pPr>
        <w:ind w:right="720" w:firstLine="987"/>
        <w:spacing w:after="0" w:line="277" w:lineRule="auto"/>
        <w:tabs>
          <w:tab w:leader="none" w:pos="1338" w:val="left"/>
        </w:tabs>
        <w:numPr>
          <w:ilvl w:val="0"/>
          <w:numId w:val="722"/>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right="80" w:firstLine="987"/>
        <w:spacing w:after="0" w:line="263" w:lineRule="auto"/>
        <w:tabs>
          <w:tab w:leader="none" w:pos="1431" w:val="left"/>
        </w:tabs>
        <w:numPr>
          <w:ilvl w:val="0"/>
          <w:numId w:val="722"/>
        </w:numPr>
        <w:rPr>
          <w:rFonts w:ascii="Arial" w:cs="Arial" w:eastAsia="Arial" w:hAnsi="Arial"/>
          <w:sz w:val="18"/>
          <w:szCs w:val="18"/>
          <w:color w:val="auto"/>
        </w:rPr>
      </w:pPr>
      <w:r>
        <w:rPr>
          <w:rFonts w:ascii="Arial" w:cs="Arial" w:eastAsia="Arial" w:hAnsi="Arial"/>
          <w:sz w:val="18"/>
          <w:szCs w:val="18"/>
          <w:color w:val="auto"/>
        </w:rPr>
        <w:t>In the event that the Trustee and Agents shall be uncertain as to their respective duties or rights hereunder or shall receive instructions, claims or demands from the Company, which in their opinion, conflict with any of the provisions of this Indenture, they shall be entitled to refrain from taking action until directed in writing by a final order or judgment of a court of competent jurisdiction;</w:t>
      </w:r>
    </w:p>
    <w:p>
      <w:pPr>
        <w:spacing w:after="0" w:line="183" w:lineRule="exact"/>
        <w:rPr>
          <w:rFonts w:ascii="Arial" w:cs="Arial" w:eastAsia="Arial" w:hAnsi="Arial"/>
          <w:sz w:val="18"/>
          <w:szCs w:val="18"/>
          <w:color w:val="auto"/>
        </w:rPr>
      </w:pPr>
    </w:p>
    <w:p>
      <w:pPr>
        <w:ind w:right="40" w:firstLine="987"/>
        <w:spacing w:after="0" w:line="257" w:lineRule="auto"/>
        <w:tabs>
          <w:tab w:leader="none" w:pos="1381" w:val="left"/>
        </w:tabs>
        <w:numPr>
          <w:ilvl w:val="0"/>
          <w:numId w:val="722"/>
        </w:numPr>
        <w:rPr>
          <w:rFonts w:ascii="Arial" w:cs="Arial" w:eastAsia="Arial" w:hAnsi="Arial"/>
          <w:sz w:val="18"/>
          <w:szCs w:val="18"/>
          <w:color w:val="auto"/>
        </w:rPr>
      </w:pPr>
      <w:r>
        <w:rPr>
          <w:rFonts w:ascii="Arial" w:cs="Arial" w:eastAsia="Arial" w:hAnsi="Arial"/>
          <w:sz w:val="18"/>
          <w:szCs w:val="18"/>
          <w:color w:val="auto"/>
        </w:rPr>
        <w:t>So long as any of the Notes remains outstanding, the Company shall provide the Agents with a sufficient number of copies of this Indenture and each of the documents sent to the Trustee or which are required to be made available by stock exchange regulations or stated in the Offering Memorandum relating to the Notes, to be available and, subject to being provided with such copies, each of the Agents will procure that such copies shall be available at its specified office during normal office hours for examination by the Holders and that copies thereof will be furnished to the Holders upon written request at their own expense;</w:t>
      </w:r>
    </w:p>
    <w:p>
      <w:pPr>
        <w:spacing w:after="0" w:line="187" w:lineRule="exact"/>
        <w:rPr>
          <w:rFonts w:ascii="Arial" w:cs="Arial" w:eastAsia="Arial" w:hAnsi="Arial"/>
          <w:sz w:val="18"/>
          <w:szCs w:val="18"/>
          <w:color w:val="auto"/>
        </w:rPr>
      </w:pPr>
    </w:p>
    <w:p>
      <w:pPr>
        <w:ind w:right="120" w:firstLine="987"/>
        <w:spacing w:after="0" w:line="263" w:lineRule="auto"/>
        <w:tabs>
          <w:tab w:leader="none" w:pos="1378" w:val="left"/>
        </w:tabs>
        <w:numPr>
          <w:ilvl w:val="0"/>
          <w:numId w:val="722"/>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and/or an Opinion of Counsel;</w:t>
      </w:r>
    </w:p>
    <w:p>
      <w:pPr>
        <w:spacing w:after="0" w:line="183" w:lineRule="exact"/>
        <w:rPr>
          <w:rFonts w:ascii="Arial" w:cs="Arial" w:eastAsia="Arial" w:hAnsi="Arial"/>
          <w:sz w:val="18"/>
          <w:szCs w:val="18"/>
          <w:color w:val="auto"/>
        </w:rPr>
      </w:pPr>
    </w:p>
    <w:p>
      <w:pPr>
        <w:ind w:firstLine="987"/>
        <w:spacing w:after="0" w:line="259" w:lineRule="auto"/>
        <w:tabs>
          <w:tab w:leader="none" w:pos="1381" w:val="left"/>
        </w:tabs>
        <w:numPr>
          <w:ilvl w:val="0"/>
          <w:numId w:val="722"/>
        </w:numPr>
        <w:rPr>
          <w:rFonts w:ascii="Arial" w:cs="Arial" w:eastAsia="Arial" w:hAnsi="Arial"/>
          <w:sz w:val="18"/>
          <w:szCs w:val="18"/>
          <w:color w:val="auto"/>
        </w:rPr>
      </w:pPr>
      <w:r>
        <w:rPr>
          <w:rFonts w:ascii="Arial" w:cs="Arial" w:eastAsia="Arial" w:hAnsi="Arial"/>
          <w:sz w:val="18"/>
          <w:szCs w:val="18"/>
          <w:color w:val="auto"/>
        </w:rPr>
        <w:t>In the event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 if any, will be taken and shall not incur any liability for its failure to act until such inconsistency or conflict is, in its reasonable opinion, resolved;</w:t>
      </w:r>
    </w:p>
    <w:p>
      <w:pPr>
        <w:spacing w:after="0" w:line="186" w:lineRule="exact"/>
        <w:rPr>
          <w:rFonts w:ascii="Arial" w:cs="Arial" w:eastAsia="Arial" w:hAnsi="Arial"/>
          <w:sz w:val="18"/>
          <w:szCs w:val="18"/>
          <w:color w:val="auto"/>
        </w:rPr>
      </w:pPr>
    </w:p>
    <w:p>
      <w:pPr>
        <w:jc w:val="both"/>
        <w:ind w:right="60" w:firstLine="987"/>
        <w:spacing w:after="0" w:line="263" w:lineRule="auto"/>
        <w:tabs>
          <w:tab w:leader="none" w:pos="1378" w:val="left"/>
        </w:tabs>
        <w:numPr>
          <w:ilvl w:val="0"/>
          <w:numId w:val="722"/>
        </w:numPr>
        <w:rPr>
          <w:rFonts w:ascii="Arial" w:cs="Arial" w:eastAsia="Arial" w:hAnsi="Arial"/>
          <w:sz w:val="18"/>
          <w:szCs w:val="18"/>
          <w:color w:val="auto"/>
        </w:rPr>
      </w:pPr>
      <w:r>
        <w:rPr>
          <w:rFonts w:ascii="Arial" w:cs="Arial" w:eastAsia="Arial" w:hAnsi="Arial"/>
          <w:sz w:val="18"/>
          <w:szCs w:val="18"/>
          <w:color w:val="auto"/>
        </w:rPr>
        <w:t>The Trustee may, before commencing (or at any time during the continuance of) any act, action or proceeding, require the Holders at whose instance it is acting to deposit with the Trustee the Notes held by them, for which Notes the Trustee to which such Notes are deposited shall issue receipts to such Holders;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3" w:right="459" w:bottom="1440" w:gutter="0" w:footer="0" w:header="0"/>
        </w:sectPr>
      </w:pPr>
    </w:p>
    <w:bookmarkStart w:id="550" w:name="page551"/>
    <w:bookmarkEnd w:id="550"/>
    <w:p>
      <w:pPr>
        <w:jc w:val="both"/>
        <w:ind w:right="160" w:firstLine="987"/>
        <w:spacing w:after="0" w:line="279" w:lineRule="auto"/>
        <w:tabs>
          <w:tab w:leader="none" w:pos="1351" w:val="left"/>
        </w:tabs>
        <w:numPr>
          <w:ilvl w:val="0"/>
          <w:numId w:val="7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Indenture, the Trustee and the Paying Agent shall be entitled to make a deduction or withholding from any payment which they make under this Indenture for or on account of any present or future taxes, duties or charges if and to the extent so required by applicable law, in which event the Trustee or the Paying Agent, as applicable, shall make such payment after such withholding or deduction has been made and shall account to the relevant authorities for the amount so withheld or deducted;</w:t>
      </w:r>
    </w:p>
    <w:p>
      <w:pPr>
        <w:spacing w:after="0" w:line="171" w:lineRule="exact"/>
        <w:rPr>
          <w:rFonts w:ascii="Arial" w:cs="Arial" w:eastAsia="Arial" w:hAnsi="Arial"/>
          <w:sz w:val="17"/>
          <w:szCs w:val="17"/>
          <w:color w:val="auto"/>
        </w:rPr>
      </w:pPr>
    </w:p>
    <w:p>
      <w:pPr>
        <w:ind w:right="160" w:firstLine="987"/>
        <w:spacing w:after="0" w:line="279" w:lineRule="auto"/>
        <w:tabs>
          <w:tab w:leader="none" w:pos="1358" w:val="left"/>
        </w:tabs>
        <w:numPr>
          <w:ilvl w:val="0"/>
          <w:numId w:val="723"/>
        </w:numPr>
        <w:rPr>
          <w:rFonts w:ascii="Arial" w:cs="Arial" w:eastAsia="Arial" w:hAnsi="Arial"/>
          <w:sz w:val="17"/>
          <w:szCs w:val="17"/>
          <w:color w:val="auto"/>
        </w:rPr>
      </w:pPr>
      <w:r>
        <w:rPr>
          <w:rFonts w:ascii="Arial" w:cs="Arial" w:eastAsia="Arial" w:hAnsi="Arial"/>
          <w:sz w:val="17"/>
          <w:szCs w:val="17"/>
          <w:color w:val="auto"/>
        </w:rPr>
        <w:t>The Trustee shall (except as expressly otherwise provided herein) as regards all the trusts, powers, authorities and discretions vested in it by this Indenture or by applicable law, have absolute and uncontrolled discretion as to the exercise or non-exercise thereof and, absent any wilful misconduct, gross negligence or fraud on the part of the Trustee the Trustee shall not be responsible for any loss, damage, cost, claim or any other liability or inconvenience that may result from the exercise or non-exercise thereof;</w:t>
      </w:r>
    </w:p>
    <w:p>
      <w:pPr>
        <w:spacing w:after="0" w:line="171" w:lineRule="exact"/>
        <w:rPr>
          <w:rFonts w:ascii="Arial" w:cs="Arial" w:eastAsia="Arial" w:hAnsi="Arial"/>
          <w:sz w:val="17"/>
          <w:szCs w:val="17"/>
          <w:color w:val="auto"/>
        </w:rPr>
      </w:pPr>
    </w:p>
    <w:p>
      <w:pPr>
        <w:jc w:val="both"/>
        <w:ind w:right="180" w:firstLine="987"/>
        <w:spacing w:after="0" w:line="263" w:lineRule="auto"/>
        <w:tabs>
          <w:tab w:leader="none" w:pos="1341" w:val="left"/>
        </w:tabs>
        <w:numPr>
          <w:ilvl w:val="0"/>
          <w:numId w:val="723"/>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of the Company mentioned herein shall be sufficiently evidenced if in writing and signed by an Officer of the Company and any resolution of the Board of Directors shall be sufficiently evidenced by a board resolution;</w:t>
      </w:r>
    </w:p>
    <w:p>
      <w:pPr>
        <w:spacing w:after="0" w:line="183" w:lineRule="exact"/>
        <w:rPr>
          <w:rFonts w:ascii="Arial" w:cs="Arial" w:eastAsia="Arial" w:hAnsi="Arial"/>
          <w:sz w:val="18"/>
          <w:szCs w:val="18"/>
          <w:color w:val="auto"/>
        </w:rPr>
      </w:pPr>
    </w:p>
    <w:p>
      <w:pPr>
        <w:ind w:right="120" w:firstLine="987"/>
        <w:spacing w:after="0" w:line="257" w:lineRule="auto"/>
        <w:tabs>
          <w:tab w:leader="none" w:pos="1378"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The Trustee shall have no duty to inquire as to the performance of the covenants of the Company or its Restricted Subsidiaries. Delivery of reports, information and documents to the Trustee under Section 4.03 hereof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Officer’s Certificates);</w:t>
      </w:r>
    </w:p>
    <w:p>
      <w:pPr>
        <w:spacing w:after="0" w:line="187" w:lineRule="exact"/>
        <w:rPr>
          <w:rFonts w:ascii="Arial" w:cs="Arial" w:eastAsia="Arial" w:hAnsi="Arial"/>
          <w:sz w:val="18"/>
          <w:szCs w:val="18"/>
          <w:color w:val="auto"/>
        </w:rPr>
      </w:pPr>
    </w:p>
    <w:p>
      <w:pPr>
        <w:ind w:right="180" w:firstLine="987"/>
        <w:spacing w:after="0" w:line="259" w:lineRule="auto"/>
        <w:tabs>
          <w:tab w:leader="none" w:pos="1378"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spacing w:after="0" w:line="186" w:lineRule="exact"/>
        <w:rPr>
          <w:rFonts w:ascii="Arial" w:cs="Arial" w:eastAsia="Arial" w:hAnsi="Arial"/>
          <w:sz w:val="18"/>
          <w:szCs w:val="18"/>
          <w:color w:val="auto"/>
        </w:rPr>
      </w:pPr>
    </w:p>
    <w:p>
      <w:pPr>
        <w:ind w:right="180" w:firstLine="987"/>
        <w:spacing w:after="0" w:line="277" w:lineRule="auto"/>
        <w:tabs>
          <w:tab w:leader="none" w:pos="1418"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The Trustee is not required to give any bond or surety with respect to the performance of its duty or the exercise of its power under this Indenture or the Notes;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723"/>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do anything which, in its opinion, may be illegal or contrary to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 or regulation;</w:t>
      </w:r>
    </w:p>
    <w:p>
      <w:pPr>
        <w:spacing w:after="0" w:line="210" w:lineRule="exact"/>
        <w:rPr>
          <w:rFonts w:ascii="Arial" w:cs="Arial" w:eastAsia="Arial" w:hAnsi="Arial"/>
          <w:sz w:val="16"/>
          <w:szCs w:val="16"/>
          <w:color w:val="auto"/>
        </w:rPr>
      </w:pPr>
    </w:p>
    <w:p>
      <w:pPr>
        <w:ind w:right="40" w:firstLine="987"/>
        <w:spacing w:after="0" w:line="263" w:lineRule="auto"/>
        <w:tabs>
          <w:tab w:leader="none" w:pos="1378"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The Trustee may assume without inquiry in the absence of actual knowledge that the Company is duly complying with its obligations contained in this Indenture required to be performed and observed by them, and that no Default or Event of Default or other event which would require repayment of the Notes has occurred; and</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0"/>
          <w:numId w:val="723"/>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7"/>
          <w:szCs w:val="17"/>
          <w:i w:val="1"/>
          <w:iCs w:val="1"/>
          <w:color w:val="auto"/>
        </w:rPr>
        <w:t>[Intentionally Omitted.]</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Individual Rights of Trustee.</w:t>
      </w:r>
    </w:p>
    <w:p>
      <w:pPr>
        <w:spacing w:after="0" w:line="117" w:lineRule="exact"/>
        <w:rPr>
          <w:sz w:val="20"/>
          <w:szCs w:val="20"/>
          <w:color w:val="auto"/>
        </w:rPr>
      </w:pPr>
    </w:p>
    <w:p>
      <w:pPr>
        <w:ind w:right="220" w:firstLine="987"/>
        <w:spacing w:after="0" w:line="342" w:lineRule="auto"/>
        <w:tabs>
          <w:tab w:leader="none" w:pos="1368" w:val="left"/>
        </w:tabs>
        <w:numPr>
          <w:ilvl w:val="0"/>
          <w:numId w:val="724"/>
        </w:numPr>
        <w:rPr>
          <w:rFonts w:ascii="Arial" w:cs="Arial" w:eastAsia="Arial" w:hAnsi="Arial"/>
          <w:sz w:val="16"/>
          <w:szCs w:val="16"/>
          <w:color w:val="auto"/>
        </w:rPr>
      </w:pPr>
      <w:r>
        <w:rPr>
          <w:rFonts w:ascii="Arial" w:cs="Arial" w:eastAsia="Arial" w:hAnsi="Arial"/>
          <w:sz w:val="16"/>
          <w:szCs w:val="16"/>
          <w:color w:val="auto"/>
        </w:rPr>
        <w:t>The Trustee in its individual or any other capacity may become the owner or pledgee of Notes and may otherwise deal with the Company or any Affiliate of the Company with the same rights it would have if it were not Trustee. The Trustee is also subject to Section 7.11 hereof.</w:t>
      </w:r>
    </w:p>
    <w:p>
      <w:pPr>
        <w:spacing w:after="0" w:line="123" w:lineRule="exact"/>
        <w:rPr>
          <w:rFonts w:ascii="Arial" w:cs="Arial" w:eastAsia="Arial" w:hAnsi="Arial"/>
          <w:sz w:val="16"/>
          <w:szCs w:val="16"/>
          <w:color w:val="auto"/>
        </w:rPr>
      </w:pPr>
    </w:p>
    <w:p>
      <w:pPr>
        <w:ind w:right="40" w:firstLine="987"/>
        <w:spacing w:after="0" w:line="259" w:lineRule="auto"/>
        <w:tabs>
          <w:tab w:leader="none" w:pos="1381" w:val="left"/>
        </w:tabs>
        <w:numPr>
          <w:ilvl w:val="0"/>
          <w:numId w:val="724"/>
        </w:numPr>
        <w:rPr>
          <w:rFonts w:ascii="Arial" w:cs="Arial" w:eastAsia="Arial" w:hAnsi="Arial"/>
          <w:sz w:val="18"/>
          <w:szCs w:val="18"/>
          <w:color w:val="auto"/>
        </w:rPr>
      </w:pPr>
      <w:r>
        <w:rPr>
          <w:rFonts w:ascii="Arial" w:cs="Arial" w:eastAsia="Arial" w:hAnsi="Arial"/>
          <w:sz w:val="18"/>
          <w:szCs w:val="18"/>
          <w:color w:val="auto"/>
        </w:rPr>
        <w:t>If the Trustee becomes a creditor of the Company or a Subsidiary Guarantor, this Indenture limits its right to obtain payment of claims in certain cases, or to realize on certain property received in respect of any such claim as security or otherwise. The Trustee will be permitted to engage in other transactions; however, if it acquires actual knowledge that it has any conflicting interest it must eliminate such conflict within 90 days or resign.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3" w:right="439" w:bottom="1440" w:gutter="0" w:footer="0" w:header="0"/>
        </w:sectPr>
      </w:pPr>
    </w:p>
    <w:bookmarkStart w:id="551" w:name="page552"/>
    <w:bookmarkEnd w:id="551"/>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7.05</w:t>
      </w:r>
      <w:r>
        <w:rPr>
          <w:sz w:val="20"/>
          <w:szCs w:val="20"/>
          <w:color w:val="auto"/>
        </w:rPr>
        <w:tab/>
      </w:r>
      <w:r>
        <w:rPr>
          <w:rFonts w:ascii="Arial" w:cs="Arial" w:eastAsia="Arial" w:hAnsi="Arial"/>
          <w:sz w:val="16"/>
          <w:szCs w:val="16"/>
          <w:i w:val="1"/>
          <w:iCs w:val="1"/>
          <w:color w:val="auto"/>
        </w:rPr>
        <w:t>Trustee’s Disclaimer.</w:t>
      </w:r>
    </w:p>
    <w:p>
      <w:pPr>
        <w:spacing w:after="0" w:line="117" w:lineRule="exact"/>
        <w:rPr>
          <w:sz w:val="20"/>
          <w:szCs w:val="20"/>
          <w:color w:val="auto"/>
        </w:rPr>
      </w:pPr>
    </w:p>
    <w:p>
      <w:pPr>
        <w:ind w:right="140" w:firstLine="991"/>
        <w:spacing w:after="0" w:line="293" w:lineRule="auto"/>
        <w:rPr>
          <w:sz w:val="20"/>
          <w:szCs w:val="20"/>
          <w:color w:val="auto"/>
        </w:rPr>
      </w:pPr>
      <w:r>
        <w:rPr>
          <w:rFonts w:ascii="Arial" w:cs="Arial" w:eastAsia="Arial" w:hAnsi="Arial"/>
          <w:sz w:val="16"/>
          <w:szCs w:val="16"/>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the certificate of authentication. The Trustee shall not be deemed to be required to calculate any Fixed Charges, Treasury Rates, Additional Amounts, any make-whole amount, any Fixed Charge Coverage Ratio or other coverage ratio, or otherwise.</w:t>
      </w:r>
    </w:p>
    <w:p>
      <w:pPr>
        <w:spacing w:after="0" w:line="27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Notice of Defaults.</w:t>
      </w:r>
    </w:p>
    <w:p>
      <w:pPr>
        <w:spacing w:after="0" w:line="117"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If a Default or Event of Default occurs and is continuing and if it is known to the Trustee, the Trustee will mail to Holders a notice of the Default or Event of Default within ninety (90) days after it occurs. Except in the case of a Default or Event of Default in payment of principal of, premium, Additional Amounts, if any, or interest on, any Note, the Trustee shall not be deemed to have such actual knowledge and may withhold the notice if and so long as a committee of its Responsible Officers in good faith determines that withholding the notice is in the interests of the Holders.</w:t>
      </w:r>
    </w:p>
    <w:p>
      <w:pPr>
        <w:spacing w:after="0" w:line="15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7"/>
          <w:szCs w:val="17"/>
          <w:i w:val="1"/>
          <w:iCs w:val="1"/>
          <w:color w:val="auto"/>
        </w:rPr>
        <w:t>[Intentionally Omitted.]</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i w:val="1"/>
          <w:iCs w:val="1"/>
          <w:color w:val="auto"/>
        </w:rPr>
        <w:t>Compensation and Indemnity.</w:t>
      </w:r>
    </w:p>
    <w:p>
      <w:pPr>
        <w:spacing w:after="0" w:line="117" w:lineRule="exact"/>
        <w:rPr>
          <w:sz w:val="20"/>
          <w:szCs w:val="20"/>
          <w:color w:val="auto"/>
        </w:rPr>
      </w:pPr>
    </w:p>
    <w:p>
      <w:pPr>
        <w:ind w:right="40" w:firstLine="987"/>
        <w:spacing w:after="0" w:line="275" w:lineRule="auto"/>
        <w:tabs>
          <w:tab w:leader="none" w:pos="1368" w:val="left"/>
        </w:tabs>
        <w:numPr>
          <w:ilvl w:val="0"/>
          <w:numId w:val="725"/>
        </w:numPr>
        <w:rPr>
          <w:rFonts w:ascii="Arial" w:cs="Arial" w:eastAsia="Arial" w:hAnsi="Arial"/>
          <w:sz w:val="17"/>
          <w:szCs w:val="17"/>
          <w:color w:val="auto"/>
        </w:rPr>
      </w:pPr>
      <w:r>
        <w:rPr>
          <w:rFonts w:ascii="Arial" w:cs="Arial" w:eastAsia="Arial" w:hAnsi="Arial"/>
          <w:sz w:val="17"/>
          <w:szCs w:val="17"/>
          <w:color w:val="auto"/>
        </w:rPr>
        <w:t>The Company will pay to the Trustee from time to time reasonable compensation for its acceptance of this Indenture and services hereunder pursuant to a written fee agreement executed or as otherwise agreed by the Trustee and the Company. The Trustee’s compensation will not be limited by any law on compensation of a trustee of an express trust. The Company will reimburse the Trustee promptly upon request for all reasonable disbursements, advances and expenses properly incurred or made by it in addition to the compensation for its services. Such expenses will include the reasonable compensation, disbursements and expenses of the Trustee’s agents and counsel.</w:t>
      </w:r>
    </w:p>
    <w:p>
      <w:pPr>
        <w:spacing w:after="0" w:line="176" w:lineRule="exact"/>
        <w:rPr>
          <w:rFonts w:ascii="Arial" w:cs="Arial" w:eastAsia="Arial" w:hAnsi="Arial"/>
          <w:sz w:val="17"/>
          <w:szCs w:val="17"/>
          <w:color w:val="auto"/>
        </w:rPr>
      </w:pPr>
    </w:p>
    <w:p>
      <w:pPr>
        <w:ind w:firstLine="987"/>
        <w:spacing w:after="0" w:line="287" w:lineRule="auto"/>
        <w:tabs>
          <w:tab w:leader="none" w:pos="1378" w:val="left"/>
        </w:tabs>
        <w:numPr>
          <w:ilvl w:val="0"/>
          <w:numId w:val="725"/>
        </w:numPr>
        <w:rPr>
          <w:rFonts w:ascii="Arial" w:cs="Arial" w:eastAsia="Arial" w:hAnsi="Arial"/>
          <w:sz w:val="16"/>
          <w:szCs w:val="16"/>
          <w:color w:val="auto"/>
        </w:rPr>
      </w:pPr>
      <w:r>
        <w:rPr>
          <w:rFonts w:ascii="Arial" w:cs="Arial" w:eastAsia="Arial" w:hAnsi="Arial"/>
          <w:sz w:val="16"/>
          <w:szCs w:val="16"/>
          <w:color w:val="auto"/>
        </w:rPr>
        <w:t>The Company and the Subsidiary Guarantors will indemnify the Trustee and its officers, directors, employees and agents against any and all losses, liabilities or expenses (including the fees and expenses of counsel) incurred by it arising out of or in connection with the acceptance or administration of its duties under this Indenture, including the costs and expenses of enforcing this Indenture against the Company and the Subsidiary Guarantors (including this Section 7.08) and defending itself against any claim (whether asserted by the Company, the Subsidiary Guarantors, any Holder or any other Person) or liability in connection with the exercise or performance of any of its powers or duties hereunder, except to the extent any such loss, liability or expense may be attributable solely to its gross negligence, willful misconduct or fraud as determined by a court of competent jurisdiction in a final non-appealable order. The Trustee will notify the Company promptly of any claim for which it may seek indemnity. Failure by the Trustee to so notify the Company will not relieve the Company or any of the Subsidiary Guarantors of their obligations hereunder. The Company or such Subsidiary Guarantor will defend the claim and the Trustee will cooperate in the defense. The Trustee may have separate counsel and the Company will pay the reasonable fees and expenses of such counsel. Neither the Company nor any Subsidiary Guarantor need to pay for any settlement made without its consent, which consent will not be unreasonably withheld.</w:t>
      </w:r>
    </w:p>
    <w:p>
      <w:pPr>
        <w:spacing w:after="0" w:line="171" w:lineRule="exact"/>
        <w:rPr>
          <w:rFonts w:ascii="Arial" w:cs="Arial" w:eastAsia="Arial" w:hAnsi="Arial"/>
          <w:sz w:val="16"/>
          <w:szCs w:val="16"/>
          <w:color w:val="auto"/>
        </w:rPr>
      </w:pPr>
    </w:p>
    <w:p>
      <w:pPr>
        <w:ind w:right="100" w:firstLine="987"/>
        <w:spacing w:after="0" w:line="277" w:lineRule="auto"/>
        <w:tabs>
          <w:tab w:leader="none" w:pos="1368" w:val="left"/>
        </w:tabs>
        <w:numPr>
          <w:ilvl w:val="0"/>
          <w:numId w:val="725"/>
        </w:numPr>
        <w:rPr>
          <w:rFonts w:ascii="Arial" w:cs="Arial" w:eastAsia="Arial" w:hAnsi="Arial"/>
          <w:sz w:val="18"/>
          <w:szCs w:val="18"/>
          <w:color w:val="auto"/>
        </w:rPr>
      </w:pPr>
      <w:r>
        <w:rPr>
          <w:rFonts w:ascii="Arial" w:cs="Arial" w:eastAsia="Arial" w:hAnsi="Arial"/>
          <w:sz w:val="18"/>
          <w:szCs w:val="18"/>
          <w:color w:val="auto"/>
        </w:rPr>
        <w:t>The obligations of the Company and the Subsidiary Guarantors under this Section 7.08 will survive the satisfaction and discharge of this Indenture, and the resignation or removal of the Trustee and/or any Agent.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3" w:right="479" w:bottom="1440" w:gutter="0" w:footer="0" w:header="0"/>
        </w:sectPr>
      </w:pPr>
    </w:p>
    <w:bookmarkStart w:id="552" w:name="page553"/>
    <w:bookmarkEnd w:id="552"/>
    <w:p>
      <w:pPr>
        <w:jc w:val="both"/>
        <w:ind w:right="60" w:firstLine="987"/>
        <w:spacing w:after="0" w:line="263" w:lineRule="auto"/>
        <w:tabs>
          <w:tab w:leader="none" w:pos="1378" w:val="left"/>
        </w:tabs>
        <w:numPr>
          <w:ilvl w:val="0"/>
          <w:numId w:val="7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secure the Company’s and the Subsidiary Guarantors’ payment obligations in this Section 7.08, the Trustee will have a Lien prior to the Notes on all money or property held or collected by the Trustee, in its capacity as Trustee, except that held in trust to pay principal and interest on particular Notes. Such Lien will survive the satisfaction and discharge of this Indenture.</w:t>
      </w:r>
    </w:p>
    <w:p>
      <w:pPr>
        <w:spacing w:after="0" w:line="183" w:lineRule="exact"/>
        <w:rPr>
          <w:rFonts w:ascii="Arial" w:cs="Arial" w:eastAsia="Arial" w:hAnsi="Arial"/>
          <w:sz w:val="18"/>
          <w:szCs w:val="18"/>
          <w:color w:val="auto"/>
        </w:rPr>
      </w:pPr>
    </w:p>
    <w:p>
      <w:pPr>
        <w:jc w:val="both"/>
        <w:ind w:right="160" w:firstLine="987"/>
        <w:spacing w:after="0" w:line="263" w:lineRule="auto"/>
        <w:tabs>
          <w:tab w:leader="none" w:pos="1368" w:val="left"/>
        </w:tabs>
        <w:numPr>
          <w:ilvl w:val="0"/>
          <w:numId w:val="726"/>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6.01(a)(7) or Section 6.01(a)(8) hereof occurs, the expenses and the compensation for the services (including the fees and expenses of its agents and counsel) are intended to constitute expenses of administration under any Bankruptcy Law.</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Replacement of Trustee.</w:t>
      </w:r>
    </w:p>
    <w:p>
      <w:pPr>
        <w:spacing w:after="0" w:line="117" w:lineRule="exact"/>
        <w:rPr>
          <w:sz w:val="20"/>
          <w:szCs w:val="20"/>
          <w:color w:val="auto"/>
        </w:rPr>
      </w:pPr>
    </w:p>
    <w:p>
      <w:pPr>
        <w:ind w:right="560" w:firstLine="987"/>
        <w:spacing w:after="0" w:line="277" w:lineRule="auto"/>
        <w:tabs>
          <w:tab w:leader="none" w:pos="1361" w:val="left"/>
        </w:tabs>
        <w:numPr>
          <w:ilvl w:val="0"/>
          <w:numId w:val="727"/>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7.09.</w:t>
      </w:r>
    </w:p>
    <w:p>
      <w:pPr>
        <w:spacing w:after="0" w:line="170" w:lineRule="exact"/>
        <w:rPr>
          <w:rFonts w:ascii="Arial" w:cs="Arial" w:eastAsia="Arial" w:hAnsi="Arial"/>
          <w:sz w:val="18"/>
          <w:szCs w:val="18"/>
          <w:color w:val="auto"/>
        </w:rPr>
      </w:pPr>
    </w:p>
    <w:p>
      <w:pPr>
        <w:ind w:right="20" w:firstLine="987"/>
        <w:spacing w:after="0" w:line="263" w:lineRule="auto"/>
        <w:tabs>
          <w:tab w:leader="none" w:pos="1378" w:val="left"/>
        </w:tabs>
        <w:numPr>
          <w:ilvl w:val="0"/>
          <w:numId w:val="727"/>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727"/>
        </w:numPr>
        <w:rPr>
          <w:rFonts w:ascii="Arial" w:cs="Arial" w:eastAsia="Arial" w:hAnsi="Arial"/>
          <w:sz w:val="18"/>
          <w:szCs w:val="18"/>
          <w:color w:val="auto"/>
        </w:rPr>
      </w:pPr>
      <w:r>
        <w:rPr>
          <w:rFonts w:ascii="Arial" w:cs="Arial" w:eastAsia="Arial" w:hAnsi="Arial"/>
          <w:sz w:val="18"/>
          <w:szCs w:val="18"/>
          <w:color w:val="auto"/>
        </w:rPr>
        <w:t>the Trustee fails to comply with Section 7.11 hereof;</w:t>
      </w:r>
    </w:p>
    <w:p>
      <w:pPr>
        <w:spacing w:after="0" w:line="117" w:lineRule="exact"/>
        <w:rPr>
          <w:rFonts w:ascii="Arial" w:cs="Arial" w:eastAsia="Arial" w:hAnsi="Arial"/>
          <w:sz w:val="18"/>
          <w:szCs w:val="18"/>
          <w:color w:val="auto"/>
        </w:rPr>
      </w:pPr>
    </w:p>
    <w:p>
      <w:pPr>
        <w:ind w:left="980" w:right="680" w:firstLine="408"/>
        <w:spacing w:after="0" w:line="277" w:lineRule="auto"/>
        <w:tabs>
          <w:tab w:leader="none" w:pos="1771" w:val="left"/>
        </w:tabs>
        <w:numPr>
          <w:ilvl w:val="1"/>
          <w:numId w:val="727"/>
        </w:numPr>
        <w:rPr>
          <w:rFonts w:ascii="Arial" w:cs="Arial" w:eastAsia="Arial" w:hAnsi="Arial"/>
          <w:sz w:val="18"/>
          <w:szCs w:val="18"/>
          <w:color w:val="auto"/>
        </w:rPr>
      </w:pPr>
      <w:r>
        <w:rPr>
          <w:rFonts w:ascii="Arial" w:cs="Arial" w:eastAsia="Arial" w:hAnsi="Arial"/>
          <w:sz w:val="18"/>
          <w:szCs w:val="18"/>
          <w:color w:val="auto"/>
        </w:rPr>
        <w:t>the Trustee is adjudged a bankrupt or an insolvent or an order for relief is entered with respect to the Trustee under any Bankruptcy Law;</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727"/>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727"/>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100" w:firstLine="987"/>
        <w:spacing w:after="0" w:line="286" w:lineRule="auto"/>
        <w:tabs>
          <w:tab w:leader="none" w:pos="1371" w:val="left"/>
        </w:tabs>
        <w:numPr>
          <w:ilvl w:val="0"/>
          <w:numId w:val="727"/>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will promptly appoint a successor Trustee. Within one (1) year after the successor Trustee takes office, the holders of a majority in aggregate principal amount of the then outstanding Notes may appoint a successor Trustee to replace the successor Trustee appointed by the Company.</w:t>
      </w:r>
    </w:p>
    <w:p>
      <w:pPr>
        <w:spacing w:after="0" w:line="165" w:lineRule="exact"/>
        <w:rPr>
          <w:rFonts w:ascii="Arial" w:cs="Arial" w:eastAsia="Arial" w:hAnsi="Arial"/>
          <w:sz w:val="17"/>
          <w:szCs w:val="17"/>
          <w:color w:val="auto"/>
        </w:rPr>
      </w:pPr>
    </w:p>
    <w:p>
      <w:pPr>
        <w:ind w:right="100" w:firstLine="987"/>
        <w:spacing w:after="0" w:line="263" w:lineRule="auto"/>
        <w:tabs>
          <w:tab w:leader="none" w:pos="1381" w:val="left"/>
        </w:tabs>
        <w:numPr>
          <w:ilvl w:val="0"/>
          <w:numId w:val="727"/>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sixty (60) days after the retiring Trustee resigns or is removed, the retiring Trustee, the Company, or the Holders of at least 10% in aggregate principal amount of the then outstanding Notes may petition any court of competent jurisdiction for the appointment of a successor Trustee at the sole expense of the Company.</w:t>
      </w:r>
    </w:p>
    <w:p>
      <w:pPr>
        <w:spacing w:after="0" w:line="183" w:lineRule="exact"/>
        <w:rPr>
          <w:rFonts w:ascii="Arial" w:cs="Arial" w:eastAsia="Arial" w:hAnsi="Arial"/>
          <w:sz w:val="18"/>
          <w:szCs w:val="18"/>
          <w:color w:val="auto"/>
        </w:rPr>
      </w:pPr>
    </w:p>
    <w:p>
      <w:pPr>
        <w:ind w:right="260" w:firstLine="987"/>
        <w:spacing w:after="0" w:line="342" w:lineRule="auto"/>
        <w:tabs>
          <w:tab w:leader="none" w:pos="1371" w:val="left"/>
        </w:tabs>
        <w:numPr>
          <w:ilvl w:val="0"/>
          <w:numId w:val="727"/>
        </w:numPr>
        <w:rPr>
          <w:rFonts w:ascii="Arial" w:cs="Arial" w:eastAsia="Arial" w:hAnsi="Arial"/>
          <w:sz w:val="16"/>
          <w:szCs w:val="16"/>
          <w:color w:val="auto"/>
        </w:rPr>
      </w:pPr>
      <w:r>
        <w:rPr>
          <w:rFonts w:ascii="Arial" w:cs="Arial" w:eastAsia="Arial" w:hAnsi="Arial"/>
          <w:sz w:val="16"/>
          <w:szCs w:val="16"/>
          <w:color w:val="auto"/>
        </w:rPr>
        <w:t>If the Trustee, after written request by any Holder who has been a Holder for at least six months, fails to comply with Section 7.11 hereof, such Holder may petition any court of competent jurisdiction for the removal of the Trustee and the appointment of a successor Trustee.</w:t>
      </w:r>
    </w:p>
    <w:p>
      <w:pPr>
        <w:spacing w:after="0" w:line="123" w:lineRule="exact"/>
        <w:rPr>
          <w:rFonts w:ascii="Arial" w:cs="Arial" w:eastAsia="Arial" w:hAnsi="Arial"/>
          <w:sz w:val="16"/>
          <w:szCs w:val="16"/>
          <w:color w:val="auto"/>
        </w:rPr>
      </w:pPr>
    </w:p>
    <w:p>
      <w:pPr>
        <w:ind w:firstLine="987"/>
        <w:spacing w:after="0" w:line="255" w:lineRule="auto"/>
        <w:tabs>
          <w:tab w:leader="none" w:pos="1341" w:val="left"/>
        </w:tabs>
        <w:numPr>
          <w:ilvl w:val="0"/>
          <w:numId w:val="727"/>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7.08 hereof. Notwithstanding replacement of the Trustee pursuant to this Section 7.09, the Company’s obligations under Section 7.08 hereof will continue for the benefit of the retiring Trustee.</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5"/>
          <w:szCs w:val="15"/>
          <w:i w:val="1"/>
          <w:iCs w:val="1"/>
          <w:color w:val="auto"/>
        </w:rPr>
        <w:t>Successor Trustee by Merger, etc.</w:t>
      </w:r>
    </w:p>
    <w:p>
      <w:pPr>
        <w:spacing w:after="0" w:line="117"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3" w:right="459" w:bottom="1440" w:gutter="0" w:footer="0" w:header="0"/>
        </w:sectPr>
      </w:pPr>
    </w:p>
    <w:bookmarkStart w:id="553" w:name="page554"/>
    <w:bookmarkEnd w:id="553"/>
    <w:p>
      <w:pPr>
        <w:ind w:left="440"/>
        <w:spacing w:after="0"/>
        <w:tabs>
          <w:tab w:leader="none" w:pos="1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7.11</w:t>
      </w:r>
      <w:r>
        <w:rPr>
          <w:sz w:val="20"/>
          <w:szCs w:val="20"/>
          <w:color w:val="auto"/>
        </w:rPr>
        <w:tab/>
      </w:r>
      <w:r>
        <w:rPr>
          <w:rFonts w:ascii="Arial" w:cs="Arial" w:eastAsia="Arial" w:hAnsi="Arial"/>
          <w:sz w:val="17"/>
          <w:szCs w:val="17"/>
          <w:i w:val="1"/>
          <w:iCs w:val="1"/>
          <w:color w:val="auto"/>
        </w:rPr>
        <w:t>Eligibility; Disqualification.</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There shall at all times be a Trustee hereunder that is entitled to carry out the activities of a trustee under the laws of England and Wales, or Hong Kong or the State of New York or is a corporation organized or doing business under the laws of the United States of America or any state thereof or the District of Columbia that is authorized under such laws to exercise corporate trustee power and that is a corporation which is generally recognized as a corporation which customarily performs such corporate trustee roles and provides such corporate trustee services in transactions similar in nature to the offering of the Notes. No obligor under the Notes or Person directly controlling, controlled by, or under common control with such obligor shall serve as trustee under the Notes.</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i w:val="1"/>
          <w:iCs w:val="1"/>
          <w:color w:val="auto"/>
        </w:rPr>
        <w:t>Appointment of Co-Trustee.</w:t>
      </w:r>
    </w:p>
    <w:p>
      <w:pPr>
        <w:spacing w:after="0" w:line="117" w:lineRule="exact"/>
        <w:rPr>
          <w:sz w:val="20"/>
          <w:szCs w:val="20"/>
          <w:color w:val="auto"/>
        </w:rPr>
      </w:pPr>
    </w:p>
    <w:p>
      <w:pPr>
        <w:ind w:right="120" w:firstLine="987"/>
        <w:spacing w:after="0" w:line="273" w:lineRule="auto"/>
        <w:tabs>
          <w:tab w:leader="none" w:pos="1371" w:val="left"/>
        </w:tabs>
        <w:numPr>
          <w:ilvl w:val="0"/>
          <w:numId w:val="728"/>
        </w:numPr>
        <w:rPr>
          <w:rFonts w:ascii="Arial" w:cs="Arial" w:eastAsia="Arial" w:hAnsi="Arial"/>
          <w:sz w:val="17"/>
          <w:szCs w:val="17"/>
          <w:color w:val="auto"/>
        </w:rPr>
      </w:pPr>
      <w:r>
        <w:rPr>
          <w:rFonts w:ascii="Arial" w:cs="Arial" w:eastAsia="Arial" w:hAnsi="Arial"/>
          <w:sz w:val="17"/>
          <w:szCs w:val="17"/>
          <w:color w:val="auto"/>
        </w:rPr>
        <w:t>Notwithstanding any other provisions of this Indenture, at any time, for the purpose of meeting any legal requirement of any jurisdiction or otherwise, the Trustee shall have the power and may execute and deliver all instruments necessary to appoint one or more Persons to act as a co-trustee or co-trustees, or separate trustees, of all or any part of this Indenture, and to vest in such Person or Persons, in such capacity and for the benefit of the Holders, such powers, duties, obligations, rights and trusts as the Trustee may consider necessary or desirable. No co-trustee or separate trustee hereunder shall be required to meet the terms of eligibility as a successor trustee under Section 7.09 hereof and no notice to the Holders of the appointment of any co-trustee or separate trustee shall be required.</w:t>
      </w:r>
    </w:p>
    <w:p>
      <w:pPr>
        <w:spacing w:after="0" w:line="177" w:lineRule="exact"/>
        <w:rPr>
          <w:rFonts w:ascii="Arial" w:cs="Arial" w:eastAsia="Arial" w:hAnsi="Arial"/>
          <w:sz w:val="17"/>
          <w:szCs w:val="17"/>
          <w:color w:val="auto"/>
        </w:rPr>
      </w:pPr>
    </w:p>
    <w:p>
      <w:pPr>
        <w:ind w:left="1380" w:hanging="393"/>
        <w:spacing w:after="0"/>
        <w:tabs>
          <w:tab w:leader="none" w:pos="1380" w:val="left"/>
        </w:tabs>
        <w:numPr>
          <w:ilvl w:val="0"/>
          <w:numId w:val="728"/>
        </w:numPr>
        <w:rPr>
          <w:rFonts w:ascii="Arial" w:cs="Arial" w:eastAsia="Arial" w:hAnsi="Arial"/>
          <w:sz w:val="16"/>
          <w:szCs w:val="16"/>
          <w:color w:val="auto"/>
        </w:rPr>
      </w:pPr>
      <w:r>
        <w:rPr>
          <w:rFonts w:ascii="Arial" w:cs="Arial" w:eastAsia="Arial" w:hAnsi="Arial"/>
          <w:sz w:val="16"/>
          <w:szCs w:val="16"/>
          <w:color w:val="auto"/>
        </w:rPr>
        <w:t>Every separate trustee and co-trustee shall, to the extent permitted by law, be appointed and act subject to the following provisions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conditions:</w:t>
      </w:r>
    </w:p>
    <w:p>
      <w:pPr>
        <w:spacing w:after="0" w:line="102" w:lineRule="exact"/>
        <w:rPr>
          <w:rFonts w:ascii="Arial" w:cs="Arial" w:eastAsia="Arial" w:hAnsi="Arial"/>
          <w:sz w:val="16"/>
          <w:szCs w:val="16"/>
          <w:color w:val="auto"/>
        </w:rPr>
      </w:pPr>
    </w:p>
    <w:p>
      <w:pPr>
        <w:ind w:left="980" w:right="180" w:firstLine="408"/>
        <w:spacing w:after="0" w:line="255" w:lineRule="auto"/>
        <w:tabs>
          <w:tab w:leader="none" w:pos="1761" w:val="left"/>
        </w:tabs>
        <w:numPr>
          <w:ilvl w:val="1"/>
          <w:numId w:val="728"/>
        </w:numPr>
        <w:rPr>
          <w:rFonts w:ascii="Arial" w:cs="Arial" w:eastAsia="Arial" w:hAnsi="Arial"/>
          <w:sz w:val="18"/>
          <w:szCs w:val="18"/>
          <w:color w:val="auto"/>
        </w:rPr>
      </w:pPr>
      <w:r>
        <w:rPr>
          <w:rFonts w:ascii="Arial" w:cs="Arial" w:eastAsia="Arial" w:hAnsi="Arial"/>
          <w:sz w:val="18"/>
          <w:szCs w:val="18"/>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84" w:lineRule="exact"/>
        <w:rPr>
          <w:rFonts w:ascii="Arial" w:cs="Arial" w:eastAsia="Arial" w:hAnsi="Arial"/>
          <w:sz w:val="18"/>
          <w:szCs w:val="18"/>
          <w:color w:val="auto"/>
        </w:rPr>
      </w:pPr>
    </w:p>
    <w:p>
      <w:pPr>
        <w:ind w:left="1780" w:hanging="392"/>
        <w:spacing w:after="0"/>
        <w:tabs>
          <w:tab w:leader="none" w:pos="1780" w:val="left"/>
        </w:tabs>
        <w:numPr>
          <w:ilvl w:val="1"/>
          <w:numId w:val="728"/>
        </w:numPr>
        <w:rPr>
          <w:rFonts w:ascii="Arial" w:cs="Arial" w:eastAsia="Arial" w:hAnsi="Arial"/>
          <w:sz w:val="17"/>
          <w:szCs w:val="17"/>
          <w:color w:val="auto"/>
        </w:rPr>
      </w:pPr>
      <w:r>
        <w:rPr>
          <w:rFonts w:ascii="Arial" w:cs="Arial" w:eastAsia="Arial" w:hAnsi="Arial"/>
          <w:sz w:val="17"/>
          <w:szCs w:val="17"/>
          <w:color w:val="auto"/>
        </w:rPr>
        <w:t>No trustee hereunder shall be personally liable by reason of any act or omission of any other trustee hereunder; and</w:t>
      </w:r>
    </w:p>
    <w:p>
      <w:pPr>
        <w:spacing w:after="0" w:line="128" w:lineRule="exact"/>
        <w:rPr>
          <w:rFonts w:ascii="Arial" w:cs="Arial" w:eastAsia="Arial" w:hAnsi="Arial"/>
          <w:sz w:val="17"/>
          <w:szCs w:val="17"/>
          <w:color w:val="auto"/>
        </w:rPr>
      </w:pPr>
    </w:p>
    <w:p>
      <w:pPr>
        <w:ind w:left="1780" w:hanging="392"/>
        <w:spacing w:after="0"/>
        <w:tabs>
          <w:tab w:leader="none" w:pos="1780" w:val="left"/>
        </w:tabs>
        <w:numPr>
          <w:ilvl w:val="1"/>
          <w:numId w:val="728"/>
        </w:numPr>
        <w:rPr>
          <w:rFonts w:ascii="Arial" w:cs="Arial" w:eastAsia="Arial" w:hAnsi="Arial"/>
          <w:sz w:val="18"/>
          <w:szCs w:val="18"/>
          <w:color w:val="auto"/>
        </w:rPr>
      </w:pPr>
      <w:r>
        <w:rPr>
          <w:rFonts w:ascii="Arial" w:cs="Arial" w:eastAsia="Arial" w:hAnsi="Arial"/>
          <w:sz w:val="18"/>
          <w:szCs w:val="18"/>
          <w:color w:val="auto"/>
        </w:rPr>
        <w:t>The Trustee may at any time accept the resignation of or remove any separate trustee or co-trustee.</w:t>
      </w:r>
    </w:p>
    <w:p>
      <w:pPr>
        <w:spacing w:after="0" w:line="225" w:lineRule="exact"/>
        <w:rPr>
          <w:rFonts w:ascii="Arial" w:cs="Arial" w:eastAsia="Arial" w:hAnsi="Arial"/>
          <w:sz w:val="18"/>
          <w:szCs w:val="18"/>
          <w:color w:val="auto"/>
        </w:rPr>
      </w:pPr>
    </w:p>
    <w:p>
      <w:pPr>
        <w:ind w:firstLine="987"/>
        <w:spacing w:after="0" w:line="254" w:lineRule="auto"/>
        <w:tabs>
          <w:tab w:leader="none" w:pos="1361" w:val="left"/>
        </w:tabs>
        <w:numPr>
          <w:ilvl w:val="0"/>
          <w:numId w:val="728"/>
        </w:numPr>
        <w:rPr>
          <w:rFonts w:ascii="Arial" w:cs="Arial" w:eastAsia="Arial" w:hAnsi="Arial"/>
          <w:sz w:val="18"/>
          <w:szCs w:val="18"/>
          <w:color w:val="auto"/>
        </w:rPr>
      </w:pPr>
      <w:r>
        <w:rPr>
          <w:rFonts w:ascii="Arial" w:cs="Arial" w:eastAsia="Arial" w:hAnsi="Arial"/>
          <w:sz w:val="18"/>
          <w:szCs w:val="18"/>
          <w:color w:val="auto"/>
        </w:rPr>
        <w:t>Any notice, request or other writing given to the Trustee shall be deemed to have been given to each of the then separate trustees and co-trustees, as effectively as if given to each of them. Every instrument appointing any separate trustee or co-trustee shall refer to this Indenture and the conditions of this Section 7.12.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w:t>
      </w:r>
    </w:p>
    <w:p>
      <w:pPr>
        <w:spacing w:after="0" w:line="194" w:lineRule="exact"/>
        <w:rPr>
          <w:rFonts w:ascii="Arial" w:cs="Arial" w:eastAsia="Arial" w:hAnsi="Arial"/>
          <w:sz w:val="18"/>
          <w:szCs w:val="18"/>
          <w:color w:val="auto"/>
        </w:rPr>
      </w:pPr>
    </w:p>
    <w:p>
      <w:pPr>
        <w:ind w:right="40" w:firstLine="987"/>
        <w:spacing w:after="0" w:line="279" w:lineRule="auto"/>
        <w:tabs>
          <w:tab w:leader="none" w:pos="1371" w:val="left"/>
        </w:tabs>
        <w:numPr>
          <w:ilvl w:val="0"/>
          <w:numId w:val="728"/>
        </w:numPr>
        <w:rPr>
          <w:rFonts w:ascii="Arial" w:cs="Arial" w:eastAsia="Arial" w:hAnsi="Arial"/>
          <w:sz w:val="17"/>
          <w:szCs w:val="17"/>
          <w:color w:val="auto"/>
        </w:rPr>
      </w:pPr>
      <w:r>
        <w:rPr>
          <w:rFonts w:ascii="Arial" w:cs="Arial" w:eastAsia="Arial" w:hAnsi="Arial"/>
          <w:sz w:val="17"/>
          <w:szCs w:val="17"/>
          <w:color w:val="auto"/>
        </w:rPr>
        <w:t>Any separate trustee or co-trustee may at any time constitute the Trustee its agent or attorney-in-fact with full power and authority, to the extent not prohibited by law, to do any lawful act under or in respect of this Indenture on its behalf and in its name. If any separate trustee or co-trustee shall die, become incapable of acting, resign or be removed, all of its estates, properties, rights, remedies, and trusts shall vest in and be exercised by the Trustee, to the extent permitted by law, without the appointment of a new or successor trustee.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3" w:right="459" w:bottom="1440" w:gutter="0" w:footer="0" w:header="0"/>
        </w:sectPr>
      </w:pPr>
    </w:p>
    <w:bookmarkStart w:id="554" w:name="page555"/>
    <w:bookmarkEnd w:id="554"/>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7.13</w:t>
      </w:r>
      <w:r>
        <w:rPr>
          <w:sz w:val="20"/>
          <w:szCs w:val="20"/>
          <w:color w:val="auto"/>
        </w:rPr>
        <w:tab/>
      </w:r>
      <w:r>
        <w:rPr>
          <w:rFonts w:ascii="Arial" w:cs="Arial" w:eastAsia="Arial" w:hAnsi="Arial"/>
          <w:sz w:val="16"/>
          <w:szCs w:val="16"/>
          <w:i w:val="1"/>
          <w:iCs w:val="1"/>
          <w:color w:val="auto"/>
        </w:rPr>
        <w:t>Resignation of Agents.</w:t>
      </w:r>
    </w:p>
    <w:p>
      <w:pPr>
        <w:spacing w:after="0" w:line="117"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Any Agent may resign and be discharged from its duties under this Indenture at any time by giving thirty (30) days’ prior written notice of such resignation to the Trustee and the Company. The Trustee or the Company may remove any Agent at any time by giving thirty (30) days’ prior written notice to such Agent. Upon such notice, a successor Agent shall be appointed by the Company, who shall provide written notice of such to the Trustee. Such successor Agent shall become the Agent hereunder upon the resignation or removal date specified in such notice. If the Company is unable to replace the resigning Agent within thirty (30) days after such notice, the Agent shall deliver any funds then held hereunder in its possession to the Trustee or (i) such Agent may appoint as its successor Agent, any reputable and experienced financial institution acceptable to the Trustee and the Company or (ii) apply to a court of competent jurisdiction for the appointment of a successor Agent or for other appropriate relief. The reasonable costs and expenses (including its counsels’ fees and expenses) incurred by the Agent in connection with such proceeding shall be paid by the Company.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7.08 hereof.</w:t>
      </w:r>
    </w:p>
    <w:p>
      <w:pPr>
        <w:spacing w:after="0" w:line="28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7.14</w:t>
      </w:r>
      <w:r>
        <w:rPr>
          <w:sz w:val="20"/>
          <w:szCs w:val="20"/>
          <w:color w:val="auto"/>
        </w:rPr>
        <w:tab/>
      </w:r>
      <w:r>
        <w:rPr>
          <w:rFonts w:ascii="Arial" w:cs="Arial" w:eastAsia="Arial" w:hAnsi="Arial"/>
          <w:sz w:val="16"/>
          <w:szCs w:val="16"/>
          <w:i w:val="1"/>
          <w:iCs w:val="1"/>
          <w:color w:val="auto"/>
        </w:rPr>
        <w:t>Agents General Provisions.</w:t>
      </w:r>
    </w:p>
    <w:p>
      <w:pPr>
        <w:spacing w:after="0" w:line="117"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rights, powers, duties and obligations and actions of each Agent under this Indenture are several and not joint or joint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w:t>
      </w:r>
    </w:p>
    <w:p>
      <w:pPr>
        <w:spacing w:after="0" w:line="211" w:lineRule="exact"/>
        <w:rPr>
          <w:sz w:val="20"/>
          <w:szCs w:val="20"/>
          <w:color w:val="auto"/>
        </w:rPr>
      </w:pPr>
    </w:p>
    <w:p>
      <w:pPr>
        <w:ind w:firstLine="987"/>
        <w:spacing w:after="0" w:line="259" w:lineRule="auto"/>
        <w:tabs>
          <w:tab w:leader="none" w:pos="1378" w:val="left"/>
        </w:tabs>
        <w:numPr>
          <w:ilvl w:val="0"/>
          <w:numId w:val="729"/>
        </w:numPr>
        <w:rPr>
          <w:rFonts w:ascii="Arial" w:cs="Arial" w:eastAsia="Arial" w:hAnsi="Arial"/>
          <w:sz w:val="18"/>
          <w:szCs w:val="18"/>
          <w:color w:val="auto"/>
        </w:rPr>
      </w:pPr>
      <w:r>
        <w:rPr>
          <w:rFonts w:ascii="Arial" w:cs="Arial" w:eastAsia="Arial" w:hAnsi="Arial"/>
          <w:sz w:val="18"/>
          <w:szCs w:val="18"/>
          <w:color w:val="auto"/>
        </w:rPr>
        <w:t>The Company and the Agents acknowledge and agree that in the event of a Default or Event of Default, the Trustee may, by notice in writing to the Company and the Agents, require that the Agents act as agents of, and take instructions exclusively from, the Trustee. Until they have received such written notice from the Trustee, the Agents shall act solely as agents of the Company and need have no concern for the interests of the Holders.</w:t>
      </w:r>
    </w:p>
    <w:p>
      <w:pPr>
        <w:spacing w:after="0" w:line="186" w:lineRule="exact"/>
        <w:rPr>
          <w:rFonts w:ascii="Arial" w:cs="Arial" w:eastAsia="Arial" w:hAnsi="Arial"/>
          <w:sz w:val="18"/>
          <w:szCs w:val="18"/>
          <w:color w:val="auto"/>
        </w:rPr>
      </w:pPr>
    </w:p>
    <w:p>
      <w:pPr>
        <w:ind w:firstLine="987"/>
        <w:spacing w:after="0" w:line="259" w:lineRule="auto"/>
        <w:tabs>
          <w:tab w:leader="none" w:pos="1371" w:val="left"/>
        </w:tabs>
        <w:numPr>
          <w:ilvl w:val="0"/>
          <w:numId w:val="729"/>
        </w:numPr>
        <w:rPr>
          <w:rFonts w:ascii="Arial" w:cs="Arial" w:eastAsia="Arial" w:hAnsi="Arial"/>
          <w:sz w:val="18"/>
          <w:szCs w:val="18"/>
          <w:color w:val="auto"/>
        </w:rPr>
      </w:pPr>
      <w:r>
        <w:rPr>
          <w:rFonts w:ascii="Arial" w:cs="Arial" w:eastAsia="Arial" w:hAnsi="Arial"/>
          <w:sz w:val="18"/>
          <w:szCs w:val="18"/>
          <w:color w:val="auto"/>
        </w:rPr>
        <w:t>In the event that instructions given to any Agent are not reasonably clear, then such Agent shall be entitled to seek clarification from the Company or other party entitled to give the Agents instructions under this Indenture. If an Agent has sought clarification in accordance with this Section 7.14(c), then such Agent shall be entitled to take no action until such clarification is provided, and shall not incur any liability for not taking any action pending receipt of such clarification.</w:t>
      </w:r>
    </w:p>
    <w:p>
      <w:pPr>
        <w:spacing w:after="0" w:line="186" w:lineRule="exact"/>
        <w:rPr>
          <w:rFonts w:ascii="Arial" w:cs="Arial" w:eastAsia="Arial" w:hAnsi="Arial"/>
          <w:sz w:val="18"/>
          <w:szCs w:val="18"/>
          <w:color w:val="auto"/>
        </w:rPr>
      </w:pPr>
    </w:p>
    <w:p>
      <w:pPr>
        <w:ind w:left="1380" w:hanging="393"/>
        <w:spacing w:after="0"/>
        <w:tabs>
          <w:tab w:leader="none" w:pos="138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The Agents shall only have such duties as expressly set out in this Indenture.</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The Company shall provide the Agents with a certified list of authorized signatories.</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7.15</w:t>
      </w:r>
      <w:r>
        <w:rPr>
          <w:sz w:val="20"/>
          <w:szCs w:val="20"/>
          <w:color w:val="auto"/>
        </w:rPr>
        <w:tab/>
      </w:r>
      <w:r>
        <w:rPr>
          <w:rFonts w:ascii="Arial" w:cs="Arial" w:eastAsia="Arial" w:hAnsi="Arial"/>
          <w:sz w:val="16"/>
          <w:szCs w:val="16"/>
          <w:i w:val="1"/>
          <w:iCs w:val="1"/>
          <w:color w:val="auto"/>
        </w:rPr>
        <w:t>Rights of Trustee in Other Roles.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All rights, powers and indemnities contained in this Article 7 shall apply to the Trustee in its other roles hereunder and to the Agents.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117"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60"/>
          </w:cols>
          <w:pgMar w:left="440" w:top="273" w:right="499" w:bottom="1440" w:gutter="0" w:footer="0" w:header="0"/>
        </w:sectPr>
      </w:pPr>
    </w:p>
    <w:bookmarkStart w:id="555" w:name="page556"/>
    <w:bookmarkEnd w:id="555"/>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117"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Upon the Company’s exercise under Section 8.01 hereof of the option applicable to this Section 8.02, the Company and each of the Subsidiary Guarantors will, subject to the satisfaction of the conditions set forth in Section 8.04 hereof, be deemed to have been discharged from their Obligations with respect to all outstanding Notes (including the Note Guarantees) on the date the conditions set forth below are satisfied (hereinafter, “</w:t>
      </w:r>
      <w:r>
        <w:rPr>
          <w:rFonts w:ascii="Arial" w:cs="Arial" w:eastAsia="Arial" w:hAnsi="Arial"/>
          <w:sz w:val="17"/>
          <w:szCs w:val="17"/>
          <w:i w:val="1"/>
          <w:iCs w:val="1"/>
          <w:color w:val="auto"/>
        </w:rPr>
        <w:t>Legal Defeasance</w:t>
      </w:r>
      <w:r>
        <w:rPr>
          <w:rFonts w:ascii="Arial" w:cs="Arial" w:eastAsia="Arial" w:hAnsi="Arial"/>
          <w:sz w:val="17"/>
          <w:szCs w:val="17"/>
          <w:color w:val="auto"/>
        </w:rPr>
        <w:t>”). For this purpose, Legal Defeasance means that the Company and the Subsidiary Guarantors will be deemed to have paid and discharged the entire Indebtedness represented by the outstanding Notes (including the Note Guarantees), which will thereafter be deemed to be “outstanding” only for the purposes of Section 8.05 hereof and the other Sections of this Indenture referred to in clauses (1) and (2) below, and to have satisfied all their other obligations under such Notes, the Note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73" w:lineRule="exact"/>
        <w:rPr>
          <w:sz w:val="20"/>
          <w:szCs w:val="20"/>
          <w:color w:val="auto"/>
        </w:rPr>
      </w:pPr>
    </w:p>
    <w:p>
      <w:pPr>
        <w:ind w:left="980" w:right="580" w:firstLine="408"/>
        <w:spacing w:after="0" w:line="342" w:lineRule="auto"/>
        <w:tabs>
          <w:tab w:leader="none" w:pos="1771" w:val="left"/>
        </w:tabs>
        <w:numPr>
          <w:ilvl w:val="0"/>
          <w:numId w:val="730"/>
        </w:numPr>
        <w:rPr>
          <w:rFonts w:ascii="Arial" w:cs="Arial" w:eastAsia="Arial" w:hAnsi="Arial"/>
          <w:sz w:val="16"/>
          <w:szCs w:val="16"/>
          <w:color w:val="auto"/>
        </w:rPr>
      </w:pPr>
      <w:r>
        <w:rPr>
          <w:rFonts w:ascii="Arial" w:cs="Arial" w:eastAsia="Arial" w:hAnsi="Arial"/>
          <w:sz w:val="16"/>
          <w:szCs w:val="16"/>
          <w:color w:val="auto"/>
        </w:rPr>
        <w:t>the rights of Holders of outstanding Notes to receive payments in respect of the principal of, or interest or premium and Additional Amounts, if any, on, such Notes when such payments are due from the trust referred to in Section 8.04 hereof;</w:t>
      </w:r>
    </w:p>
    <w:p>
      <w:pPr>
        <w:spacing w:after="0" w:line="15" w:lineRule="exact"/>
        <w:rPr>
          <w:rFonts w:ascii="Arial" w:cs="Arial" w:eastAsia="Arial" w:hAnsi="Arial"/>
          <w:sz w:val="16"/>
          <w:szCs w:val="16"/>
          <w:color w:val="auto"/>
        </w:rPr>
      </w:pPr>
    </w:p>
    <w:p>
      <w:pPr>
        <w:ind w:left="1780" w:hanging="392"/>
        <w:spacing w:after="0"/>
        <w:tabs>
          <w:tab w:leader="none" w:pos="178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the Company’s Obligations with respect to the Notes under Article 2 and Section 4.02 hereof;</w:t>
      </w:r>
    </w:p>
    <w:p>
      <w:pPr>
        <w:spacing w:after="0" w:line="117" w:lineRule="exact"/>
        <w:rPr>
          <w:rFonts w:ascii="Arial" w:cs="Arial" w:eastAsia="Arial" w:hAnsi="Arial"/>
          <w:sz w:val="18"/>
          <w:szCs w:val="18"/>
          <w:color w:val="auto"/>
        </w:rPr>
      </w:pPr>
    </w:p>
    <w:p>
      <w:pPr>
        <w:ind w:left="980" w:right="40" w:firstLine="408"/>
        <w:spacing w:after="0" w:line="277" w:lineRule="auto"/>
        <w:tabs>
          <w:tab w:leader="none" w:pos="1771" w:val="left"/>
        </w:tabs>
        <w:numPr>
          <w:ilvl w:val="0"/>
          <w:numId w:val="73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the Paying Agent and Transfer Agent and the Registrar, and the Company’s and the Subsidiary Guarantors’ Obligations in connection therewith; and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11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Upon the Company’s exercise under Section 8.01 hereof of the option applicable to this Section 8.03, the Company and each of the Subsidiary Guarantors will, subject to the satisfaction of the conditions set forth in Section 8.04 hereof, be released from each of their obligations under the covenants contained in Sections 4.07, 4.08, 4.09, 4.10, 4.11, 4.12, 4.13, 4.15, 4.16, 4.17, 4.18, 4.19 and 4.21 hereof and Section 5.01(a)(3) hereof with respect to the outstanding Notes on and after the date the conditions set forth in Section 8.04 hereof are satisfied (hereinafter, “</w:t>
      </w:r>
      <w:r>
        <w:rPr>
          <w:rFonts w:ascii="Arial" w:cs="Arial" w:eastAsia="Arial" w:hAnsi="Arial"/>
          <w:sz w:val="17"/>
          <w:szCs w:val="17"/>
          <w:i w:val="1"/>
          <w:iCs w:val="1"/>
          <w:color w:val="auto"/>
        </w:rPr>
        <w:t>Covenant</w:t>
      </w:r>
      <w:r>
        <w:rPr>
          <w:rFonts w:ascii="Arial" w:cs="Arial" w:eastAsia="Arial" w:hAnsi="Arial"/>
          <w:sz w:val="17"/>
          <w:szCs w:val="17"/>
          <w:color w:val="auto"/>
        </w:rPr>
        <w:t xml:space="preserve"> </w:t>
      </w:r>
      <w:r>
        <w:rPr>
          <w:rFonts w:ascii="Arial" w:cs="Arial" w:eastAsia="Arial" w:hAnsi="Arial"/>
          <w:sz w:val="17"/>
          <w:szCs w:val="17"/>
          <w:i w:val="1"/>
          <w:iCs w:val="1"/>
          <w:color w:val="auto"/>
        </w:rPr>
        <w:t>Defeasance</w:t>
      </w:r>
      <w:r>
        <w:rPr>
          <w:rFonts w:ascii="Arial" w:cs="Arial" w:eastAsia="Arial" w:hAnsi="Arial"/>
          <w:sz w:val="17"/>
          <w:szCs w:val="17"/>
          <w:color w:val="auto"/>
        </w:rPr>
        <w:t>”), and the Notes will thereafter be deemed not “outstanding” for the purposes of any direction, waiver, consent or declaration or act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Subsidiary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Company’s exercise under Section 8.01 hereof of the option applicable to this Section 8.03, subject to the satisfaction of the conditions set forth in Section 8.04 hereof and Section 6.01(a)(3) through 6.01(a)(5) hereof will not constitute Events of Default.</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117" w:lineRule="exact"/>
        <w:rPr>
          <w:sz w:val="20"/>
          <w:szCs w:val="20"/>
          <w:color w:val="auto"/>
        </w:rPr>
      </w:pPr>
    </w:p>
    <w:p>
      <w:pPr>
        <w:ind w:left="1780" w:hanging="392"/>
        <w:spacing w:after="0"/>
        <w:tabs>
          <w:tab w:leader="none" w:pos="178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cash in U.S. dollars,</w:t>
      </w:r>
    </w:p>
    <w:p>
      <w:pPr>
        <w:spacing w:after="0" w:line="23" w:lineRule="exact"/>
        <w:rPr>
          <w:sz w:val="20"/>
          <w:szCs w:val="20"/>
          <w:color w:val="auto"/>
        </w:rPr>
      </w:pPr>
    </w:p>
    <w:p>
      <w:pPr>
        <w:ind w:left="980"/>
        <w:spacing w:after="0" w:line="253" w:lineRule="auto"/>
        <w:rPr>
          <w:sz w:val="20"/>
          <w:szCs w:val="20"/>
          <w:color w:val="auto"/>
        </w:rPr>
      </w:pPr>
      <w:r>
        <w:rPr>
          <w:rFonts w:ascii="Arial" w:cs="Arial" w:eastAsia="Arial" w:hAnsi="Arial"/>
          <w:sz w:val="18"/>
          <w:szCs w:val="18"/>
          <w:color w:val="auto"/>
        </w:rPr>
        <w:t>non-callable U.S. Government Obligations, or a combination of cash in U.S. dollars and non-callable U.S. Government Obligations, in amounts as will be sufficient, in the opinion of an internationally recognized investment bank, appraisal firm or firm of independent public accountants, to pay the principal of, or interest and premium,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40" w:top="273" w:right="499" w:bottom="1440" w:gutter="0" w:footer="0" w:header="0"/>
        </w:sectPr>
      </w:pPr>
    </w:p>
    <w:bookmarkStart w:id="556" w:name="page557"/>
    <w:bookmarkEnd w:id="556"/>
    <w:p>
      <w:pPr>
        <w:ind w:left="-20" w:firstLine="408"/>
        <w:spacing w:after="0" w:line="277" w:lineRule="auto"/>
        <w:tabs>
          <w:tab w:leader="none" w:pos="771" w:val="left"/>
        </w:tabs>
        <w:numPr>
          <w:ilvl w:val="0"/>
          <w:numId w:val="7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 election under Section 8.02 hereof, the Company must deliver to the Trustee an Opinion of Counsel reasonably acceptable to the Trustee confirming that:</w:t>
      </w:r>
    </w:p>
    <w:p>
      <w:pPr>
        <w:spacing w:after="0" w:line="62" w:lineRule="exact"/>
        <w:rPr>
          <w:rFonts w:ascii="Arial" w:cs="Arial" w:eastAsia="Arial" w:hAnsi="Arial"/>
          <w:sz w:val="18"/>
          <w:szCs w:val="18"/>
          <w:color w:val="auto"/>
        </w:rPr>
      </w:pPr>
    </w:p>
    <w:p>
      <w:pPr>
        <w:ind w:left="1240" w:hanging="429"/>
        <w:spacing w:after="0"/>
        <w:tabs>
          <w:tab w:leader="none" w:pos="1240" w:val="left"/>
        </w:tabs>
        <w:numPr>
          <w:ilvl w:val="1"/>
          <w:numId w:val="732"/>
        </w:numPr>
        <w:rPr>
          <w:rFonts w:ascii="Arial" w:cs="Arial" w:eastAsia="Arial" w:hAnsi="Arial"/>
          <w:sz w:val="17"/>
          <w:szCs w:val="17"/>
          <w:color w:val="auto"/>
        </w:rPr>
      </w:pPr>
      <w:r>
        <w:rPr>
          <w:rFonts w:ascii="Arial" w:cs="Arial" w:eastAsia="Arial" w:hAnsi="Arial"/>
          <w:sz w:val="17"/>
          <w:szCs w:val="17"/>
          <w:color w:val="auto"/>
        </w:rPr>
        <w:t>the Company has received from, or there has been published by, the U.S. Internal Revenue Service a ruling; or</w:t>
      </w:r>
    </w:p>
    <w:p>
      <w:pPr>
        <w:spacing w:after="0" w:line="128" w:lineRule="exact"/>
        <w:rPr>
          <w:rFonts w:ascii="Arial" w:cs="Arial" w:eastAsia="Arial" w:hAnsi="Arial"/>
          <w:sz w:val="17"/>
          <w:szCs w:val="17"/>
          <w:color w:val="auto"/>
        </w:rPr>
      </w:pPr>
    </w:p>
    <w:p>
      <w:pPr>
        <w:ind w:left="1240" w:hanging="429"/>
        <w:spacing w:after="0"/>
        <w:tabs>
          <w:tab w:leader="none" w:pos="1240" w:val="left"/>
        </w:tabs>
        <w:numPr>
          <w:ilvl w:val="1"/>
          <w:numId w:val="732"/>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U.S. federal income tax law,</w:t>
      </w:r>
    </w:p>
    <w:p>
      <w:pPr>
        <w:spacing w:after="0" w:line="117" w:lineRule="exact"/>
        <w:rPr>
          <w:sz w:val="20"/>
          <w:szCs w:val="20"/>
          <w:color w:val="auto"/>
        </w:rPr>
      </w:pPr>
    </w:p>
    <w:p>
      <w:pPr>
        <w:jc w:val="both"/>
        <w:ind w:left="420" w:right="16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20" w:firstLine="408"/>
        <w:spacing w:after="0" w:line="301" w:lineRule="auto"/>
        <w:tabs>
          <w:tab w:leader="none" w:pos="771" w:val="left"/>
        </w:tabs>
        <w:numPr>
          <w:ilvl w:val="0"/>
          <w:numId w:val="733"/>
        </w:numPr>
        <w:rPr>
          <w:rFonts w:ascii="Arial" w:cs="Arial" w:eastAsia="Arial" w:hAnsi="Arial"/>
          <w:sz w:val="16"/>
          <w:szCs w:val="16"/>
          <w:color w:val="auto"/>
        </w:rPr>
      </w:pPr>
      <w:r>
        <w:rPr>
          <w:rFonts w:ascii="Arial" w:cs="Arial" w:eastAsia="Arial" w:hAnsi="Arial"/>
          <w:sz w:val="16"/>
          <w:szCs w:val="16"/>
          <w:color w:val="auto"/>
        </w:rPr>
        <w:t>in the case of an election under Section 8.03 hereof, the Company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49" w:lineRule="exact"/>
        <w:rPr>
          <w:rFonts w:ascii="Arial" w:cs="Arial" w:eastAsia="Arial" w:hAnsi="Arial"/>
          <w:sz w:val="16"/>
          <w:szCs w:val="16"/>
          <w:color w:val="auto"/>
        </w:rPr>
      </w:pPr>
    </w:p>
    <w:p>
      <w:pPr>
        <w:ind w:left="-20" w:right="40" w:firstLine="408"/>
        <w:spacing w:after="0" w:line="259" w:lineRule="auto"/>
        <w:tabs>
          <w:tab w:leader="none" w:pos="771" w:val="left"/>
        </w:tabs>
        <w:numPr>
          <w:ilvl w:val="0"/>
          <w:numId w:val="73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Subsidiary Guarantor is a party or by which the Company or any Subsidiary Guarantor is bound;</w:t>
      </w:r>
    </w:p>
    <w:p>
      <w:pPr>
        <w:spacing w:after="0" w:line="78" w:lineRule="exact"/>
        <w:rPr>
          <w:rFonts w:ascii="Arial" w:cs="Arial" w:eastAsia="Arial" w:hAnsi="Arial"/>
          <w:sz w:val="18"/>
          <w:szCs w:val="18"/>
          <w:color w:val="auto"/>
        </w:rPr>
      </w:pPr>
    </w:p>
    <w:p>
      <w:pPr>
        <w:jc w:val="both"/>
        <w:ind w:left="-20" w:right="300" w:firstLine="408"/>
        <w:spacing w:after="0" w:line="263" w:lineRule="auto"/>
        <w:tabs>
          <w:tab w:leader="none" w:pos="771" w:val="left"/>
        </w:tabs>
        <w:numPr>
          <w:ilvl w:val="0"/>
          <w:numId w:val="733"/>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75" w:lineRule="exact"/>
        <w:rPr>
          <w:rFonts w:ascii="Arial" w:cs="Arial" w:eastAsia="Arial" w:hAnsi="Arial"/>
          <w:sz w:val="18"/>
          <w:szCs w:val="18"/>
          <w:color w:val="auto"/>
        </w:rPr>
      </w:pPr>
    </w:p>
    <w:p>
      <w:pPr>
        <w:ind w:left="-20" w:right="180" w:firstLine="408"/>
        <w:spacing w:after="0" w:line="263" w:lineRule="auto"/>
        <w:tabs>
          <w:tab w:leader="none" w:pos="771" w:val="left"/>
        </w:tabs>
        <w:numPr>
          <w:ilvl w:val="0"/>
          <w:numId w:val="733"/>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of the Company stating that the deposit was not made by the Company with the intent of preferring the Holders over the other creditors of the Company with the intent of defeating, hindering, delaying or defrauding any creditors of the Company or others; and</w:t>
      </w:r>
    </w:p>
    <w:p>
      <w:pPr>
        <w:spacing w:after="0" w:line="75" w:lineRule="exact"/>
        <w:rPr>
          <w:rFonts w:ascii="Arial" w:cs="Arial" w:eastAsia="Arial" w:hAnsi="Arial"/>
          <w:sz w:val="18"/>
          <w:szCs w:val="18"/>
          <w:color w:val="auto"/>
        </w:rPr>
      </w:pPr>
    </w:p>
    <w:p>
      <w:pPr>
        <w:ind w:left="-20" w:right="320" w:firstLine="408"/>
        <w:spacing w:after="0" w:line="277" w:lineRule="auto"/>
        <w:tabs>
          <w:tab w:leader="none" w:pos="771" w:val="left"/>
        </w:tabs>
        <w:numPr>
          <w:ilvl w:val="0"/>
          <w:numId w:val="733"/>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62" w:lineRule="exact"/>
        <w:rPr>
          <w:rFonts w:ascii="Arial" w:cs="Arial" w:eastAsia="Arial" w:hAnsi="Arial"/>
          <w:sz w:val="18"/>
          <w:szCs w:val="18"/>
          <w:color w:val="auto"/>
        </w:rPr>
      </w:pPr>
    </w:p>
    <w:p>
      <w:pPr>
        <w:ind w:left="-20" w:right="140" w:firstLine="408"/>
        <w:spacing w:after="0" w:line="308" w:lineRule="auto"/>
        <w:tabs>
          <w:tab w:leader="none" w:pos="767" w:val="left"/>
        </w:tabs>
        <w:numPr>
          <w:ilvl w:val="0"/>
          <w:numId w:val="733"/>
        </w:numPr>
        <w:rPr>
          <w:rFonts w:ascii="Arial" w:cs="Arial" w:eastAsia="Arial" w:hAnsi="Arial"/>
          <w:sz w:val="17"/>
          <w:szCs w:val="17"/>
          <w:color w:val="auto"/>
        </w:rPr>
      </w:pPr>
      <w:r>
        <w:rPr>
          <w:rFonts w:ascii="Arial" w:cs="Arial" w:eastAsia="Arial" w:hAnsi="Arial"/>
          <w:sz w:val="17"/>
          <w:szCs w:val="17"/>
          <w:color w:val="auto"/>
        </w:rPr>
        <w:t>The Trustee shall be entitled to its usual fees and, in addition, any fees and expenses incurred or charged by the Trustee and its counsel in connection with defeasance, satisfaction and discharge, and investment or custody services provided hereunder.</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000"/>
          </w:cols>
          <w:pgMar w:left="1440" w:top="273" w:right="459" w:bottom="1440" w:gutter="0" w:footer="0" w:header="0"/>
        </w:sectPr>
      </w:pPr>
    </w:p>
    <w:bookmarkStart w:id="557" w:name="page558"/>
    <w:bookmarkEnd w:id="557"/>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8.05</w:t>
      </w:r>
      <w:r>
        <w:rPr>
          <w:sz w:val="20"/>
          <w:szCs w:val="20"/>
          <w:color w:val="auto"/>
        </w:rPr>
        <w:tab/>
      </w:r>
      <w:r>
        <w:rPr>
          <w:rFonts w:ascii="Arial" w:cs="Arial" w:eastAsia="Arial" w:hAnsi="Arial"/>
          <w:sz w:val="16"/>
          <w:szCs w:val="16"/>
          <w:i w:val="1"/>
          <w:iCs w:val="1"/>
          <w:color w:val="auto"/>
        </w:rPr>
        <w:t>Deposited Money and U.S. Government Obligations to be Held in Trust; Other Miscellaneous Provisions.</w:t>
      </w:r>
    </w:p>
    <w:p>
      <w:pPr>
        <w:spacing w:after="0" w:line="117"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Subject to Section 8.06 hereof, all money and non-callable U.S. Government Obligations (including the proceeds thereof) deposited with the Trustee (or other qualifying trustee, collectively for purposes of this Section 8.05, the “</w:t>
      </w:r>
      <w:r>
        <w:rPr>
          <w:rFonts w:ascii="Arial" w:cs="Arial" w:eastAsia="Arial" w:hAnsi="Arial"/>
          <w:sz w:val="17"/>
          <w:szCs w:val="17"/>
          <w:i w:val="1"/>
          <w:iCs w:val="1"/>
          <w:color w:val="auto"/>
        </w:rPr>
        <w:t>Trustee</w:t>
      </w:r>
      <w:r>
        <w:rPr>
          <w:rFonts w:ascii="Arial" w:cs="Arial" w:eastAsia="Arial" w:hAnsi="Arial"/>
          <w:sz w:val="17"/>
          <w:szCs w:val="17"/>
          <w:color w:val="auto"/>
        </w:rPr>
        <w:t>”)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and Additional Amounts, if any, and interest, but such money need not be segregated from other funds except to the extent required by law.</w:t>
      </w:r>
    </w:p>
    <w:p>
      <w:pPr>
        <w:spacing w:after="0" w:line="178"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The Company will pay and indemnify the Trustee against any tax, fee or other charge imposed on or assessed against the cash or non-callable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84"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Notwithstanding anything in this Article 8 to the contrary, the Trustee will deliver or pay to the Company from time to time upon the request of the Company any money or non-callable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11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if any, or interest on, any Note and remaining unclaimed for two (2) years after such principal, premium,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(30) days from the date of such notification or publication, any unclaimed balance of such money then remaining will be repaid to the Company.</w:t>
      </w:r>
    </w:p>
    <w:p>
      <w:pPr>
        <w:spacing w:after="0" w:line="27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117"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 xml:space="preserve">If the Trustee or Paying Agent is unable to apply any U.S. dollars or non-callable U.S. Government Obligations in accordance with Section 8.02 or 8.03 hereof, as the case may be, by reason of any order or judgment of any court or governmental authority enjoining, restraining or otherwise prohibiting such application, then the Company’s and the Subsidiary Guarantors’ obligations under this Indenture and the Notes and the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3" w:right="439" w:bottom="1440" w:gutter="0" w:footer="0" w:header="0"/>
        </w:sectPr>
      </w:pPr>
    </w:p>
    <w:bookmarkStart w:id="558" w:name="page559"/>
    <w:bookmarkEnd w:id="5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SUPPLEMENT AND WAIVER</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117" w:lineRule="exact"/>
        <w:rPr>
          <w:sz w:val="20"/>
          <w:szCs w:val="20"/>
          <w:color w:val="auto"/>
        </w:rPr>
      </w:pPr>
    </w:p>
    <w:p>
      <w:pPr>
        <w:jc w:val="both"/>
        <w:ind w:right="80" w:firstLine="991"/>
        <w:spacing w:after="0" w:line="342" w:lineRule="auto"/>
        <w:rPr>
          <w:sz w:val="20"/>
          <w:szCs w:val="20"/>
          <w:color w:val="auto"/>
        </w:rPr>
      </w:pPr>
      <w:r>
        <w:rPr>
          <w:rFonts w:ascii="Arial" w:cs="Arial" w:eastAsia="Arial" w:hAnsi="Arial"/>
          <w:sz w:val="16"/>
          <w:szCs w:val="16"/>
          <w:color w:val="auto"/>
        </w:rPr>
        <w:t>Notwithstanding Section 9.02 of this Indenture, the Company, the Subsidiary Guarantors, the Trustee (as applicable and to the extent each is a party to the relevant document) may amend or supplement this Indenture, the Notes, and/or the Note Guarantees without the consent of any Holder:</w:t>
      </w:r>
    </w:p>
    <w:p>
      <w:pPr>
        <w:spacing w:after="0" w:line="16" w:lineRule="exact"/>
        <w:rPr>
          <w:sz w:val="20"/>
          <w:szCs w:val="20"/>
          <w:color w:val="auto"/>
        </w:rPr>
      </w:pPr>
    </w:p>
    <w:p>
      <w:pPr>
        <w:ind w:left="1780" w:hanging="392"/>
        <w:spacing w:after="0"/>
        <w:tabs>
          <w:tab w:leader="none" w:pos="178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980" w:right="400" w:firstLine="408"/>
        <w:spacing w:after="0" w:line="263" w:lineRule="auto"/>
        <w:tabs>
          <w:tab w:leader="none" w:pos="1771"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to provide for the assumption of the Company’s or a Subsidiary Guarantor’s Obligations under the Notes or the Note Guarantees in the case of a merger or consolidation or sale of all or substantially all of the Company’s or such Subsidiary Guarantor’s assets, as applicable;</w:t>
      </w:r>
    </w:p>
    <w:p>
      <w:pPr>
        <w:spacing w:after="0" w:line="75" w:lineRule="exact"/>
        <w:rPr>
          <w:rFonts w:ascii="Arial" w:cs="Arial" w:eastAsia="Arial" w:hAnsi="Arial"/>
          <w:sz w:val="18"/>
          <w:szCs w:val="18"/>
          <w:color w:val="auto"/>
        </w:rPr>
      </w:pPr>
    </w:p>
    <w:p>
      <w:pPr>
        <w:ind w:left="980" w:right="380" w:firstLine="408"/>
        <w:spacing w:after="0" w:line="277" w:lineRule="auto"/>
        <w:tabs>
          <w:tab w:leader="none" w:pos="1771"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adversely affect the legal rights under this Indenture of any such Holder;</w:t>
      </w:r>
    </w:p>
    <w:p>
      <w:pPr>
        <w:spacing w:after="0" w:line="62" w:lineRule="exact"/>
        <w:rPr>
          <w:rFonts w:ascii="Arial" w:cs="Arial" w:eastAsia="Arial" w:hAnsi="Arial"/>
          <w:sz w:val="18"/>
          <w:szCs w:val="18"/>
          <w:color w:val="auto"/>
        </w:rPr>
      </w:pPr>
    </w:p>
    <w:p>
      <w:pPr>
        <w:ind w:left="980" w:firstLine="408"/>
        <w:spacing w:after="0" w:line="259" w:lineRule="auto"/>
        <w:tabs>
          <w:tab w:leader="none" w:pos="1771"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to conform the text of the Notes, this Indenture or the Note Guarantees to any provision of the “Description of Notes” section of the Offering Memorandum, to the extent that such provision in that “Description of Notes” section of the Offering Memorandum was intended to be a verbatim recitation of a provision of the Notes, this Indenture or the Note Guarantees, which intent shall be evidenced by an Officer’s Certificate of the Company to that effect;</w:t>
      </w:r>
    </w:p>
    <w:p>
      <w:pPr>
        <w:spacing w:after="0" w:line="78" w:lineRule="exact"/>
        <w:rPr>
          <w:rFonts w:ascii="Arial" w:cs="Arial" w:eastAsia="Arial" w:hAnsi="Arial"/>
          <w:sz w:val="18"/>
          <w:szCs w:val="18"/>
          <w:color w:val="auto"/>
        </w:rPr>
      </w:pPr>
    </w:p>
    <w:p>
      <w:pPr>
        <w:ind w:left="980" w:firstLine="408"/>
        <w:spacing w:after="0" w:line="277" w:lineRule="auto"/>
        <w:tabs>
          <w:tab w:leader="none" w:pos="1771"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this Indenture as of the date of this Indenture; or</w:t>
      </w:r>
    </w:p>
    <w:p>
      <w:pPr>
        <w:spacing w:after="0" w:line="62" w:lineRule="exact"/>
        <w:rPr>
          <w:rFonts w:ascii="Arial" w:cs="Arial" w:eastAsia="Arial" w:hAnsi="Arial"/>
          <w:sz w:val="18"/>
          <w:szCs w:val="18"/>
          <w:color w:val="auto"/>
        </w:rPr>
      </w:pPr>
    </w:p>
    <w:p>
      <w:pPr>
        <w:ind w:left="980" w:right="80" w:firstLine="408"/>
        <w:spacing w:after="0" w:line="277" w:lineRule="auto"/>
        <w:tabs>
          <w:tab w:leader="none" w:pos="1771"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to allow any Subsidiary Guarantor to execute a supplemental indenture and/or a Note Guarantee with respect to the Notes or to release any Subsidiary Guarantor from its Note Guarantee in accordance with the terms of this Indenture.</w:t>
      </w:r>
    </w:p>
    <w:p>
      <w:pPr>
        <w:spacing w:after="0" w:line="170"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and upon receipt by the Trustee of the documents described in Section 7.02 hereof, the Trustee, will join with the Company and the Subsidiary Guarantors in the execution of any amended or supplemental indenture authorized or permitted by the terms of this Indenture and to make any further appropriate agreements and stipulations that may be therein contained, but neither the Trustee nor any Agent will be obligated to (although they may at their discretion) enter into such amended or supplemental indenture that affects their own rights, duties or immunities under this Indenture or otherwise.</w:t>
      </w:r>
    </w:p>
    <w:p>
      <w:pPr>
        <w:spacing w:after="0" w:line="30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117" w:lineRule="exact"/>
        <w:rPr>
          <w:sz w:val="20"/>
          <w:szCs w:val="20"/>
          <w:color w:val="auto"/>
        </w:rPr>
      </w:pPr>
    </w:p>
    <w:p>
      <w:pPr>
        <w:ind w:right="80" w:firstLine="991"/>
        <w:spacing w:after="0" w:line="289" w:lineRule="auto"/>
        <w:rPr>
          <w:sz w:val="20"/>
          <w:szCs w:val="20"/>
          <w:color w:val="auto"/>
        </w:rPr>
      </w:pPr>
      <w:r>
        <w:rPr>
          <w:rFonts w:ascii="Arial" w:cs="Arial" w:eastAsia="Arial" w:hAnsi="Arial"/>
          <w:sz w:val="16"/>
          <w:szCs w:val="16"/>
          <w:color w:val="auto"/>
        </w:rPr>
        <w:t>Except as provided below in this Section 9.02, the Company and the Trustee may amend or supplement this Indenture (including, without limitation, Section 3.09, 4.10 and 4.15 hereof) and the Notes, and the Company, the Trustee and the Subsidiary Guarantors, may amend or supplement the Note Guarantees with the consent of the Holders of at least a majority in aggregate principal amount of the then outstanding Notes (including Additional Notes, if any) voting as a single class (including, without limitation, consents obtained in connection with a purchase of, or tender offer or exchange offer for, the Notes), and, subject to Sections 6.04 and 6.07 hereof, any existing Default or Event of Default (other than a Default or Event of Default in the payment of the principal of, premium or Additional Amounts, if any, or interest on, the Notes, except a payment default resulting from an acceleration that has been rescinded) or compliance with any provision of this Indenture, the Notes or the Note Guarantees may be waived with the consent of the Holders of a majority in aggregate principal amount of the then outstanding Notes (including Additional Notes, if any) voting as a single class (including, without limitation, consents obtained in connection with a purchase of, or tender offer or exchange offer for, the Notes).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69" w:right="459" w:bottom="1440" w:gutter="0" w:footer="0" w:header="0"/>
        </w:sectPr>
      </w:pPr>
    </w:p>
    <w:bookmarkStart w:id="559" w:name="page560"/>
    <w:bookmarkEnd w:id="559"/>
    <w:p>
      <w:pPr>
        <w:ind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request of the Company accompanied by a resolution of its Board of Directors authorizing the execution of any such amended or supplemental indenture, and upon the filing with the Trustee of evidence satisfactory to the Trustee of the consent of the Holders as aforesaid, and upon receipt by the Trustee of the documents described in Section 7.02, 9.06, 13.04 and 13.05 hereof, the Trustee, will join with the Company and the Subsidiary Guarantors in the execution of such amended or supplemental indenture authorized or permitted by the terms of this Indenture unless such amended or supplemental indenture directly affects the Trustee’s or any Agent’s own rights, duties or immunities under this Indenture or otherwise, in which case the Trustee and/or each Agent may in their discretion, but will not be obligated to, enter into such amended or supplemental indenture.</w:t>
      </w:r>
    </w:p>
    <w:p>
      <w:pPr>
        <w:spacing w:after="0" w:line="16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It is not be necessary for the consent of the Holders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After an amendment, supplement or waiver under this Section 9.02 becomes effective, the Company will mail to the Holders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However, without the consent of each Holder (including the Additional Notes) affected, an amendment, supplement or waiver under this Section 9.02 may not (with respect to any Notes (including the Additional Notes) held by a non-consenting Holder):</w:t>
      </w:r>
    </w:p>
    <w:p>
      <w:pPr>
        <w:spacing w:after="0" w:line="87" w:lineRule="exact"/>
        <w:rPr>
          <w:sz w:val="20"/>
          <w:szCs w:val="20"/>
          <w:color w:val="auto"/>
        </w:rPr>
      </w:pPr>
    </w:p>
    <w:p>
      <w:pPr>
        <w:ind w:left="1780" w:hanging="392"/>
        <w:spacing w:after="0"/>
        <w:tabs>
          <w:tab w:leader="none" w:pos="178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980" w:right="340" w:firstLine="408"/>
        <w:spacing w:after="0" w:line="308" w:lineRule="auto"/>
        <w:tabs>
          <w:tab w:leader="none" w:pos="1771" w:val="left"/>
        </w:tabs>
        <w:numPr>
          <w:ilvl w:val="0"/>
          <w:numId w:val="735"/>
        </w:numPr>
        <w:rPr>
          <w:rFonts w:ascii="Arial" w:cs="Arial" w:eastAsia="Arial" w:hAnsi="Arial"/>
          <w:sz w:val="17"/>
          <w:szCs w:val="17"/>
          <w:color w:val="auto"/>
        </w:rPr>
      </w:pPr>
      <w:r>
        <w:rPr>
          <w:rFonts w:ascii="Arial" w:cs="Arial" w:eastAsia="Arial" w:hAnsi="Arial"/>
          <w:sz w:val="17"/>
          <w:szCs w:val="17"/>
          <w:color w:val="auto"/>
        </w:rPr>
        <w:t>reduce the principal of, premium, if any, or change the fixed maturity of any Note or alter the provisions with respect to the redemption of the Notes (except as provided above with respect to Sections 3.09, 4.10, 4.21 and 4.15 hereof);</w:t>
      </w:r>
    </w:p>
    <w:p>
      <w:pPr>
        <w:spacing w:after="0" w:line="38" w:lineRule="exact"/>
        <w:rPr>
          <w:rFonts w:ascii="Arial" w:cs="Arial" w:eastAsia="Arial" w:hAnsi="Arial"/>
          <w:sz w:val="17"/>
          <w:szCs w:val="17"/>
          <w:color w:val="auto"/>
        </w:rPr>
      </w:pPr>
    </w:p>
    <w:p>
      <w:pPr>
        <w:ind w:left="1780" w:hanging="392"/>
        <w:spacing w:after="0"/>
        <w:tabs>
          <w:tab w:leader="none" w:pos="178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117" w:lineRule="exact"/>
        <w:rPr>
          <w:rFonts w:ascii="Arial" w:cs="Arial" w:eastAsia="Arial" w:hAnsi="Arial"/>
          <w:sz w:val="18"/>
          <w:szCs w:val="18"/>
          <w:color w:val="auto"/>
        </w:rPr>
      </w:pPr>
    </w:p>
    <w:p>
      <w:pPr>
        <w:ind w:left="980" w:firstLine="408"/>
        <w:spacing w:after="0" w:line="263" w:lineRule="auto"/>
        <w:tabs>
          <w:tab w:leader="none" w:pos="1771" w:val="left"/>
        </w:tabs>
        <w:numPr>
          <w:ilvl w:val="0"/>
          <w:numId w:val="735"/>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17" w:lineRule="exact"/>
        <w:rPr>
          <w:rFonts w:ascii="Arial" w:cs="Arial" w:eastAsia="Arial" w:hAnsi="Arial"/>
          <w:sz w:val="18"/>
          <w:szCs w:val="18"/>
          <w:color w:val="auto"/>
        </w:rPr>
      </w:pPr>
    </w:p>
    <w:p>
      <w:pPr>
        <w:ind w:left="980" w:right="440" w:firstLine="408"/>
        <w:spacing w:after="0" w:line="277" w:lineRule="auto"/>
        <w:tabs>
          <w:tab w:leader="none" w:pos="1771" w:val="left"/>
        </w:tabs>
        <w:numPr>
          <w:ilvl w:val="0"/>
          <w:numId w:val="735"/>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to receive payments of principal of, or interest or premium, if any, on, the Notes;</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735"/>
        </w:numPr>
        <w:rPr>
          <w:rFonts w:ascii="Arial" w:cs="Arial" w:eastAsia="Arial" w:hAnsi="Arial"/>
          <w:sz w:val="17"/>
          <w:szCs w:val="17"/>
          <w:color w:val="auto"/>
        </w:rPr>
      </w:pPr>
      <w:r>
        <w:rPr>
          <w:rFonts w:ascii="Arial" w:cs="Arial" w:eastAsia="Arial" w:hAnsi="Arial"/>
          <w:sz w:val="17"/>
          <w:szCs w:val="17"/>
          <w:color w:val="auto"/>
        </w:rPr>
        <w:t>waive a redemption payment with respect to any Note (other than a payment required by Section 3.09, 4.10, 4.21 or 4.15</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102" w:lineRule="exact"/>
        <w:rPr>
          <w:rFonts w:ascii="Arial" w:cs="Arial" w:eastAsia="Arial" w:hAnsi="Arial"/>
          <w:sz w:val="17"/>
          <w:szCs w:val="17"/>
          <w:color w:val="auto"/>
        </w:rPr>
      </w:pPr>
    </w:p>
    <w:p>
      <w:pPr>
        <w:ind w:left="980" w:right="140" w:firstLine="408"/>
        <w:spacing w:after="0" w:line="277" w:lineRule="auto"/>
        <w:tabs>
          <w:tab w:leader="none" w:pos="1771" w:val="left"/>
        </w:tabs>
        <w:numPr>
          <w:ilvl w:val="0"/>
          <w:numId w:val="735"/>
        </w:numPr>
        <w:rPr>
          <w:rFonts w:ascii="Arial" w:cs="Arial" w:eastAsia="Arial" w:hAnsi="Arial"/>
          <w:sz w:val="18"/>
          <w:szCs w:val="18"/>
          <w:color w:val="auto"/>
        </w:rPr>
      </w:pPr>
      <w:r>
        <w:rPr>
          <w:rFonts w:ascii="Arial" w:cs="Arial" w:eastAsia="Arial" w:hAnsi="Arial"/>
          <w:sz w:val="18"/>
          <w:szCs w:val="18"/>
          <w:color w:val="auto"/>
        </w:rPr>
        <w:t>release any Subsidiary Guarantor from any of its Obligations under its Note Guarantee or this Indenture, except in accordance with the terms of this Indenture; or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3" w:right="479" w:bottom="1440" w:gutter="0" w:footer="0" w:header="0"/>
        </w:sectPr>
      </w:pPr>
    </w:p>
    <w:bookmarkStart w:id="560" w:name="page561"/>
    <w:bookmarkEnd w:id="560"/>
    <w:p>
      <w:pPr>
        <w:ind w:right="6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no amendment to or deletion of, or actions taken in compliance with, the covenants described under Article 4 shall be deemed to impair or affect any rights of Holders to receive payment of principal of, or premium, if any, or interest on, the Notes.</w:t>
      </w:r>
    </w:p>
    <w:p>
      <w:pPr>
        <w:spacing w:after="0" w:line="25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Supplemental Indenture.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Every amendment or supplement to this Indenture or the Notes will be set forth in an amended or supplemental indenture.</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Until an amendment, supplement or waiver becomes effective, a consent to it by a Holder is a continuing consent by such Holder and every subsequent holder of a Note or portion of a Note that evidences the same debt as the consenting Holder’s Note, even if notation of the consent is not made on any Note. However, any such Holder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Notes.</w:t>
      </w:r>
    </w:p>
    <w:p>
      <w:pPr>
        <w:spacing w:after="0" w:line="117"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Failure to make the appropriate notation or issue a new Note will not affect the validity and effect of such amendment, supplement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waiver.</w:t>
      </w:r>
    </w:p>
    <w:p>
      <w:pPr>
        <w:spacing w:after="0" w:line="31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11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Trustee will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security and/or indemnity to its reasonable satisfaction. The Trustee (subject to Section 7.01 hereof) will be fully protected in relying upon, in addition to the documents required by Section 13.04 hereof, an Officer’s Certificate and an Opinion of Counsel stating that the execution of such amended or supplemental indenture is authorized or permitted by this Indenture, that the supplemental indenture is legal, valid, binding and enforceable against the Company in accordance with its terms and such other matters as the Trustee may request. The Trustee may, but shall not be obligated to, enter into any such supplemental indenture which affects the Trustee’s own rights, duties or immunities under this Indenture or otherwise.</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[INTENTIONALLY OMITTED]</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 GUARANTEES</w:t>
      </w:r>
    </w:p>
    <w:p>
      <w:pPr>
        <w:spacing w:after="0" w:line="211"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Guarantee.</w:t>
      </w:r>
    </w:p>
    <w:p>
      <w:pPr>
        <w:spacing w:after="0" w:line="117" w:lineRule="exact"/>
        <w:rPr>
          <w:sz w:val="20"/>
          <w:szCs w:val="20"/>
          <w:color w:val="auto"/>
        </w:rPr>
      </w:pPr>
    </w:p>
    <w:p>
      <w:pPr>
        <w:ind w:right="20" w:firstLine="987"/>
        <w:spacing w:after="0" w:line="270" w:lineRule="auto"/>
        <w:tabs>
          <w:tab w:leader="none" w:pos="1236" w:val="left"/>
        </w:tabs>
        <w:numPr>
          <w:ilvl w:val="0"/>
          <w:numId w:val="736"/>
        </w:numPr>
        <w:rPr>
          <w:rFonts w:ascii="Arial" w:cs="Arial" w:eastAsia="Arial" w:hAnsi="Arial"/>
          <w:sz w:val="17"/>
          <w:szCs w:val="17"/>
          <w:color w:val="auto"/>
        </w:rPr>
      </w:pPr>
      <w:r>
        <w:rPr>
          <w:rFonts w:ascii="Arial" w:cs="Arial" w:eastAsia="Arial" w:hAnsi="Arial"/>
          <w:sz w:val="17"/>
          <w:szCs w:val="17"/>
          <w:color w:val="auto"/>
        </w:rPr>
        <w:t>Each Subsidiary Guarantor hereby jointly and severally, irrevocably and unconditionally guarantees to each Holder and to the Trustee, successors and assigns (1) the full and punctual payment when due, whether at Stated Maturity, by acceleration, by redemption or otherwise, of all obligations of the Company under this Indenture (including obligations to the Trustee) and the Notes, whether for payment of principal of, interest, premium or Additional Amounts, if any, on the Notes and all other monetary obligations of the Company under this Indenture and the Notes and (2) the full and punctual performance within applicable grace periods of all other obligations of the Company whether for fees, expenses, indemnification or otherwise under this Indenture and the Notes (all the foregoing being hereinafter collectively called the “</w:t>
      </w:r>
      <w:r>
        <w:rPr>
          <w:rFonts w:ascii="Arial" w:cs="Arial" w:eastAsia="Arial" w:hAnsi="Arial"/>
          <w:sz w:val="17"/>
          <w:szCs w:val="17"/>
          <w:i w:val="1"/>
          <w:iCs w:val="1"/>
          <w:color w:val="auto"/>
        </w:rPr>
        <w:t>Guaranteed Obligations</w:t>
      </w:r>
      <w:r>
        <w:rPr>
          <w:rFonts w:ascii="Arial" w:cs="Arial" w:eastAsia="Arial" w:hAnsi="Arial"/>
          <w:sz w:val="17"/>
          <w:szCs w:val="17"/>
          <w:color w:val="auto"/>
        </w:rPr>
        <w:t>”). Each Subsidiary Guarantor further agrees that the Guaranteed Obligations may be extended or renewed, in whole or in part, without notice or further assent from each such Subsidiary Guarantor, and that each such Subsidiary Guarantor shall remain bound under this Article 11 notwithstanding any extension or renewal of any Guaranteed Obligation.</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40"/>
          </w:cols>
          <w:pgMar w:left="440" w:top="273" w:right="519" w:bottom="1440" w:gutter="0" w:footer="0" w:header="0"/>
        </w:sectPr>
      </w:pPr>
    </w:p>
    <w:bookmarkStart w:id="561" w:name="page562"/>
    <w:bookmarkEnd w:id="561"/>
    <w:p>
      <w:pPr>
        <w:ind w:left="-20" w:right="140" w:firstLine="987"/>
        <w:spacing w:after="0" w:line="271" w:lineRule="auto"/>
        <w:tabs>
          <w:tab w:leader="none" w:pos="1361" w:val="left"/>
        </w:tabs>
        <w:numPr>
          <w:ilvl w:val="0"/>
          <w:numId w:val="7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Subsidiary Guarantor waives presentation to, demand of payment from and protest to the Company of any of the Guaranteed Obligations and also waives notice of protest for non-payment. Each Subsidiary Guarantor waives notice of any default under the Notes or the Guaranteed Obligations. The obligations of each Subsidiary Guarantor hereunder shall not be affected by (1) the failure of any Holder or the Trustee to assert any claim or demand or to enforce any right or remedy against the Company or any other Person under this Indenture, the Notes or any other agreement or otherwise; (2) any extension or renewal of any thereof; (3) any rescission, waiver, amendment or modification of any of the terms or provisions of this Indenture, the Notes or any other agreement; (4) the release of any security held by any Holder or the Trustee for the Guaranteed Obligations or any of them; (5) the failure of any Holder or the Trustee to exercise any right or remedy against any other guarantor of the Guaranteed Obligations; or (6) any change in the ownership of such Subsidiary.</w:t>
      </w:r>
    </w:p>
    <w:p>
      <w:pPr>
        <w:spacing w:after="0" w:line="178" w:lineRule="exact"/>
        <w:rPr>
          <w:rFonts w:ascii="Arial" w:cs="Arial" w:eastAsia="Arial" w:hAnsi="Arial"/>
          <w:sz w:val="17"/>
          <w:szCs w:val="17"/>
          <w:color w:val="auto"/>
        </w:rPr>
      </w:pPr>
    </w:p>
    <w:p>
      <w:pPr>
        <w:ind w:left="-20" w:firstLine="987"/>
        <w:spacing w:after="0" w:line="255" w:lineRule="auto"/>
        <w:tabs>
          <w:tab w:leader="none" w:pos="1351" w:val="left"/>
        </w:tabs>
        <w:numPr>
          <w:ilvl w:val="0"/>
          <w:numId w:val="737"/>
        </w:numPr>
        <w:rPr>
          <w:rFonts w:ascii="Arial" w:cs="Arial" w:eastAsia="Arial" w:hAnsi="Arial"/>
          <w:sz w:val="18"/>
          <w:szCs w:val="18"/>
          <w:color w:val="auto"/>
        </w:rPr>
      </w:pPr>
      <w:r>
        <w:rPr>
          <w:rFonts w:ascii="Arial" w:cs="Arial" w:eastAsia="Arial" w:hAnsi="Arial"/>
          <w:sz w:val="18"/>
          <w:szCs w:val="18"/>
          <w:color w:val="auto"/>
        </w:rPr>
        <w:t>Each Subsidiary Guarantor hereby waives any right to which it may be entitled to have its obligations hereunder divided among the Subsidiary Guarantors, such that such Subsidiary Guarantor’s obligations would be less than the full amount claimed. Each Subsidiary Guarantor hereby waives any right to which it may be entitled to have the assets of the Company first be used and depleted as payment of the Company’s or such Subsidiary Guarantor’s obligations hereunder prior to any amounts being claimed from or paid by such Subsidiary Guarantor hereunder. Each Subsidiary Guarantor hereby waives any right to which it may be entitled to require that the Company be sued prior to an action being initiated against such Subsidiary Guarantor.</w:t>
      </w:r>
    </w:p>
    <w:p>
      <w:pPr>
        <w:spacing w:after="0" w:line="192" w:lineRule="exact"/>
        <w:rPr>
          <w:rFonts w:ascii="Arial" w:cs="Arial" w:eastAsia="Arial" w:hAnsi="Arial"/>
          <w:sz w:val="18"/>
          <w:szCs w:val="18"/>
          <w:color w:val="auto"/>
        </w:rPr>
      </w:pPr>
    </w:p>
    <w:p>
      <w:pPr>
        <w:ind w:left="-20" w:right="440" w:firstLine="987"/>
        <w:spacing w:after="0" w:line="263" w:lineRule="auto"/>
        <w:tabs>
          <w:tab w:leader="none" w:pos="1361" w:val="left"/>
        </w:tabs>
        <w:numPr>
          <w:ilvl w:val="0"/>
          <w:numId w:val="737"/>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Note Guarantee herein constitutes a guarantee of payment, performance and compliance when due (and not a guarantee of collection) and waives any right to require that any resort be had by any Holder or the Trustee to any security held for payment of the Guaranteed Obligations.</w:t>
      </w:r>
    </w:p>
    <w:p>
      <w:pPr>
        <w:spacing w:after="0" w:line="183" w:lineRule="exact"/>
        <w:rPr>
          <w:rFonts w:ascii="Arial" w:cs="Arial" w:eastAsia="Arial" w:hAnsi="Arial"/>
          <w:sz w:val="18"/>
          <w:szCs w:val="18"/>
          <w:color w:val="auto"/>
        </w:rPr>
      </w:pPr>
    </w:p>
    <w:p>
      <w:pPr>
        <w:ind w:left="-20" w:right="100" w:firstLine="987"/>
        <w:spacing w:after="0" w:line="270" w:lineRule="auto"/>
        <w:tabs>
          <w:tab w:leader="none" w:pos="1351" w:val="left"/>
        </w:tabs>
        <w:numPr>
          <w:ilvl w:val="0"/>
          <w:numId w:val="737"/>
        </w:numPr>
        <w:rPr>
          <w:rFonts w:ascii="Arial" w:cs="Arial" w:eastAsia="Arial" w:hAnsi="Arial"/>
          <w:sz w:val="17"/>
          <w:szCs w:val="17"/>
          <w:color w:val="auto"/>
        </w:rPr>
      </w:pPr>
      <w:r>
        <w:rPr>
          <w:rFonts w:ascii="Arial" w:cs="Arial" w:eastAsia="Arial" w:hAnsi="Arial"/>
          <w:sz w:val="17"/>
          <w:szCs w:val="17"/>
          <w:color w:val="auto"/>
        </w:rPr>
        <w:t>Except as expressly set forth in Sections 8.02, 11.02 and 11.08, the obligations of each Subsidiary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80" w:lineRule="exact"/>
        <w:rPr>
          <w:rFonts w:ascii="Arial" w:cs="Arial" w:eastAsia="Arial" w:hAnsi="Arial"/>
          <w:sz w:val="17"/>
          <w:szCs w:val="17"/>
          <w:color w:val="auto"/>
        </w:rPr>
      </w:pPr>
    </w:p>
    <w:p>
      <w:pPr>
        <w:ind w:left="-20" w:firstLine="987"/>
        <w:spacing w:after="0" w:line="257" w:lineRule="auto"/>
        <w:tabs>
          <w:tab w:leader="none" w:pos="1331" w:val="left"/>
        </w:tabs>
        <w:numPr>
          <w:ilvl w:val="0"/>
          <w:numId w:val="737"/>
        </w:numPr>
        <w:rPr>
          <w:rFonts w:ascii="Arial" w:cs="Arial" w:eastAsia="Arial" w:hAnsi="Arial"/>
          <w:sz w:val="18"/>
          <w:szCs w:val="18"/>
          <w:color w:val="auto"/>
        </w:rPr>
      </w:pPr>
      <w:r>
        <w:rPr>
          <w:rFonts w:ascii="Arial" w:cs="Arial" w:eastAsia="Arial" w:hAnsi="Arial"/>
          <w:sz w:val="18"/>
          <w:szCs w:val="18"/>
          <w:color w:val="auto"/>
        </w:rPr>
        <w:t>Except as expressly set forth in Sections 8.02, 11.02 and 11.08, each Subsidiary Guarantor agrees that its Note Guarantee shall remain in full force and effect until payment in full of all the Guaranteed Obligations. Each Subsidiary Guarantor further agrees that its Note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Company or otherwise.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60" w:top="273" w:right="459" w:bottom="1440" w:gutter="0" w:footer="0" w:header="0"/>
        </w:sectPr>
      </w:pPr>
    </w:p>
    <w:bookmarkStart w:id="562" w:name="page563"/>
    <w:bookmarkEnd w:id="562"/>
    <w:p>
      <w:pPr>
        <w:ind w:left="4" w:right="40" w:firstLine="987"/>
        <w:spacing w:after="0" w:line="254" w:lineRule="auto"/>
        <w:tabs>
          <w:tab w:leader="none" w:pos="1385" w:val="left"/>
        </w:tabs>
        <w:numPr>
          <w:ilvl w:val="1"/>
          <w:numId w:val="7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furtherance of the foregoing and not in limitation of any other right which any Holder or the Trustee has at law or in equity against any Subsidiary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each Subsidiary Guarantor hereby promises to and shall, upon receipt of written demand by the Trustee, forthwith pay, or cause to be paid, in cash, to the Holders or the Trustee an amount equal to the sum of (1) the unpaid principal amount of such Guaranteed Obligations, (2) accrued and unpaid interest on such Guaranteed Obligations (but only to the extent not prohibited by law) and (3) all other monetary obligations of the Company to the Holders and the Trustee.</w:t>
      </w:r>
    </w:p>
    <w:p>
      <w:pPr>
        <w:spacing w:after="0" w:line="194" w:lineRule="exact"/>
        <w:rPr>
          <w:rFonts w:ascii="Arial" w:cs="Arial" w:eastAsia="Arial" w:hAnsi="Arial"/>
          <w:sz w:val="18"/>
          <w:szCs w:val="18"/>
          <w:color w:val="auto"/>
        </w:rPr>
      </w:pPr>
    </w:p>
    <w:p>
      <w:pPr>
        <w:ind w:left="1384" w:hanging="393"/>
        <w:spacing w:after="0"/>
        <w:tabs>
          <w:tab w:leader="none" w:pos="1384" w:val="left"/>
        </w:tabs>
        <w:numPr>
          <w:ilvl w:val="1"/>
          <w:numId w:val="738"/>
        </w:numPr>
        <w:rPr>
          <w:rFonts w:ascii="Arial" w:cs="Arial" w:eastAsia="Arial" w:hAnsi="Arial"/>
          <w:sz w:val="16"/>
          <w:szCs w:val="16"/>
          <w:color w:val="auto"/>
        </w:rPr>
      </w:pPr>
      <w:r>
        <w:rPr>
          <w:rFonts w:ascii="Arial" w:cs="Arial" w:eastAsia="Arial" w:hAnsi="Arial"/>
          <w:sz w:val="16"/>
          <w:szCs w:val="16"/>
          <w:color w:val="auto"/>
        </w:rPr>
        <w:t>Each Subsidiary Guarantor further agrees that, as between it, on the one hand, and the Holders and the Trustee, on the other hand,</w:t>
      </w:r>
    </w:p>
    <w:p>
      <w:pPr>
        <w:spacing w:after="0" w:line="46" w:lineRule="exact"/>
        <w:rPr>
          <w:rFonts w:ascii="Arial" w:cs="Arial" w:eastAsia="Arial" w:hAnsi="Arial"/>
          <w:sz w:val="16"/>
          <w:szCs w:val="16"/>
          <w:color w:val="auto"/>
        </w:rPr>
      </w:pPr>
    </w:p>
    <w:p>
      <w:pPr>
        <w:ind w:left="4" w:right="240" w:hanging="4"/>
        <w:spacing w:after="0" w:line="295" w:lineRule="auto"/>
        <w:tabs>
          <w:tab w:leader="none" w:pos="259" w:val="left"/>
        </w:tabs>
        <w:numPr>
          <w:ilvl w:val="0"/>
          <w:numId w:val="739"/>
        </w:numPr>
        <w:rPr>
          <w:rFonts w:ascii="Arial" w:cs="Arial" w:eastAsia="Arial" w:hAnsi="Arial"/>
          <w:sz w:val="16"/>
          <w:szCs w:val="16"/>
          <w:color w:val="auto"/>
        </w:rPr>
      </w:pPr>
      <w:r>
        <w:rPr>
          <w:rFonts w:ascii="Arial" w:cs="Arial" w:eastAsia="Arial" w:hAnsi="Arial"/>
          <w:sz w:val="16"/>
          <w:szCs w:val="16"/>
          <w:color w:val="auto"/>
        </w:rPr>
        <w:t>the maturity of the Guaranteed Obligations guaranteed hereby may be accelerated as provided in Article 6 for the purposes of any Note Guarantee herein, notwithstanding any stay, injunction or other prohibition preventing such acceleration in respect of the Guaranteed Obligations guaranteed hereby, and (2) in the event of any declaration of acceleration of such Guaranteed Obligations as provided in Article 6, such Guaranteed Obligations (whether or not due and payable) shall forthwith become due and payable by such Subsidiary Guarantor for the purposes of Section 11.01.</w:t>
      </w:r>
    </w:p>
    <w:p>
      <w:pPr>
        <w:spacing w:after="0" w:line="161" w:lineRule="exact"/>
        <w:rPr>
          <w:rFonts w:ascii="Arial" w:cs="Arial" w:eastAsia="Arial" w:hAnsi="Arial"/>
          <w:sz w:val="16"/>
          <w:szCs w:val="16"/>
          <w:color w:val="auto"/>
        </w:rPr>
      </w:pPr>
    </w:p>
    <w:p>
      <w:pPr>
        <w:ind w:left="4" w:right="60" w:firstLine="987"/>
        <w:spacing w:after="0" w:line="277" w:lineRule="auto"/>
        <w:tabs>
          <w:tab w:leader="none" w:pos="1345" w:val="left"/>
        </w:tabs>
        <w:numPr>
          <w:ilvl w:val="1"/>
          <w:numId w:val="739"/>
        </w:numPr>
        <w:rPr>
          <w:rFonts w:ascii="Arial" w:cs="Arial" w:eastAsia="Arial" w:hAnsi="Arial"/>
          <w:sz w:val="18"/>
          <w:szCs w:val="18"/>
          <w:color w:val="auto"/>
        </w:rPr>
      </w:pPr>
      <w:r>
        <w:rPr>
          <w:rFonts w:ascii="Arial" w:cs="Arial" w:eastAsia="Arial" w:hAnsi="Arial"/>
          <w:sz w:val="18"/>
          <w:szCs w:val="18"/>
          <w:color w:val="auto"/>
        </w:rPr>
        <w:t>Each Subsidiary Guarantor also agrees to pay any and all costs and expenses (including attorneys’ fees and expenses) incurred by the Trustee in enforcing any rights under Section 11.01.</w:t>
      </w:r>
    </w:p>
    <w:p>
      <w:pPr>
        <w:spacing w:after="0" w:line="170" w:lineRule="exact"/>
        <w:rPr>
          <w:rFonts w:ascii="Arial" w:cs="Arial" w:eastAsia="Arial" w:hAnsi="Arial"/>
          <w:sz w:val="18"/>
          <w:szCs w:val="18"/>
          <w:color w:val="auto"/>
        </w:rPr>
      </w:pPr>
    </w:p>
    <w:p>
      <w:pPr>
        <w:ind w:left="4" w:right="80" w:firstLine="987"/>
        <w:spacing w:after="0" w:line="277" w:lineRule="auto"/>
        <w:tabs>
          <w:tab w:leader="none" w:pos="1345" w:val="left"/>
        </w:tabs>
        <w:numPr>
          <w:ilvl w:val="1"/>
          <w:numId w:val="739"/>
        </w:numPr>
        <w:rPr>
          <w:rFonts w:ascii="Arial" w:cs="Arial" w:eastAsia="Arial" w:hAnsi="Arial"/>
          <w:sz w:val="18"/>
          <w:szCs w:val="18"/>
          <w:color w:val="auto"/>
        </w:rPr>
      </w:pPr>
      <w:r>
        <w:rPr>
          <w:rFonts w:ascii="Arial" w:cs="Arial" w:eastAsia="Arial" w:hAnsi="Arial"/>
          <w:sz w:val="18"/>
          <w:szCs w:val="18"/>
          <w:color w:val="auto"/>
        </w:rPr>
        <w:t>Upon request of the Trustee, each Subsidiary Guarantor shall execute and deliver such further instruments and do such further acts as may be reasonably necessary or proper to carry out more effectively the purpose of this Indenture.</w:t>
      </w:r>
    </w:p>
    <w:p>
      <w:pPr>
        <w:spacing w:after="0" w:line="278" w:lineRule="exact"/>
        <w:rPr>
          <w:sz w:val="20"/>
          <w:szCs w:val="20"/>
          <w:color w:val="auto"/>
        </w:rPr>
      </w:pPr>
    </w:p>
    <w:p>
      <w:pPr>
        <w:ind w:left="444"/>
        <w:spacing w:after="0"/>
        <w:tabs>
          <w:tab w:leader="none" w:pos="1584"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7"/>
          <w:szCs w:val="17"/>
          <w:i w:val="1"/>
          <w:iCs w:val="1"/>
          <w:color w:val="auto"/>
        </w:rPr>
        <w:t>Limitation on Liability.</w:t>
      </w:r>
    </w:p>
    <w:p>
      <w:pPr>
        <w:spacing w:after="0" w:line="117" w:lineRule="exact"/>
        <w:rPr>
          <w:sz w:val="20"/>
          <w:szCs w:val="20"/>
          <w:color w:val="auto"/>
        </w:rPr>
      </w:pPr>
    </w:p>
    <w:p>
      <w:pPr>
        <w:ind w:left="4" w:right="220" w:firstLine="991"/>
        <w:spacing w:after="0" w:line="257" w:lineRule="auto"/>
        <w:rPr>
          <w:sz w:val="20"/>
          <w:szCs w:val="20"/>
          <w:color w:val="auto"/>
        </w:rPr>
      </w:pPr>
      <w:r>
        <w:rPr>
          <w:rFonts w:ascii="Arial" w:cs="Arial" w:eastAsia="Arial" w:hAnsi="Arial"/>
          <w:sz w:val="18"/>
          <w:szCs w:val="18"/>
          <w:color w:val="auto"/>
        </w:rPr>
        <w:t>Any term or provision of this Indenture to the contrary notwithstanding, the maximum aggregate amount of the Guaranteed Obligations guaranteed hereunder by any Subsidiary Guarantor shall not exceed the maximum amount that can be hereby guaranteed by the applicable Subsidiary Guarantor without rendering the Note Guarantee, as it relates to such Subsidiary Guarantor, voidable under applicable law relating to ultra vires, fraudulent conveyance, fraudulent transfer, corporate benefit, financial assistance or similar laws affecting the rights of creditors generally or other considerations under applicable law.</w:t>
      </w:r>
    </w:p>
    <w:p>
      <w:pPr>
        <w:spacing w:after="0" w:line="296" w:lineRule="exact"/>
        <w:rPr>
          <w:sz w:val="20"/>
          <w:szCs w:val="20"/>
          <w:color w:val="auto"/>
        </w:rPr>
      </w:pPr>
    </w:p>
    <w:p>
      <w:pPr>
        <w:ind w:left="444"/>
        <w:spacing w:after="0"/>
        <w:tabs>
          <w:tab w:leader="none" w:pos="1584"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5"/>
          <w:szCs w:val="15"/>
          <w:i w:val="1"/>
          <w:iCs w:val="1"/>
          <w:color w:val="auto"/>
        </w:rPr>
        <w:t>Successors and Assigns.</w:t>
      </w:r>
    </w:p>
    <w:p>
      <w:pPr>
        <w:spacing w:after="0" w:line="117"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This Article 11 shall be binding upon each Subsidiary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295" w:lineRule="exact"/>
        <w:rPr>
          <w:sz w:val="20"/>
          <w:szCs w:val="20"/>
          <w:color w:val="auto"/>
        </w:rPr>
      </w:pPr>
    </w:p>
    <w:p>
      <w:pPr>
        <w:ind w:left="444"/>
        <w:spacing w:after="0"/>
        <w:tabs>
          <w:tab w:leader="none" w:pos="1584"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5"/>
          <w:szCs w:val="15"/>
          <w:i w:val="1"/>
          <w:iCs w:val="1"/>
          <w:color w:val="auto"/>
        </w:rPr>
        <w:t>No Waiver.</w:t>
      </w:r>
    </w:p>
    <w:p>
      <w:pPr>
        <w:spacing w:after="0" w:line="117" w:lineRule="exact"/>
        <w:rPr>
          <w:sz w:val="20"/>
          <w:szCs w:val="20"/>
          <w:color w:val="auto"/>
        </w:rPr>
      </w:pPr>
    </w:p>
    <w:p>
      <w:pPr>
        <w:jc w:val="both"/>
        <w:ind w:left="4" w:firstLine="991"/>
        <w:spacing w:after="0" w:line="259" w:lineRule="auto"/>
        <w:rPr>
          <w:sz w:val="20"/>
          <w:szCs w:val="20"/>
          <w:color w:val="auto"/>
        </w:rPr>
      </w:pPr>
      <w:r>
        <w:rPr>
          <w:rFonts w:ascii="Arial" w:cs="Arial" w:eastAsia="Arial" w:hAnsi="Arial"/>
          <w:sz w:val="18"/>
          <w:szCs w:val="18"/>
          <w:color w:val="auto"/>
        </w:rPr>
        <w:t>Neither a failure nor a delay on the part of either the Trustee or the Holders in exercising any right, power or privilege under this Article 11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11 at law, in equity, by statute or otherwise.</w:t>
      </w:r>
    </w:p>
    <w:p>
      <w:pPr>
        <w:spacing w:after="0" w:line="295" w:lineRule="exact"/>
        <w:rPr>
          <w:sz w:val="20"/>
          <w:szCs w:val="20"/>
          <w:color w:val="auto"/>
        </w:rPr>
      </w:pPr>
    </w:p>
    <w:p>
      <w:pPr>
        <w:ind w:left="444"/>
        <w:spacing w:after="0"/>
        <w:tabs>
          <w:tab w:leader="none" w:pos="1584"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7"/>
          <w:szCs w:val="17"/>
          <w:i w:val="1"/>
          <w:iCs w:val="1"/>
          <w:color w:val="auto"/>
        </w:rPr>
        <w:t>Modification.</w:t>
      </w:r>
    </w:p>
    <w:p>
      <w:pPr>
        <w:spacing w:after="0" w:line="117" w:lineRule="exact"/>
        <w:rPr>
          <w:sz w:val="20"/>
          <w:szCs w:val="20"/>
          <w:color w:val="auto"/>
        </w:rPr>
      </w:pPr>
    </w:p>
    <w:p>
      <w:pPr>
        <w:ind w:left="4" w:right="60" w:firstLine="991"/>
        <w:spacing w:after="0" w:line="279" w:lineRule="auto"/>
        <w:rPr>
          <w:sz w:val="20"/>
          <w:szCs w:val="20"/>
          <w:color w:val="auto"/>
        </w:rPr>
      </w:pPr>
      <w:r>
        <w:rPr>
          <w:rFonts w:ascii="Arial" w:cs="Arial" w:eastAsia="Arial" w:hAnsi="Arial"/>
          <w:sz w:val="17"/>
          <w:szCs w:val="17"/>
          <w:color w:val="auto"/>
        </w:rPr>
        <w:t>No modification, amendment or waiver of any provision of this Article 11,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4"/>
          </w:cols>
          <w:pgMar w:left="436" w:top="273" w:right="459" w:bottom="1440" w:gutter="0" w:footer="0" w:header="0"/>
        </w:sectPr>
      </w:pPr>
    </w:p>
    <w:bookmarkStart w:id="563" w:name="page564"/>
    <w:bookmarkEnd w:id="563"/>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11.06</w:t>
      </w:r>
      <w:r>
        <w:rPr>
          <w:sz w:val="20"/>
          <w:szCs w:val="20"/>
          <w:color w:val="auto"/>
        </w:rPr>
        <w:tab/>
      </w:r>
      <w:r>
        <w:rPr>
          <w:rFonts w:ascii="Arial" w:cs="Arial" w:eastAsia="Arial" w:hAnsi="Arial"/>
          <w:sz w:val="16"/>
          <w:szCs w:val="16"/>
          <w:i w:val="1"/>
          <w:iCs w:val="1"/>
          <w:color w:val="auto"/>
        </w:rPr>
        <w:t>Execution of Supplemental Indenture for Future Subsidiary Guarantors.</w:t>
      </w:r>
    </w:p>
    <w:p>
      <w:pPr>
        <w:spacing w:after="0" w:line="117"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Each Restricted Subsidiary which is required to become a Subsidiary Guarantor pursuant to Section 4.17 hereof shall promptly execute and deliver to the Trustee a supplemental indenture pursuant to which such Subsidiary shall become a Subsidiary Guarantor under this Article 11 and shall guarantee the Guaranteed Obligations. Concurrently with the execution and delivery of such supplemental indenture, the Company shall deliver to the Trustee an Opinion of Counsel and an Officer’s Certificate to the effect that such supplemental indenture has been duly authorized, executed and delivered by such Restricted Subsidiary and that, subject to the application of bankruptcy, insolvency, moratorium, fraudulent conveyance or transfer and other similar laws relating to creditors’ rights generally and to the principles of equity, whether considered in a proceeding at law or in equity, the Note Guarantee of such Subsidiary Guarantor is a legal, valid and binding obligation of such Subsidiary Guarantor, enforceable against such Subsidiary Guarantor in accordance with its terms and/or to such other matters as the Trustee may reasonably request.</w:t>
      </w:r>
    </w:p>
    <w:p>
      <w:pPr>
        <w:spacing w:after="0" w:line="27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i w:val="1"/>
          <w:iCs w:val="1"/>
          <w:color w:val="auto"/>
        </w:rPr>
        <w:t>Non-Impairment.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failure to endorse a Note Guarantee on any Note shall not affect or impair the validity thereof.</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5"/>
          <w:szCs w:val="15"/>
          <w:i w:val="1"/>
          <w:iCs w:val="1"/>
          <w:color w:val="auto"/>
        </w:rPr>
        <w:t>Release of Guarantees.</w:t>
      </w:r>
    </w:p>
    <w:p>
      <w:pPr>
        <w:spacing w:after="0" w:line="117" w:lineRule="exact"/>
        <w:rPr>
          <w:sz w:val="20"/>
          <w:szCs w:val="20"/>
          <w:color w:val="auto"/>
        </w:rPr>
      </w:pPr>
    </w:p>
    <w:p>
      <w:pPr>
        <w:ind w:right="40" w:firstLine="987"/>
        <w:spacing w:after="0" w:line="286" w:lineRule="auto"/>
        <w:tabs>
          <w:tab w:leader="none" w:pos="1371" w:val="left"/>
        </w:tabs>
        <w:numPr>
          <w:ilvl w:val="0"/>
          <w:numId w:val="740"/>
        </w:numPr>
        <w:rPr>
          <w:rFonts w:ascii="Arial" w:cs="Arial" w:eastAsia="Arial" w:hAnsi="Arial"/>
          <w:sz w:val="17"/>
          <w:szCs w:val="17"/>
          <w:color w:val="auto"/>
        </w:rPr>
      </w:pPr>
      <w:r>
        <w:rPr>
          <w:rFonts w:ascii="Arial" w:cs="Arial" w:eastAsia="Arial" w:hAnsi="Arial"/>
          <w:sz w:val="17"/>
          <w:szCs w:val="17"/>
          <w:color w:val="auto"/>
        </w:rPr>
        <w:t>Subject to paragraphs (b) and (c), each Note Guarantee, once it becomes due, is a continuing guarantee and shall (i) remain in full force and effect until payment in full of all the Guaranteed Obligations, (ii) be binding upon each Subsidiary Guarantor and its successors and (iii) inure to the benefit of, and be enforceable by, the Trustee, the Holders and their successors, transferees and assigns.</w:t>
      </w:r>
    </w:p>
    <w:p>
      <w:pPr>
        <w:spacing w:after="0" w:line="165" w:lineRule="exact"/>
        <w:rPr>
          <w:rFonts w:ascii="Arial" w:cs="Arial" w:eastAsia="Arial" w:hAnsi="Arial"/>
          <w:sz w:val="17"/>
          <w:szCs w:val="17"/>
          <w:color w:val="auto"/>
        </w:rPr>
      </w:pPr>
    </w:p>
    <w:p>
      <w:pPr>
        <w:ind w:left="1380" w:hanging="393"/>
        <w:spacing w:after="0"/>
        <w:tabs>
          <w:tab w:leader="none" w:pos="1380" w:val="left"/>
        </w:tabs>
        <w:numPr>
          <w:ilvl w:val="0"/>
          <w:numId w:val="740"/>
        </w:numPr>
        <w:rPr>
          <w:rFonts w:ascii="Arial" w:cs="Arial" w:eastAsia="Arial" w:hAnsi="Arial"/>
          <w:sz w:val="17"/>
          <w:szCs w:val="17"/>
          <w:color w:val="auto"/>
        </w:rPr>
      </w:pPr>
      <w:r>
        <w:rPr>
          <w:rFonts w:ascii="Arial" w:cs="Arial" w:eastAsia="Arial" w:hAnsi="Arial"/>
          <w:sz w:val="17"/>
          <w:szCs w:val="17"/>
          <w:color w:val="auto"/>
        </w:rPr>
        <w:t>The Note Guarantee of a Subsidiary Guarantor with respect to the Notes will be automatically and unconditionally released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discharged:</w:t>
      </w:r>
    </w:p>
    <w:p>
      <w:pPr>
        <w:spacing w:after="0" w:line="102" w:lineRule="exact"/>
        <w:rPr>
          <w:rFonts w:ascii="Arial" w:cs="Arial" w:eastAsia="Arial" w:hAnsi="Arial"/>
          <w:sz w:val="17"/>
          <w:szCs w:val="17"/>
          <w:color w:val="auto"/>
        </w:rPr>
      </w:pPr>
    </w:p>
    <w:p>
      <w:pPr>
        <w:ind w:left="980" w:right="180" w:firstLine="408"/>
        <w:spacing w:after="0" w:line="286" w:lineRule="auto"/>
        <w:tabs>
          <w:tab w:leader="none" w:pos="1771" w:val="left"/>
        </w:tabs>
        <w:numPr>
          <w:ilvl w:val="1"/>
          <w:numId w:val="740"/>
        </w:numPr>
        <w:rPr>
          <w:rFonts w:ascii="Arial" w:cs="Arial" w:eastAsia="Arial" w:hAnsi="Arial"/>
          <w:sz w:val="17"/>
          <w:szCs w:val="17"/>
          <w:color w:val="auto"/>
        </w:rPr>
      </w:pPr>
      <w:r>
        <w:rPr>
          <w:rFonts w:ascii="Arial" w:cs="Arial" w:eastAsia="Arial" w:hAnsi="Arial"/>
          <w:sz w:val="17"/>
          <w:szCs w:val="17"/>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Restricted Subsidiary of the Company, if the sale or other disposition does not violate Section 5.01 hereof;</w:t>
      </w:r>
    </w:p>
    <w:p>
      <w:pPr>
        <w:spacing w:after="0" w:line="57" w:lineRule="exact"/>
        <w:rPr>
          <w:rFonts w:ascii="Arial" w:cs="Arial" w:eastAsia="Arial" w:hAnsi="Arial"/>
          <w:sz w:val="17"/>
          <w:szCs w:val="17"/>
          <w:color w:val="auto"/>
        </w:rPr>
      </w:pPr>
    </w:p>
    <w:p>
      <w:pPr>
        <w:ind w:left="980" w:firstLine="408"/>
        <w:spacing w:after="0" w:line="259" w:lineRule="auto"/>
        <w:tabs>
          <w:tab w:leader="none" w:pos="1771" w:val="left"/>
        </w:tabs>
        <w:numPr>
          <w:ilvl w:val="1"/>
          <w:numId w:val="740"/>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the Capital Stock of that Subsidiary Guarantor to a Person that is not (either before or after giving effect to such transaction) the Company or a Restricted Subsidiary of the Company, if the sale or other disposition does not violate Section 4.10 or 5.01 hereof and such Subsidiary Guarantor ceases to be a Restricted Subsidiary of the Company as a result of such sale or other disposition;</w:t>
      </w:r>
    </w:p>
    <w:p>
      <w:pPr>
        <w:spacing w:after="0" w:line="78" w:lineRule="exact"/>
        <w:rPr>
          <w:rFonts w:ascii="Arial" w:cs="Arial" w:eastAsia="Arial" w:hAnsi="Arial"/>
          <w:sz w:val="18"/>
          <w:szCs w:val="18"/>
          <w:color w:val="auto"/>
        </w:rPr>
      </w:pPr>
    </w:p>
    <w:p>
      <w:pPr>
        <w:ind w:left="980" w:right="660" w:firstLine="408"/>
        <w:spacing w:after="0" w:line="277" w:lineRule="auto"/>
        <w:tabs>
          <w:tab w:leader="none" w:pos="1771" w:val="left"/>
        </w:tabs>
        <w:numPr>
          <w:ilvl w:val="1"/>
          <w:numId w:val="740"/>
        </w:numPr>
        <w:rPr>
          <w:rFonts w:ascii="Arial" w:cs="Arial" w:eastAsia="Arial" w:hAnsi="Arial"/>
          <w:sz w:val="18"/>
          <w:szCs w:val="18"/>
          <w:color w:val="auto"/>
        </w:rPr>
      </w:pPr>
      <w:r>
        <w:rPr>
          <w:rFonts w:ascii="Arial" w:cs="Arial" w:eastAsia="Arial" w:hAnsi="Arial"/>
          <w:sz w:val="18"/>
          <w:szCs w:val="18"/>
          <w:color w:val="auto"/>
        </w:rPr>
        <w:t>if the Company designates any Restricted Subsidiary that is a Subsidiary Guarantor to be an Unrestricted Subsidiary in accordance with Section 4.18 hereof;</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740"/>
        </w:numPr>
        <w:rPr>
          <w:rFonts w:ascii="Arial" w:cs="Arial" w:eastAsia="Arial" w:hAnsi="Arial"/>
          <w:sz w:val="17"/>
          <w:szCs w:val="17"/>
          <w:color w:val="auto"/>
        </w:rPr>
      </w:pPr>
      <w:r>
        <w:rPr>
          <w:rFonts w:ascii="Arial" w:cs="Arial" w:eastAsia="Arial" w:hAnsi="Arial"/>
          <w:sz w:val="17"/>
          <w:szCs w:val="17"/>
          <w:color w:val="auto"/>
        </w:rPr>
        <w:t>upon Legal Defeasance or satisfaction and discharge of the Indenture as provided by Articles 8 and 12 of this Indenture;</w:t>
      </w:r>
    </w:p>
    <w:p>
      <w:pPr>
        <w:spacing w:after="0" w:line="128" w:lineRule="exact"/>
        <w:rPr>
          <w:rFonts w:ascii="Arial" w:cs="Arial" w:eastAsia="Arial" w:hAnsi="Arial"/>
          <w:sz w:val="17"/>
          <w:szCs w:val="17"/>
          <w:color w:val="auto"/>
        </w:rPr>
      </w:pPr>
    </w:p>
    <w:p>
      <w:pPr>
        <w:ind w:left="980" w:right="820" w:firstLine="408"/>
        <w:spacing w:after="0" w:line="277" w:lineRule="auto"/>
        <w:tabs>
          <w:tab w:leader="none" w:pos="1771" w:val="left"/>
        </w:tabs>
        <w:numPr>
          <w:ilvl w:val="1"/>
          <w:numId w:val="740"/>
        </w:numPr>
        <w:rPr>
          <w:rFonts w:ascii="Arial" w:cs="Arial" w:eastAsia="Arial" w:hAnsi="Arial"/>
          <w:sz w:val="18"/>
          <w:szCs w:val="18"/>
          <w:color w:val="auto"/>
        </w:rPr>
      </w:pPr>
      <w:r>
        <w:rPr>
          <w:rFonts w:ascii="Arial" w:cs="Arial" w:eastAsia="Arial" w:hAnsi="Arial"/>
          <w:sz w:val="18"/>
          <w:szCs w:val="18"/>
          <w:color w:val="auto"/>
        </w:rPr>
        <w:t>upon payment in full of the principal of, premium, if any, and accrued and unpaid interest on, the Notes and all other Obligations that are then due and payable thereunder;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40" w:top="273" w:right="479" w:bottom="1440" w:gutter="0" w:footer="0" w:header="0"/>
        </w:sectPr>
      </w:pPr>
    </w:p>
    <w:bookmarkStart w:id="564" w:name="page565"/>
    <w:bookmarkEnd w:id="564"/>
    <w:p>
      <w:pPr>
        <w:ind w:left="984" w:right="220" w:firstLine="408"/>
        <w:spacing w:after="0" w:line="275" w:lineRule="auto"/>
        <w:tabs>
          <w:tab w:leader="none" w:pos="1775" w:val="left"/>
        </w:tabs>
        <w:numPr>
          <w:ilvl w:val="1"/>
          <w:numId w:val="7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merger or consolidation of any Subsidiary Guarantor with and into the Company or a Wholly-Owned Subsidiary Guarantor (or a Wholly-Owned Restricted Subsidiary that becomes a Subsidiary Guarantor concurrently with the transaction) that is the surviving Person in such merger or consolidation, or upon the liquidation of such Subsidiary Guarantor following the transfer of all or substantially all of its assets to the Company or a Wholly-Owned Subsidiary Guarantor (or a Wholly-Owned Restricted Subsidiary that becomes a Subsidiary Guarantor concurrently with the transaction); or</w:t>
      </w:r>
    </w:p>
    <w:p>
      <w:pPr>
        <w:spacing w:after="0" w:line="68" w:lineRule="exact"/>
        <w:rPr>
          <w:rFonts w:ascii="Arial" w:cs="Arial" w:eastAsia="Arial" w:hAnsi="Arial"/>
          <w:sz w:val="17"/>
          <w:szCs w:val="17"/>
          <w:color w:val="auto"/>
        </w:rPr>
      </w:pPr>
    </w:p>
    <w:p>
      <w:pPr>
        <w:ind w:left="1784" w:hanging="392"/>
        <w:spacing w:after="0"/>
        <w:tabs>
          <w:tab w:leader="none" w:pos="1784" w:val="left"/>
        </w:tabs>
        <w:numPr>
          <w:ilvl w:val="1"/>
          <w:numId w:val="741"/>
        </w:numPr>
        <w:rPr>
          <w:rFonts w:ascii="Arial" w:cs="Arial" w:eastAsia="Arial" w:hAnsi="Arial"/>
          <w:sz w:val="18"/>
          <w:szCs w:val="18"/>
          <w:color w:val="auto"/>
        </w:rPr>
      </w:pPr>
      <w:r>
        <w:rPr>
          <w:rFonts w:ascii="Arial" w:cs="Arial" w:eastAsia="Arial" w:hAnsi="Arial"/>
          <w:sz w:val="18"/>
          <w:szCs w:val="18"/>
          <w:color w:val="auto"/>
        </w:rPr>
        <w:t>as described under Article 9 hereof.</w:t>
      </w:r>
    </w:p>
    <w:p>
      <w:pPr>
        <w:spacing w:after="0" w:line="225" w:lineRule="exact"/>
        <w:rPr>
          <w:rFonts w:ascii="Arial" w:cs="Arial" w:eastAsia="Arial" w:hAnsi="Arial"/>
          <w:sz w:val="18"/>
          <w:szCs w:val="18"/>
          <w:color w:val="auto"/>
        </w:rPr>
      </w:pPr>
    </w:p>
    <w:p>
      <w:pPr>
        <w:ind w:left="4" w:right="500" w:firstLine="987"/>
        <w:spacing w:after="0" w:line="342" w:lineRule="auto"/>
        <w:tabs>
          <w:tab w:leader="none" w:pos="1375" w:val="left"/>
        </w:tabs>
        <w:numPr>
          <w:ilvl w:val="0"/>
          <w:numId w:val="742"/>
        </w:numPr>
        <w:rPr>
          <w:rFonts w:ascii="Arial" w:cs="Arial" w:eastAsia="Arial" w:hAnsi="Arial"/>
          <w:sz w:val="16"/>
          <w:szCs w:val="16"/>
          <w:color w:val="auto"/>
        </w:rPr>
      </w:pPr>
      <w:r>
        <w:rPr>
          <w:rFonts w:ascii="Arial" w:cs="Arial" w:eastAsia="Arial" w:hAnsi="Arial"/>
          <w:sz w:val="16"/>
          <w:szCs w:val="16"/>
          <w:color w:val="auto"/>
        </w:rPr>
        <w:t>Each Holder hereby authorizes the Trustee to take all actions to effectuate any release in accordance with the provisions of this Section 11.08, subject to customary and reasonably satisfactory protections and indemnifications provided by the Company to the Trustee.</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ind w:left="444"/>
        <w:spacing w:after="0"/>
        <w:tabs>
          <w:tab w:leader="none" w:pos="1584"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i w:val="1"/>
          <w:iCs w:val="1"/>
          <w:color w:val="auto"/>
        </w:rPr>
        <w:t>Satisfaction and Discharge.</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117" w:lineRule="exact"/>
        <w:rPr>
          <w:sz w:val="20"/>
          <w:szCs w:val="20"/>
          <w:color w:val="auto"/>
        </w:rPr>
      </w:pPr>
    </w:p>
    <w:p>
      <w:pPr>
        <w:ind w:left="1784" w:hanging="392"/>
        <w:spacing w:after="0"/>
        <w:tabs>
          <w:tab w:leader="none" w:pos="1784" w:val="left"/>
        </w:tabs>
        <w:numPr>
          <w:ilvl w:val="0"/>
          <w:numId w:val="743"/>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1424" w:right="180" w:firstLine="391"/>
        <w:spacing w:after="0" w:line="263" w:lineRule="auto"/>
        <w:tabs>
          <w:tab w:leader="none" w:pos="2237" w:val="left"/>
        </w:tabs>
        <w:numPr>
          <w:ilvl w:val="1"/>
          <w:numId w:val="743"/>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75" w:lineRule="exact"/>
        <w:rPr>
          <w:rFonts w:ascii="Arial" w:cs="Arial" w:eastAsia="Arial" w:hAnsi="Arial"/>
          <w:sz w:val="18"/>
          <w:szCs w:val="18"/>
          <w:color w:val="auto"/>
        </w:rPr>
      </w:pPr>
    </w:p>
    <w:p>
      <w:pPr>
        <w:ind w:left="1424" w:firstLine="391"/>
        <w:spacing w:after="0" w:line="254" w:lineRule="auto"/>
        <w:tabs>
          <w:tab w:leader="none" w:pos="2227" w:val="left"/>
        </w:tabs>
        <w:numPr>
          <w:ilvl w:val="1"/>
          <w:numId w:val="743"/>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have become due and payable by reason of the mailing of a notice of redemption or otherwise or will become due and payable within one (1) year and the Company has irrevocably deposited or caused to be deposited with the Trustee as trust funds in trust solely for the benefit of the Holders, cash in U.S. dollars, non-callable U.S. Government Obligations, or a combination of cash in U.S. dollars and non-callable U.S. Government Obligations,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86" w:lineRule="exact"/>
        <w:rPr>
          <w:rFonts w:ascii="Arial" w:cs="Arial" w:eastAsia="Arial" w:hAnsi="Arial"/>
          <w:sz w:val="18"/>
          <w:szCs w:val="18"/>
          <w:color w:val="auto"/>
        </w:rPr>
      </w:pPr>
    </w:p>
    <w:p>
      <w:pPr>
        <w:ind w:left="984" w:right="40" w:firstLine="408"/>
        <w:spacing w:after="0" w:line="259" w:lineRule="auto"/>
        <w:tabs>
          <w:tab w:leader="none" w:pos="1775" w:val="left"/>
        </w:tabs>
        <w:numPr>
          <w:ilvl w:val="0"/>
          <w:numId w:val="74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Subsidiary Guarantor is a party or by which the Company or any Subsidiary Guarantor is bound;</w:t>
      </w:r>
    </w:p>
    <w:p>
      <w:pPr>
        <w:spacing w:after="0" w:line="78" w:lineRule="exact"/>
        <w:rPr>
          <w:rFonts w:ascii="Arial" w:cs="Arial" w:eastAsia="Arial" w:hAnsi="Arial"/>
          <w:sz w:val="18"/>
          <w:szCs w:val="18"/>
          <w:color w:val="auto"/>
        </w:rPr>
      </w:pPr>
    </w:p>
    <w:p>
      <w:pPr>
        <w:ind w:left="1784" w:hanging="392"/>
        <w:spacing w:after="0"/>
        <w:tabs>
          <w:tab w:leader="none" w:pos="1784" w:val="left"/>
        </w:tabs>
        <w:numPr>
          <w:ilvl w:val="0"/>
          <w:numId w:val="743"/>
        </w:numPr>
        <w:rPr>
          <w:rFonts w:ascii="Arial" w:cs="Arial" w:eastAsia="Arial" w:hAnsi="Arial"/>
          <w:sz w:val="17"/>
          <w:szCs w:val="17"/>
          <w:color w:val="auto"/>
        </w:rPr>
      </w:pPr>
      <w:r>
        <w:rPr>
          <w:rFonts w:ascii="Arial" w:cs="Arial" w:eastAsia="Arial" w:hAnsi="Arial"/>
          <w:sz w:val="17"/>
          <w:szCs w:val="17"/>
          <w:color w:val="auto"/>
        </w:rPr>
        <w:t>the Company or any Subsidiary Guarantor has paid or caused to be paid all sums payable by it under this Indenture; and</w:t>
      </w:r>
    </w:p>
    <w:p>
      <w:pPr>
        <w:spacing w:after="0" w:line="128" w:lineRule="exact"/>
        <w:rPr>
          <w:rFonts w:ascii="Arial" w:cs="Arial" w:eastAsia="Arial" w:hAnsi="Arial"/>
          <w:sz w:val="17"/>
          <w:szCs w:val="17"/>
          <w:color w:val="auto"/>
        </w:rPr>
      </w:pPr>
    </w:p>
    <w:p>
      <w:pPr>
        <w:ind w:left="984" w:right="20" w:firstLine="408"/>
        <w:spacing w:after="0" w:line="277" w:lineRule="auto"/>
        <w:tabs>
          <w:tab w:leader="none" w:pos="1775"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In addition, the Company must deliver an Officer’s Certificate of the Company and an Opinion of Counsel to the Trustee stating that all conditions precedent to satisfaction and discharge have been satisfied.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 clause</w:t>
      </w:r>
    </w:p>
    <w:p>
      <w:pPr>
        <w:spacing w:after="0" w:line="46" w:lineRule="exact"/>
        <w:rPr>
          <w:sz w:val="20"/>
          <w:szCs w:val="20"/>
          <w:color w:val="auto"/>
        </w:rPr>
      </w:pPr>
    </w:p>
    <w:p>
      <w:pPr>
        <w:ind w:left="5424" w:right="3800" w:hanging="5424"/>
        <w:spacing w:after="0" w:line="433" w:lineRule="auto"/>
        <w:tabs>
          <w:tab w:leader="none" w:pos="261" w:val="left"/>
        </w:tabs>
        <w:numPr>
          <w:ilvl w:val="0"/>
          <w:numId w:val="744"/>
        </w:numPr>
        <w:rPr>
          <w:rFonts w:ascii="Arial" w:cs="Arial" w:eastAsia="Arial" w:hAnsi="Arial"/>
          <w:sz w:val="18"/>
          <w:szCs w:val="18"/>
          <w:color w:val="auto"/>
        </w:rPr>
      </w:pPr>
      <w:r>
        <w:rPr>
          <w:rFonts w:ascii="Arial" w:cs="Arial" w:eastAsia="Arial" w:hAnsi="Arial"/>
          <w:sz w:val="18"/>
          <w:szCs w:val="18"/>
          <w:color w:val="auto"/>
        </w:rPr>
        <w:t>of clause (1) of this Section 12.01, the provisions of Sections 12.02 and 8.06 hereof will survive. 95</w:t>
      </w:r>
    </w:p>
    <w:p>
      <w:pPr>
        <w:sectPr>
          <w:pgSz w:w="11900" w:h="16838" w:orient="portrait"/>
          <w:cols w:equalWidth="0" w:num="1">
            <w:col w:w="11004"/>
          </w:cols>
          <w:pgMar w:left="436" w:top="273" w:right="459" w:bottom="1440" w:gutter="0" w:footer="0" w:header="0"/>
        </w:sectPr>
      </w:pPr>
    </w:p>
    <w:bookmarkStart w:id="565" w:name="page566"/>
    <w:bookmarkEnd w:id="565"/>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12.02</w:t>
      </w:r>
      <w:r>
        <w:rPr>
          <w:sz w:val="20"/>
          <w:szCs w:val="20"/>
          <w:color w:val="auto"/>
        </w:rPr>
        <w:tab/>
      </w:r>
      <w:r>
        <w:rPr>
          <w:rFonts w:ascii="Arial" w:cs="Arial" w:eastAsia="Arial" w:hAnsi="Arial"/>
          <w:sz w:val="16"/>
          <w:szCs w:val="16"/>
          <w:i w:val="1"/>
          <w:iCs w:val="1"/>
          <w:color w:val="auto"/>
        </w:rPr>
        <w:t>Application of Trust Money.</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If the Trustee or Paying Agent is unable to apply any cash in U.S. dollars or non-callable U.S. Government Obligations in accordance with Section 12.01 hereof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12.01 hereof;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Company has made any payment of principal of, premium, if any, or interest on, any Notes because of the reinstatement of its obligations, the Company shall be subrogated to the rights of the Holders of such Notes to receive such payment from the cash in U.S. dollars or non-callable U.S. Government Obligations held by the Trustee or Paying Agent.</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7"/>
          <w:szCs w:val="17"/>
          <w:i w:val="1"/>
          <w:iCs w:val="1"/>
          <w:color w:val="auto"/>
        </w:rPr>
        <w:t>[Intentionally Omitted].</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i w:val="1"/>
          <w:iCs w:val="1"/>
          <w:color w:val="auto"/>
        </w:rPr>
        <w:t>Notices.</w:t>
      </w:r>
    </w:p>
    <w:p>
      <w:pPr>
        <w:spacing w:after="0" w:line="117"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Any notice or communication by the Company or the Trustee to the others is duly given if in writing, in the English language, and delivered in Person or by first class mail (registered or certified, return receipt requested), facsimile transmission, electronic mail (in pdf format) or overnight air courier guaranteeing next day delivery, to the others’ address:</w:t>
      </w:r>
    </w:p>
    <w:p>
      <w:pPr>
        <w:spacing w:after="0" w:line="184" w:lineRule="exact"/>
        <w:rPr>
          <w:sz w:val="20"/>
          <w:szCs w:val="20"/>
          <w:color w:val="auto"/>
        </w:rPr>
      </w:pPr>
    </w:p>
    <w:p>
      <w:pPr>
        <w:ind w:left="980" w:right="240"/>
        <w:spacing w:after="0" w:line="263" w:lineRule="auto"/>
        <w:rPr>
          <w:sz w:val="20"/>
          <w:szCs w:val="20"/>
          <w:color w:val="auto"/>
        </w:rPr>
      </w:pPr>
      <w:r>
        <w:rPr>
          <w:rFonts w:ascii="Arial" w:cs="Arial" w:eastAsia="Arial" w:hAnsi="Arial"/>
          <w:sz w:val="18"/>
          <w:szCs w:val="18"/>
          <w:color w:val="auto"/>
        </w:rPr>
        <w:t>If to the Company, Studio City Investments Limited, Studio City Company Limited, Studio City Holdings Two Limited, Studio City Holdings Three Limited, Studio City Holdings Four Limited, SCP Holdings Limited, SCIP Holdings Limited, SCP One Limited and/or SCP Two Limited: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Jayla Place, Wickhams Cay 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British Virgin Islands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Studio City (HK) Limited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Company Secretary</w:t>
      </w:r>
    </w:p>
    <w:p>
      <w:pPr>
        <w:spacing w:after="0" w:line="103"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If to Studio City Services Limited, Studio City Entertainment Limited, Studio City Hotels Limited, Studio City Hospitality and Services Limited, Studio City Retail Services Limited and/or Studio City Developments Limited:</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Avenida da Praia Grande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nº 594, 15º andar 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Macau</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40" w:top="273" w:right="479" w:bottom="1440" w:gutter="0" w:footer="0" w:header="0"/>
        </w:sectPr>
      </w:pPr>
    </w:p>
    <w:bookmarkStart w:id="566" w:name="page567"/>
    <w:bookmarkEnd w:id="56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Studio City (HK) Limited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Ashurst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11/F Jardine House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Connaught Place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2868 0898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Anna-Marie Slot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Studio City (HK) Two Limited: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36th Floor, The Centrium</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Trustee, the Paying Agent, Registrar and Transfer Agent: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Deutsche Bank Trust Company Americas</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 Wall Street, 24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MS NYC60-2405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(732) 578-4635</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Corporates Team – Studio City Finance Limited Deal ID: SF4033</w:t>
      </w:r>
    </w:p>
    <w:p>
      <w:pPr>
        <w:spacing w:after="0" w:line="211"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The Company, any Subsidiary Guarantor, the Trustee and any Agent, by notice to the others, may designate additional or different addresses for subsequent notices or communications.</w:t>
      </w:r>
    </w:p>
    <w:p>
      <w:pPr>
        <w:spacing w:after="0" w:line="170" w:lineRule="exact"/>
        <w:rPr>
          <w:sz w:val="20"/>
          <w:szCs w:val="20"/>
          <w:color w:val="auto"/>
        </w:rPr>
      </w:pPr>
    </w:p>
    <w:p>
      <w:pPr>
        <w:jc w:val="both"/>
        <w:ind w:right="120" w:firstLine="991"/>
        <w:spacing w:after="0" w:line="311" w:lineRule="auto"/>
        <w:rPr>
          <w:sz w:val="20"/>
          <w:szCs w:val="20"/>
          <w:color w:val="auto"/>
        </w:rPr>
      </w:pPr>
      <w:r>
        <w:rPr>
          <w:rFonts w:ascii="Arial" w:cs="Arial" w:eastAsia="Arial" w:hAnsi="Arial"/>
          <w:sz w:val="16"/>
          <w:szCs w:val="16"/>
          <w:color w:val="auto"/>
        </w:rPr>
        <w:t>All notices and communications (other than those sent to Holders) will be deemed to have been duly given: at the time delivered by hand, if personally delivered; five (5)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149"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Any notice or communication to a Holder will be electronically delivered, mailed by first class mail, certified or registered, return receipt requested, or by overnight air courier guaranteeing next day delivery to its address shown on the register kept by the Registrar. All notices to the Holders (while any Notes are represented by one or more Global Notes) shall be delivered to DTC, for communication to entitled account Holders, and any obligation to give notice to the Holders will be discharged upon delivery of such notice to DTC. Failure to mail a notice or communication to a Holder or any defect in it will not affect its sufficiency with respect to other Holders. If a notice or communication is mailed or delivered in the manner provided above within the time prescribed, it is duly given, whether or not the addressee receives it.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Company mails or delivers a notice or communication to Holders, it will mail or deliver a copy to the Trustee and each Agent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same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440" w:top="273" w:right="439" w:bottom="1440" w:gutter="0" w:footer="0" w:header="0"/>
        </w:sectPr>
      </w:pPr>
    </w:p>
    <w:bookmarkStart w:id="567" w:name="page568"/>
    <w:bookmarkEnd w:id="567"/>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13.03</w:t>
      </w:r>
      <w:r>
        <w:rPr>
          <w:sz w:val="20"/>
          <w:szCs w:val="20"/>
          <w:color w:val="auto"/>
        </w:rPr>
        <w:tab/>
      </w:r>
      <w:r>
        <w:rPr>
          <w:rFonts w:ascii="Arial" w:cs="Arial" w:eastAsia="Arial" w:hAnsi="Arial"/>
          <w:sz w:val="16"/>
          <w:szCs w:val="16"/>
          <w:i w:val="1"/>
          <w:iCs w:val="1"/>
          <w:color w:val="auto"/>
        </w:rPr>
        <w:t>Communication by Holders of Notes with Other Holders of Notes.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03" w:lineRule="exact"/>
        <w:rPr>
          <w:sz w:val="20"/>
          <w:szCs w:val="20"/>
          <w:color w:val="auto"/>
        </w:rPr>
      </w:pPr>
    </w:p>
    <w:p>
      <w:pPr>
        <w:ind w:left="980" w:right="100" w:firstLine="408"/>
        <w:spacing w:after="0" w:line="263" w:lineRule="auto"/>
        <w:tabs>
          <w:tab w:leader="none" w:pos="1771" w:val="left"/>
        </w:tabs>
        <w:numPr>
          <w:ilvl w:val="0"/>
          <w:numId w:val="745"/>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13.05 hereof) stating that, in the opinion of the signers, all conditions precedent and covenants, if any, provided for in this Indenture relating to the proposed action have been satisfied; and</w:t>
      </w:r>
    </w:p>
    <w:p>
      <w:pPr>
        <w:spacing w:after="0" w:line="75" w:lineRule="exact"/>
        <w:rPr>
          <w:rFonts w:ascii="Arial" w:cs="Arial" w:eastAsia="Arial" w:hAnsi="Arial"/>
          <w:sz w:val="18"/>
          <w:szCs w:val="18"/>
          <w:color w:val="auto"/>
        </w:rPr>
      </w:pPr>
    </w:p>
    <w:p>
      <w:pPr>
        <w:ind w:left="980" w:right="20" w:firstLine="408"/>
        <w:spacing w:after="0" w:line="342" w:lineRule="auto"/>
        <w:tabs>
          <w:tab w:leader="none" w:pos="1771" w:val="left"/>
        </w:tabs>
        <w:numPr>
          <w:ilvl w:val="0"/>
          <w:numId w:val="745"/>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13.05 hereof) stating that, in the opinion of such counsel, all such conditions precedent and covenants have been satisfied.</w:t>
      </w:r>
    </w:p>
    <w:p>
      <w:pPr>
        <w:spacing w:after="0" w:line="23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780" w:hanging="392"/>
        <w:spacing w:after="0"/>
        <w:tabs>
          <w:tab w:leader="none" w:pos="1780" w:val="left"/>
        </w:tabs>
        <w:numPr>
          <w:ilvl w:val="0"/>
          <w:numId w:val="746"/>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980" w:firstLine="408"/>
        <w:spacing w:after="0" w:line="277" w:lineRule="auto"/>
        <w:tabs>
          <w:tab w:leader="none" w:pos="1771" w:val="left"/>
        </w:tabs>
        <w:numPr>
          <w:ilvl w:val="0"/>
          <w:numId w:val="74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980" w:right="160" w:firstLine="408"/>
        <w:spacing w:after="0" w:line="308" w:lineRule="auto"/>
        <w:tabs>
          <w:tab w:leader="none" w:pos="1771" w:val="left"/>
        </w:tabs>
        <w:numPr>
          <w:ilvl w:val="0"/>
          <w:numId w:val="746"/>
        </w:numPr>
        <w:rPr>
          <w:rFonts w:ascii="Arial" w:cs="Arial" w:eastAsia="Arial" w:hAnsi="Arial"/>
          <w:sz w:val="17"/>
          <w:szCs w:val="17"/>
          <w:color w:val="auto"/>
        </w:rPr>
      </w:pPr>
      <w:r>
        <w:rPr>
          <w:rFonts w:ascii="Arial" w:cs="Arial" w:eastAsia="Arial" w:hAnsi="Arial"/>
          <w:sz w:val="17"/>
          <w:szCs w:val="17"/>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38" w:lineRule="exact"/>
        <w:rPr>
          <w:rFonts w:ascii="Arial" w:cs="Arial" w:eastAsia="Arial" w:hAnsi="Arial"/>
          <w:sz w:val="17"/>
          <w:szCs w:val="17"/>
          <w:color w:val="auto"/>
        </w:rPr>
      </w:pPr>
    </w:p>
    <w:p>
      <w:pPr>
        <w:ind w:left="1780" w:hanging="392"/>
        <w:spacing w:after="0"/>
        <w:tabs>
          <w:tab w:leader="none" w:pos="1780" w:val="left"/>
        </w:tabs>
        <w:numPr>
          <w:ilvl w:val="0"/>
          <w:numId w:val="746"/>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5"/>
          <w:szCs w:val="15"/>
          <w:i w:val="1"/>
          <w:iCs w:val="1"/>
          <w:color w:val="auto"/>
        </w:rPr>
        <w:t>Rules by Trustee and Agents.</w:t>
      </w:r>
    </w:p>
    <w:p>
      <w:pPr>
        <w:spacing w:after="0" w:line="117"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13.07</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117" w:lineRule="exact"/>
        <w:rPr>
          <w:sz w:val="20"/>
          <w:szCs w:val="20"/>
          <w:color w:val="auto"/>
        </w:rPr>
      </w:pPr>
    </w:p>
    <w:p>
      <w:pPr>
        <w:ind w:right="220" w:firstLine="991"/>
        <w:spacing w:after="0" w:line="257" w:lineRule="auto"/>
        <w:rPr>
          <w:sz w:val="20"/>
          <w:szCs w:val="20"/>
          <w:color w:val="auto"/>
        </w:rPr>
      </w:pPr>
      <w:r>
        <w:rPr>
          <w:rFonts w:ascii="Arial" w:cs="Arial" w:eastAsia="Arial" w:hAnsi="Arial"/>
          <w:sz w:val="18"/>
          <w:szCs w:val="18"/>
          <w:color w:val="auto"/>
        </w:rPr>
        <w:t>No past, present or future director, officer, employee, incorporator or stockholder of the Company or any Subsidiary Guarantor, as such, will have any liability for any obligations of the Company or the Subsidiary Guarantors under the Notes, this Indenture or the Note Guarantees,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96"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6"/>
          <w:szCs w:val="16"/>
          <w:i w:val="1"/>
          <w:iCs w:val="1"/>
          <w:color w:val="auto"/>
        </w:rPr>
        <w:t>Governing Law.</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LAWS OF THE STATE OF NEW YORK WILL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3" w:right="459" w:bottom="1440" w:gutter="0" w:footer="0" w:header="0"/>
        </w:sectPr>
      </w:pPr>
    </w:p>
    <w:bookmarkStart w:id="568" w:name="page569"/>
    <w:bookmarkEnd w:id="568"/>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11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5"/>
          <w:szCs w:val="15"/>
          <w:i w:val="1"/>
          <w:iCs w:val="1"/>
          <w:color w:val="auto"/>
        </w:rPr>
        <w:t>Successors.</w:t>
      </w:r>
    </w:p>
    <w:p>
      <w:pPr>
        <w:spacing w:after="0" w:line="117"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All agreements of the Company in this Indenture and the Notes will bind its successors. All agreements of the Trustee and each Agent in this Indenture will bind their respective successors. All agreements of each Subsidiary Guarantor in this Indenture will bind their respective successors, except as otherwise provided in Section 11.05 hereof.</w:t>
      </w:r>
    </w:p>
    <w:p>
      <w:pPr>
        <w:spacing w:after="0" w:line="29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i w:val="1"/>
          <w:iCs w:val="1"/>
          <w:color w:val="auto"/>
        </w:rPr>
        <w:t>Severability.</w:t>
      </w:r>
    </w:p>
    <w:p>
      <w:pPr>
        <w:spacing w:after="0" w:line="117"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7"/>
          <w:szCs w:val="17"/>
          <w:i w:val="1"/>
          <w:iCs w:val="1"/>
          <w:color w:val="auto"/>
        </w:rPr>
        <w:t>Counterpart Originals.</w:t>
      </w:r>
    </w:p>
    <w:p>
      <w:pPr>
        <w:spacing w:after="0" w:line="117"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62"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Facsimile, documents executed, scanned and transmitted electronically and electronic signatures, including those created or transmitted through a software platform or application, shall be deemed original signatures for purposes of this Indenture, and all matters and agreements related thereto (including the Notes), with such facsimile, scanned and electronic signatures having the same legal effect as original signatures. The parties agree that this Indenture, the Notes or any instrument, agreement or document necessary for the consummation of the transactions contemplated by this Indenture, the Notes or related hereto or thereto (including, without limitation, supplements, addendums, amendments, notices, instructions, communications with respect to the delivery of securities or the wire transfer of funds or other communications) (“</w:t>
      </w:r>
      <w:r>
        <w:rPr>
          <w:rFonts w:ascii="Arial" w:cs="Arial" w:eastAsia="Arial" w:hAnsi="Arial"/>
          <w:sz w:val="16"/>
          <w:szCs w:val="16"/>
          <w:b w:val="1"/>
          <w:bCs w:val="1"/>
          <w:u w:val="single" w:color="auto"/>
          <w:color w:val="auto"/>
        </w:rPr>
        <w:t>Executed Documentation</w:t>
      </w:r>
      <w:r>
        <w:rPr>
          <w:rFonts w:ascii="Arial" w:cs="Arial" w:eastAsia="Arial" w:hAnsi="Arial"/>
          <w:sz w:val="16"/>
          <w:szCs w:val="16"/>
          <w:color w:val="auto"/>
        </w:rPr>
        <w:t>”)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or any Agent acts on any Executed Documentation sent by electronic transmission, the Trustee or any Agent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or any Agent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or any Agent acting on unauthorized instructions and the risk of interception and misuse by third parties.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3" w:right="459" w:bottom="1440" w:gutter="0" w:footer="0" w:header="0"/>
        </w:sectPr>
      </w:pPr>
    </w:p>
    <w:bookmarkStart w:id="569" w:name="page570"/>
    <w:bookmarkEnd w:id="569"/>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13.13</w:t>
      </w:r>
      <w:r>
        <w:rPr>
          <w:sz w:val="20"/>
          <w:szCs w:val="20"/>
          <w:color w:val="auto"/>
        </w:rPr>
        <w:tab/>
      </w:r>
      <w:r>
        <w:rPr>
          <w:rFonts w:ascii="Arial" w:cs="Arial" w:eastAsia="Arial" w:hAnsi="Arial"/>
          <w:sz w:val="16"/>
          <w:szCs w:val="16"/>
          <w:i w:val="1"/>
          <w:iCs w:val="1"/>
          <w:color w:val="auto"/>
        </w:rPr>
        <w:t>Table of Contents, Headings, etc.</w:t>
      </w:r>
    </w:p>
    <w:p>
      <w:pPr>
        <w:spacing w:after="0" w:line="117"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29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13.14</w:t>
      </w:r>
      <w:r>
        <w:rPr>
          <w:sz w:val="20"/>
          <w:szCs w:val="20"/>
          <w:color w:val="auto"/>
        </w:rPr>
        <w:tab/>
      </w:r>
      <w:r>
        <w:rPr>
          <w:rFonts w:ascii="Arial" w:cs="Arial" w:eastAsia="Arial" w:hAnsi="Arial"/>
          <w:sz w:val="17"/>
          <w:szCs w:val="17"/>
          <w:i w:val="1"/>
          <w:iCs w:val="1"/>
          <w:color w:val="auto"/>
        </w:rPr>
        <w:t>Patriot Act</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(“Applicable Law”), the Trustee and Agents are required to obtain, verify, record and update certain information relating to individuals and entities which maintain a business relationship with the Trustee and Agents. Accordingly, each of the parties agree to provide to the Trustee and Agents, upon their request from time to time such identifying information and documentation as may be available for such party in order to enable the Trustee and Agents to comply with Applicable Law.</w:t>
      </w:r>
    </w:p>
    <w:p>
      <w:pPr>
        <w:spacing w:after="0" w:line="300"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13.15</w:t>
      </w:r>
      <w:r>
        <w:rPr>
          <w:sz w:val="20"/>
          <w:szCs w:val="20"/>
          <w:color w:val="auto"/>
        </w:rPr>
        <w:tab/>
      </w:r>
      <w:r>
        <w:rPr>
          <w:rFonts w:ascii="Arial" w:cs="Arial" w:eastAsia="Arial" w:hAnsi="Arial"/>
          <w:sz w:val="16"/>
          <w:szCs w:val="16"/>
          <w:i w:val="1"/>
          <w:iCs w:val="1"/>
          <w:color w:val="auto"/>
        </w:rPr>
        <w:t>Submission to Jurisdiction; Waiver of Jury Trial</w:t>
      </w:r>
    </w:p>
    <w:p>
      <w:pPr>
        <w:spacing w:after="0" w:line="117" w:lineRule="exact"/>
        <w:rPr>
          <w:sz w:val="20"/>
          <w:szCs w:val="20"/>
          <w:color w:val="auto"/>
        </w:rPr>
      </w:pPr>
    </w:p>
    <w:p>
      <w:pPr>
        <w:ind w:firstLine="991"/>
        <w:spacing w:after="0" w:line="251" w:lineRule="auto"/>
        <w:rPr>
          <w:sz w:val="20"/>
          <w:szCs w:val="20"/>
          <w:color w:val="auto"/>
        </w:rPr>
      </w:pPr>
      <w:r>
        <w:rPr>
          <w:rFonts w:ascii="Arial" w:cs="Arial" w:eastAsia="Arial" w:hAnsi="Arial"/>
          <w:sz w:val="18"/>
          <w:szCs w:val="18"/>
          <w:color w:val="auto"/>
        </w:rPr>
        <w:t>THE COMPANY AND EACH SUBSIDIARY GUARANTOR HEREBY SUBMITS TO THE NON-EXCLUSIVE JURISDICTION OF THE FEDERAL AND STATE COURTS IN THE BOROUGH OF MANHATTAN IN THE CITY OF NEW YORK IN ANY SUIT OR PROCEEDING ARISING OUT OF OR RELATING TO THIS AGREEMENT OR THE TRANSACTIONS CONTEMPLATED HEREBY. THE COMPANY AND EACH SUBSIDIARY GUARANTOR IRREVOCABLY AND UNCONDITIONALLY WAIVES ANY OBJECTION TO THE LAYING OF VENUE OF ANY SUIT OR PROCEEDING ARISING OUT OF OR RELATING TO THIS INDENTURE, THE NOTE GUARANTEES, THE NOTES AND ANY OF THE TRANSACTIONS CONTEMPLATED HEREBY OR THEREBY IN FEDERAL AND STATE COURTS IN THE BOROUGH OF MANHATTAN IN THE CITY OF NEW YORK AND IRREVOCABLY AND UNCONDITIONALLY WAIVES AND AGREES NOT TO PLEAD OR CLAIM IN ANY SUCH COURT THAT ANY SUCH SUIT OR PROCEEDING IN ANY SUCH COURT HAS BEEN BROUGHT IN AN INCONVENIENT FORUM. NOTHING HEREIN SHALL AFFECT THE RIGHT OF THE TRUSTEE OR ANY HOLDER OF THE NOTES TO SERVE PROCESS IN ANY OTHER MANNER PERMITTED BY LAW OR TO COMMENCE LEGAL PROCEEDINGS OR OTHERWISE PROCEED AGAINST THE COMPANY IN ANY OTHER JURISDICTION. THE COMPANY AND EACH SUBSIDIARY GUARANTOR IRREVOCABLY APPOINTS LAW DEBENTURE CORPORATE SERVICES INC., 801 2</w:t>
      </w:r>
      <w:r>
        <w:rPr>
          <w:rFonts w:ascii="Arial" w:cs="Arial" w:eastAsia="Arial" w:hAnsi="Arial"/>
          <w:sz w:val="15"/>
          <w:szCs w:val="15"/>
          <w:color w:val="auto"/>
        </w:rPr>
        <w:t>ND</w:t>
      </w:r>
      <w:r>
        <w:rPr>
          <w:rFonts w:ascii="Arial" w:cs="Arial" w:eastAsia="Arial" w:hAnsi="Arial"/>
          <w:sz w:val="18"/>
          <w:szCs w:val="18"/>
          <w:color w:val="auto"/>
        </w:rPr>
        <w:t xml:space="preserve"> AVENUE, SUITE 403, NEW YORK, NEW YORK, 10017,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13.02, SHALL BE DEEMED IN EVERY RESPECT EFFECTIVE SERVICE OF PROCESS UPON THE COMPANY OR ANY SUBSIDIARY GUARANTOR, AS THE CASE MAY BE, IN ANY SUCH SUIT OR PROCEEDING. THE COMPANY AND EACH SUBSIDIARY GUARANTOR FURTHER AGREES TO TAKE ANY AND ALL ACTION AS MAY BE NECESSARY TO MAINTAIN SUCH DESIGNATION AND APPOINTMENT OF SUCH AGENT IN FULL FORCE AND EFFECT FOR SO LONG AS THE NOTES ARE OUTSTANDING FROM THE DATE OF THIS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3" w:right="479" w:bottom="1440" w:gutter="0" w:footer="0" w:header="0"/>
        </w:sectPr>
      </w:pPr>
    </w:p>
    <w:bookmarkStart w:id="570" w:name="page571"/>
    <w:bookmarkEnd w:id="570"/>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HERETO HEREBY WAIVES ITS RIGHTS TO A JURY TRIAL OF ANY CLAIM OR CAUSE OF ACTION BASED UPON OR ARISING OUT OF THIS INDENTURE, THE NOTES, THE NOTE GUARANTEES, OR THE TRANSACTIONS CONTEMPLATED HEREBY OR THEREBY.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THIS SECTION 13.15 HAS BEEN FULLY DISCUSSED BY EACH OF THE PARTIES HERETO AND THESE PROVISIONS SHALL NOT BE SUBJECT TO ANY EXCEPTIONS. EACH PARTY HERETO HEREBY FURTHER WARRANTS AND REPRESENTS THAT SUCH PARTY HAS REVIEWED THIS WAIVER WITH ITS LEGAL COUNSEL, AND THAT SUCH PARTY KNOWINGLY AND VOLUNTARILY WAIVES ITS JURY TRIAL RIGHTS FOLLOWING CONSULTATION WITH LEGAL COUNSEL. THIS WAIVER IS IRREVOCABLE, MEANING THAT IT MAY NOT BE MODIFIED EITHER ORALLY OR IN WRITING, AND THIS WAIVER SHALL APPLY TO ANY SUBSEQUENT AMENDMENTS, SUPPLEMENTS OR MODIFICATIONS TO (OR ASSIGNMENTS OF) THIS INDENTURE. IN THE EVENT OF LITIGATION, THIS INDENTURE MAY BE FILED AS A WRITTEN CONSENT TO A TRIAL (WITHOUT A JURY) BY THE COURT.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440" w:top="273" w:right="499" w:bottom="1440" w:gutter="0" w:footer="0" w:header="0"/>
        </w:sectPr>
      </w:pPr>
    </w:p>
    <w:bookmarkStart w:id="571" w:name="page572"/>
    <w:bookmarkEnd w:id="571"/>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January 14,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FINANCE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INVESTMENTS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TWO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STUDIO CITY HOLDINGS THREE LIMITED</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FOUR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10100"/>
          </w:cols>
          <w:pgMar w:left="440" w:top="273" w:right="1359" w:bottom="1440" w:gutter="0" w:footer="0" w:header="0"/>
        </w:sectPr>
      </w:pPr>
    </w:p>
    <w:bookmarkStart w:id="572" w:name="page573"/>
    <w:bookmarkEnd w:id="57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6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260"/>
          </w:cols>
          <w:pgMar w:left="1440" w:top="273" w:right="1199" w:bottom="1440" w:gutter="0" w:footer="0" w:header="0"/>
        </w:sectPr>
      </w:pPr>
    </w:p>
    <w:bookmarkStart w:id="573" w:name="page574"/>
    <w:bookmarkEnd w:id="57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260"/>
          </w:cols>
          <w:pgMar w:left="1440" w:top="273" w:right="1199" w:bottom="1440" w:gutter="0" w:footer="0" w:header="0"/>
        </w:sectPr>
      </w:pPr>
    </w:p>
    <w:bookmarkStart w:id="574" w:name="page575"/>
    <w:bookmarkEnd w:id="57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SCP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DEVELOPMENT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SCIP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RETAIL SERVICES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(HK)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080"/>
          </w:cols>
          <w:pgMar w:left="1440" w:top="273" w:right="1379" w:bottom="1440" w:gutter="0" w:footer="0" w:header="0"/>
        </w:sectPr>
      </w:pPr>
    </w:p>
    <w:bookmarkStart w:id="575" w:name="page576"/>
    <w:bookmarkEnd w:id="57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TRUST COMPANY AMETICAS,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Bridgette Casasnovas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Bridgette Casasnovas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Peschler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Peschler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DEUTSCHE BANK TRUST COMPANY AMERICAS,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Paying Agent, Registrar and Transfer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Bridgette Casasnovas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Bridgette Casasnovas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Peschler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Peschler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[SIGNATURE PAGE - INDENTURE]</w:t>
      </w:r>
    </w:p>
    <w:p>
      <w:pPr>
        <w:sectPr>
          <w:pgSz w:w="11900" w:h="16838" w:orient="portrait"/>
          <w:cols w:equalWidth="0" w:num="1">
            <w:col w:w="9660"/>
          </w:cols>
          <w:pgMar w:left="1440" w:top="273" w:right="799" w:bottom="1440" w:gutter="0" w:footer="0" w:header="0"/>
        </w:sectPr>
      </w:pPr>
    </w:p>
    <w:bookmarkStart w:id="576" w:name="page577"/>
    <w:bookmarkEnd w:id="5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7" w:lineRule="exact"/>
        <w:rPr>
          <w:sz w:val="20"/>
          <w:szCs w:val="20"/>
          <w:color w:val="auto"/>
        </w:rPr>
      </w:pPr>
    </w:p>
    <w:p>
      <w:pPr>
        <w:ind w:right="4140"/>
        <w:spacing w:after="0" w:line="578" w:lineRule="auto"/>
        <w:rPr>
          <w:sz w:val="20"/>
          <w:szCs w:val="20"/>
          <w:color w:val="auto"/>
        </w:rPr>
      </w:pPr>
      <w:r>
        <w:rPr>
          <w:rFonts w:ascii="Arial" w:cs="Arial" w:eastAsia="Arial" w:hAnsi="Arial"/>
          <w:sz w:val="16"/>
          <w:szCs w:val="16"/>
          <w:i w:val="1"/>
          <w:iCs w:val="1"/>
          <w:color w:val="auto"/>
        </w:rPr>
        <w:t>[Insert the Global Note Legend, if applicable pursuant to the provisions of the Indenture] [Insert the Private Placement Legend, if applicable pursuant to the provisions of the Indenture]</w:t>
      </w:r>
    </w:p>
    <w:p>
      <w:pPr>
        <w:spacing w:after="0" w:line="1"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CUSIP:</w:t>
      </w:r>
    </w:p>
    <w:p>
      <w:pPr>
        <w:spacing w:after="0" w:line="27"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ISIN:</w:t>
      </w:r>
    </w:p>
    <w:p>
      <w:pPr>
        <w:spacing w:after="0" w:line="9"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COMMON CODE: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 Senior Notes due 2029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-10160</wp:posOffset>
            </wp:positionV>
            <wp:extent cx="34290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9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-10160</wp:posOffset>
            </wp:positionV>
            <wp:extent cx="57150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9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STUDIO CITY FINANCE LIMITED</w:t>
      </w:r>
    </w:p>
    <w:p>
      <w:pPr>
        <w:spacing w:after="0" w:line="225" w:lineRule="exact"/>
        <w:rPr>
          <w:sz w:val="20"/>
          <w:szCs w:val="20"/>
          <w:color w:val="auto"/>
        </w:rPr>
      </w:pPr>
    </w:p>
    <w:p>
      <w:pPr>
        <w:spacing w:after="0"/>
        <w:tabs>
          <w:tab w:leader="none" w:pos="6460" w:val="left"/>
        </w:tabs>
        <w:rPr>
          <w:sz w:val="20"/>
          <w:szCs w:val="20"/>
          <w:color w:val="auto"/>
        </w:rPr>
      </w:pPr>
      <w:r>
        <w:rPr>
          <w:rFonts w:ascii="Arial" w:cs="Arial" w:eastAsia="Arial" w:hAnsi="Arial"/>
          <w:sz w:val="18"/>
          <w:szCs w:val="18"/>
          <w:color w:val="auto"/>
        </w:rPr>
        <w:t>Promises to pay to Cede &amp; Co. or its registered assigns, the principal sum of</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NUMBER IN WORDS</w:t>
      </w:r>
      <w:r>
        <w:rPr>
          <w:rFonts w:ascii="Arial" w:cs="Arial" w:eastAsia="Arial" w:hAnsi="Arial"/>
          <w:sz w:val="16"/>
          <w:szCs w:val="16"/>
          <w:color w:val="auto"/>
        </w:rPr>
        <w:t>] on January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-10160</wp:posOffset>
            </wp:positionV>
            <wp:extent cx="57150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9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January 15 and July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December 31 and June 30</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3429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9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-10160</wp:posOffset>
            </wp:positionV>
            <wp:extent cx="1143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9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69" w:right="439" w:bottom="1440" w:gutter="0" w:footer="0" w:header="0"/>
        </w:sectPr>
      </w:pPr>
    </w:p>
    <w:bookmarkStart w:id="577" w:name="page578"/>
    <w:bookmarkEnd w:id="57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signed manually or by facsimile by the duly authorized officers referred to below.</w:t>
      </w:r>
    </w:p>
    <w:p>
      <w:pPr>
        <w:spacing w:after="0" w:line="17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FINANCE LIMITED, as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720"/>
          </w:cols>
          <w:pgMar w:left="440" w:top="273" w:right="739" w:bottom="1440" w:gutter="0" w:footer="0" w:header="0"/>
        </w:sectPr>
      </w:pPr>
    </w:p>
    <w:bookmarkStart w:id="578" w:name="page579"/>
    <w:bookmarkEnd w:id="578"/>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9"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5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9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019"/>
          </w:cols>
          <w:pgMar w:left="440" w:top="269" w:right="1440" w:bottom="1440" w:gutter="0" w:footer="0" w:header="0"/>
        </w:sectPr>
      </w:pPr>
    </w:p>
    <w:bookmarkStart w:id="579" w:name="page580"/>
    <w:bookmarkEnd w:id="579"/>
    <w:p>
      <w:pPr>
        <w:jc w:val="center"/>
        <w:ind w:righ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[Back of Note]</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STUDIO CITY FINANCE LIMITED</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5.000% SENIOR NOTES DUE 2029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17" w:lineRule="exact"/>
        <w:rPr>
          <w:sz w:val="20"/>
          <w:szCs w:val="20"/>
          <w:color w:val="auto"/>
        </w:rPr>
      </w:pPr>
    </w:p>
    <w:p>
      <w:pPr>
        <w:ind w:right="20" w:firstLine="419"/>
        <w:spacing w:after="0" w:line="269" w:lineRule="auto"/>
        <w:tabs>
          <w:tab w:leader="none" w:pos="813" w:val="left"/>
        </w:tabs>
        <w:numPr>
          <w:ilvl w:val="0"/>
          <w:numId w:val="747"/>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3"/>
          <w:szCs w:val="13"/>
          <w:i w:val="1"/>
          <w:iCs w:val="1"/>
          <w:color w:val="auto"/>
        </w:rPr>
        <w:t>NTEREST</w:t>
      </w:r>
      <w:r>
        <w:rPr>
          <w:rFonts w:ascii="Arial" w:cs="Arial" w:eastAsia="Arial" w:hAnsi="Arial"/>
          <w:sz w:val="17"/>
          <w:szCs w:val="17"/>
          <w:color w:val="auto"/>
        </w:rPr>
        <w:t>. Studio City Finance Limited, a BVI business company with limited liability incorporated under the laws of the British</w:t>
      </w:r>
      <w:r>
        <w:rPr>
          <w:rFonts w:ascii="Arial" w:cs="Arial" w:eastAsia="Arial" w:hAnsi="Arial"/>
          <w:sz w:val="17"/>
          <w:szCs w:val="17"/>
          <w:i w:val="1"/>
          <w:iCs w:val="1"/>
          <w:color w:val="auto"/>
        </w:rPr>
        <w:t xml:space="preserve"> </w:t>
      </w:r>
      <w:r>
        <w:rPr>
          <w:rFonts w:ascii="Arial" w:cs="Arial" w:eastAsia="Arial" w:hAnsi="Arial"/>
          <w:sz w:val="17"/>
          <w:szCs w:val="17"/>
          <w:color w:val="auto"/>
        </w:rPr>
        <w:t>Virgin Islands (the “</w:t>
      </w:r>
      <w:r>
        <w:rPr>
          <w:rFonts w:ascii="Arial" w:cs="Arial" w:eastAsia="Arial" w:hAnsi="Arial"/>
          <w:sz w:val="17"/>
          <w:szCs w:val="17"/>
          <w:i w:val="1"/>
          <w:iCs w:val="1"/>
          <w:color w:val="auto"/>
        </w:rPr>
        <w:t>Company</w:t>
      </w:r>
      <w:r>
        <w:rPr>
          <w:rFonts w:ascii="Arial" w:cs="Arial" w:eastAsia="Arial" w:hAnsi="Arial"/>
          <w:sz w:val="17"/>
          <w:szCs w:val="17"/>
          <w:color w:val="auto"/>
        </w:rPr>
        <w:t>”), promises to pay interest on the principal amount of this Note at 5.000% per annum from January 14, 2021 until maturity. The Company will pay interest and Additional Amounts, if any, semi-annually in arrears on January 15 and July 15 of each year, or if any such day is not a Business Day, on the next succeeding Business Day (each, an “</w:t>
      </w:r>
      <w:r>
        <w:rPr>
          <w:rFonts w:ascii="Arial" w:cs="Arial" w:eastAsia="Arial" w:hAnsi="Arial"/>
          <w:sz w:val="17"/>
          <w:szCs w:val="17"/>
          <w:i w:val="1"/>
          <w:iCs w:val="1"/>
          <w:color w:val="auto"/>
        </w:rPr>
        <w:t>Interest Payment Date</w:t>
      </w:r>
      <w:r>
        <w:rPr>
          <w:rFonts w:ascii="Arial" w:cs="Arial" w:eastAsia="Arial" w:hAnsi="Arial"/>
          <w:sz w:val="17"/>
          <w:szCs w:val="17"/>
          <w:color w:val="auto"/>
        </w:rPr>
        <w:t xml:space="preserve">”). Interest on the Notes will accrue from the most recent date to which interest has been paid or, if no interest has been paid, from the date of issuance;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first Interest Payment Date shall be July 15, 2021. 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 Interest will be computed on the basis of a 360-day year of twelve 30-day months.</w:t>
      </w:r>
    </w:p>
    <w:p>
      <w:pPr>
        <w:spacing w:after="0" w:line="70" w:lineRule="exact"/>
        <w:rPr>
          <w:rFonts w:ascii="Arial" w:cs="Arial" w:eastAsia="Arial" w:hAnsi="Arial"/>
          <w:sz w:val="17"/>
          <w:szCs w:val="17"/>
          <w:color w:val="auto"/>
        </w:rPr>
      </w:pPr>
    </w:p>
    <w:p>
      <w:pPr>
        <w:ind w:firstLine="419"/>
        <w:spacing w:after="0" w:line="288" w:lineRule="auto"/>
        <w:tabs>
          <w:tab w:leader="none" w:pos="813" w:val="left"/>
        </w:tabs>
        <w:numPr>
          <w:ilvl w:val="0"/>
          <w:numId w:val="747"/>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2"/>
          <w:szCs w:val="12"/>
          <w:i w:val="1"/>
          <w:iCs w:val="1"/>
          <w:color w:val="auto"/>
        </w:rPr>
        <w:t>ETHOD OF</w:t>
      </w:r>
      <w:r>
        <w:rPr>
          <w:rFonts w:ascii="Arial" w:cs="Arial" w:eastAsia="Arial" w:hAnsi="Arial"/>
          <w:sz w:val="16"/>
          <w:szCs w:val="16"/>
          <w:i w:val="1"/>
          <w:iCs w:val="1"/>
          <w:color w:val="auto"/>
        </w:rPr>
        <w:t xml:space="preserve"> P</w:t>
      </w:r>
      <w:r>
        <w:rPr>
          <w:rFonts w:ascii="Arial" w:cs="Arial" w:eastAsia="Arial" w:hAnsi="Arial"/>
          <w:sz w:val="12"/>
          <w:szCs w:val="12"/>
          <w:i w:val="1"/>
          <w:iCs w:val="1"/>
          <w:color w:val="auto"/>
        </w:rPr>
        <w:t>AYMENT</w:t>
      </w:r>
      <w:r>
        <w:rPr>
          <w:rFonts w:ascii="Arial" w:cs="Arial" w:eastAsia="Arial" w:hAnsi="Arial"/>
          <w:sz w:val="16"/>
          <w:szCs w:val="16"/>
          <w:color w:val="auto"/>
        </w:rPr>
        <w:t>. The Company will pay interest on the Notes (except defaulted interest) and Additional Amounts, if any,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Persons who are registered Holders of Notes at the close of business on December 31 or June 30 next preceding the Interest Payment Date, even if such Notes are canceled after such record date and on or before such Interest Payment Date, except as provided in Section 2.12 of the Indenture with respect to defaulted interest. The Notes will be payable as to principal, premium, and Additional Amounts, if any, and interest at the office or agency of the Company maintained for such purpose within or without the City and State of New York, or, at the option of the Company, payment of interest and Additional Amounts, if any, may be made by check mailed to the Holders at their addresses set forth in the register of Holders;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payment by wire transfer of immediately available funds will be required with respect to principal of and interest, premium and</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Amounts, if any, on, all Global Notes and all other Notes, the Holders of which will have provided wire transfer instructions to the Company or the Paying Agent, and shall so notify the Trustee and the Paying Agent thereof. Such payment will be in such coin or currency of the United States of America as at the time of payment is legal tender for payment of public and private debts.</w:t>
      </w:r>
    </w:p>
    <w:p>
      <w:pPr>
        <w:spacing w:after="0" w:line="60" w:lineRule="exact"/>
        <w:rPr>
          <w:rFonts w:ascii="Arial" w:cs="Arial" w:eastAsia="Arial" w:hAnsi="Arial"/>
          <w:sz w:val="16"/>
          <w:szCs w:val="16"/>
          <w:color w:val="auto"/>
        </w:rPr>
      </w:pPr>
    </w:p>
    <w:p>
      <w:pPr>
        <w:ind w:right="240" w:firstLine="419"/>
        <w:spacing w:after="0" w:line="263" w:lineRule="auto"/>
        <w:tabs>
          <w:tab w:leader="none" w:pos="813" w:val="left"/>
        </w:tabs>
        <w:numPr>
          <w:ilvl w:val="0"/>
          <w:numId w:val="747"/>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4"/>
          <w:szCs w:val="14"/>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GENT AND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EGISTRAR</w:t>
      </w:r>
      <w:r>
        <w:rPr>
          <w:rFonts w:ascii="Arial" w:cs="Arial" w:eastAsia="Arial" w:hAnsi="Arial"/>
          <w:sz w:val="18"/>
          <w:szCs w:val="18"/>
          <w:color w:val="auto"/>
        </w:rPr>
        <w:t>. Initially, Deutsche Bank Trust Company Americas will act as Paying Agent, Registrar and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Agent. The Company may change any Paying Agent, Transfer Agent or Registrar without notice to any Holder. The Company or any of its Subsidiaries may act as Paying Agent and Registrar.</w:t>
      </w:r>
    </w:p>
    <w:p>
      <w:pPr>
        <w:spacing w:after="0" w:line="75" w:lineRule="exact"/>
        <w:rPr>
          <w:rFonts w:ascii="Arial" w:cs="Arial" w:eastAsia="Arial" w:hAnsi="Arial"/>
          <w:sz w:val="18"/>
          <w:szCs w:val="18"/>
          <w:color w:val="auto"/>
        </w:rPr>
      </w:pPr>
    </w:p>
    <w:p>
      <w:pPr>
        <w:ind w:right="60" w:firstLine="419"/>
        <w:spacing w:after="0" w:line="296" w:lineRule="auto"/>
        <w:tabs>
          <w:tab w:leader="none" w:pos="813" w:val="left"/>
        </w:tabs>
        <w:numPr>
          <w:ilvl w:val="0"/>
          <w:numId w:val="747"/>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2"/>
          <w:szCs w:val="12"/>
          <w:i w:val="1"/>
          <w:iCs w:val="1"/>
          <w:color w:val="auto"/>
        </w:rPr>
        <w:t>NDENTURE</w:t>
      </w:r>
      <w:r>
        <w:rPr>
          <w:rFonts w:ascii="Arial" w:cs="Arial" w:eastAsia="Arial" w:hAnsi="Arial"/>
          <w:sz w:val="16"/>
          <w:szCs w:val="16"/>
          <w:color w:val="auto"/>
        </w:rPr>
        <w:t>. The Company issued the Notes under an Indenture dated as of January 14, 2021 (the “</w:t>
      </w:r>
      <w:r>
        <w:rPr>
          <w:rFonts w:ascii="Arial" w:cs="Arial" w:eastAsia="Arial" w:hAnsi="Arial"/>
          <w:sz w:val="16"/>
          <w:szCs w:val="16"/>
          <w:i w:val="1"/>
          <w:iCs w:val="1"/>
          <w:color w:val="auto"/>
        </w:rPr>
        <w:t>Indenture</w:t>
      </w:r>
      <w:r>
        <w:rPr>
          <w:rFonts w:ascii="Arial" w:cs="Arial" w:eastAsia="Arial" w:hAnsi="Arial"/>
          <w:sz w:val="16"/>
          <w:szCs w:val="16"/>
          <w:color w:val="auto"/>
        </w:rPr>
        <w:t>”) among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each Subsidiary Guarantor, the Trustee, the Paying Agent, the Registrar and other persons from time to time party thereto.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Indenture does not limit the aggregate principal amount of Notes that may be issued thereunder.</w:t>
      </w:r>
    </w:p>
    <w:p>
      <w:pPr>
        <w:spacing w:after="0" w:line="9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540"/>
          </w:cols>
          <w:pgMar w:left="880" w:top="273" w:right="479" w:bottom="1440" w:gutter="0" w:footer="0" w:header="0"/>
        </w:sectPr>
      </w:pPr>
    </w:p>
    <w:bookmarkStart w:id="580" w:name="page581"/>
    <w:bookmarkEnd w:id="580"/>
    <w:p>
      <w:pPr>
        <w:ind w:left="800" w:hanging="381"/>
        <w:spacing w:after="0"/>
        <w:tabs>
          <w:tab w:leader="none" w:pos="800" w:val="left"/>
        </w:tabs>
        <w:numPr>
          <w:ilvl w:val="0"/>
          <w:numId w:val="74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Arial" w:cs="Arial" w:eastAsia="Arial" w:hAnsi="Arial"/>
          <w:sz w:val="14"/>
          <w:szCs w:val="14"/>
          <w:i w:val="1"/>
          <w:iCs w:val="1"/>
          <w:color w:val="auto"/>
        </w:rPr>
        <w:t>PTIONAL</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EDEMPTION</w:t>
      </w:r>
      <w:r>
        <w:rPr>
          <w:rFonts w:ascii="Arial" w:cs="Arial" w:eastAsia="Arial" w:hAnsi="Arial"/>
          <w:sz w:val="18"/>
          <w:szCs w:val="18"/>
          <w:i w:val="1"/>
          <w:iCs w:val="1"/>
          <w:color w:val="auto"/>
        </w:rPr>
        <w:t>.</w:t>
      </w:r>
    </w:p>
    <w:p>
      <w:pPr>
        <w:spacing w:after="0" w:line="117" w:lineRule="exact"/>
        <w:rPr>
          <w:sz w:val="20"/>
          <w:szCs w:val="20"/>
          <w:color w:val="auto"/>
        </w:rPr>
      </w:pPr>
    </w:p>
    <w:p>
      <w:pPr>
        <w:ind w:right="100" w:firstLine="419"/>
        <w:spacing w:after="0" w:line="259" w:lineRule="auto"/>
        <w:tabs>
          <w:tab w:leader="none" w:pos="803" w:val="left"/>
        </w:tabs>
        <w:numPr>
          <w:ilvl w:val="0"/>
          <w:numId w:val="749"/>
        </w:numPr>
        <w:rPr>
          <w:rFonts w:ascii="Arial" w:cs="Arial" w:eastAsia="Arial" w:hAnsi="Arial"/>
          <w:sz w:val="18"/>
          <w:szCs w:val="18"/>
          <w:color w:val="auto"/>
        </w:rPr>
      </w:pPr>
      <w:r>
        <w:rPr>
          <w:rFonts w:ascii="Arial" w:cs="Arial" w:eastAsia="Arial" w:hAnsi="Arial"/>
          <w:sz w:val="18"/>
          <w:szCs w:val="18"/>
          <w:color w:val="auto"/>
        </w:rPr>
        <w:t>On or after January 15, 2024, the Company may redeem all or a part of the Notes upon not less than 30 nor more than 60 days’ notice, at the redemption prices (expressed as percentages of principal amount) set forth below plus accrued and unpaid interest, if any, on the Notes redeemed, to the applicable redemption date, if redeemed during the periods indicated below, subject to the rights of Holders on the relevant record date to receive interest on the relevant interest payment date:</w:t>
      </w:r>
    </w:p>
    <w:p>
      <w:pPr>
        <w:spacing w:after="0" w:line="19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6100" w:type="dxa"/>
            <w:vAlign w:val="bottom"/>
            <w:vMerge w:val="restart"/>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6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Twelve-month period on or after January 15, 2024</w:t>
            </w: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gridSpan w:val="2"/>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102.500%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Twelve-month period on or after January 15, 2025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101.250%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January 15, 2026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19"/>
        <w:spacing w:after="0" w:line="272" w:lineRule="auto"/>
        <w:tabs>
          <w:tab w:leader="none" w:pos="813" w:val="left"/>
        </w:tabs>
        <w:numPr>
          <w:ilvl w:val="0"/>
          <w:numId w:val="750"/>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subparagraph (a) of this Paragraph (5), at any time prior to January 15, 2024, the Company may on any one or more occasions redeem up to 35% of the aggregate principal amount of Notes at a redemption price equal to 105.000% of the principal amount thereof, plus accrued and unpaid interest and Additional Amounts,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at least 65% in aggregate principal amount of the Notes originally issued under the Indenture (excluding Notes held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Subsidiaries) remains outstanding immediately after the occurrence of such redemption and that such redemption occurs within 45 days of the date of the closing of such Equity Offering.</w:t>
      </w:r>
    </w:p>
    <w:p>
      <w:pPr>
        <w:spacing w:after="0" w:line="69" w:lineRule="exact"/>
        <w:rPr>
          <w:rFonts w:ascii="Arial" w:cs="Arial" w:eastAsia="Arial" w:hAnsi="Arial"/>
          <w:sz w:val="17"/>
          <w:szCs w:val="17"/>
          <w:color w:val="auto"/>
        </w:rPr>
      </w:pPr>
    </w:p>
    <w:p>
      <w:pPr>
        <w:ind w:right="60" w:firstLine="419"/>
        <w:spacing w:after="0" w:line="301" w:lineRule="auto"/>
        <w:tabs>
          <w:tab w:leader="none" w:pos="793" w:val="left"/>
        </w:tabs>
        <w:numPr>
          <w:ilvl w:val="0"/>
          <w:numId w:val="750"/>
        </w:numPr>
        <w:rPr>
          <w:rFonts w:ascii="Arial" w:cs="Arial" w:eastAsia="Arial" w:hAnsi="Arial"/>
          <w:sz w:val="16"/>
          <w:szCs w:val="16"/>
          <w:color w:val="auto"/>
        </w:rPr>
      </w:pPr>
      <w:r>
        <w:rPr>
          <w:rFonts w:ascii="Arial" w:cs="Arial" w:eastAsia="Arial" w:hAnsi="Arial"/>
          <w:sz w:val="16"/>
          <w:szCs w:val="16"/>
          <w:color w:val="auto"/>
        </w:rPr>
        <w:t>At any time prior to January 15, 2024, the Company may also redeem all or a part of the Notes, upon not less than 30 nor more than 60 days’ prior notice mailed by first-class mail to each Holder’s registered address, at a redemption price equal to 100% of the principal amount of the Notes redeemed plus the Applicable Premium as of, and accrued and unpaid interest and Additional Amounts, if any, to the date of redemption, subject to the rights of Holders on the relevant record date to receive interest due on the relevant interest payment date.</w:t>
      </w:r>
    </w:p>
    <w:p>
      <w:pPr>
        <w:spacing w:after="0" w:line="49" w:lineRule="exact"/>
        <w:rPr>
          <w:rFonts w:ascii="Arial" w:cs="Arial" w:eastAsia="Arial" w:hAnsi="Arial"/>
          <w:sz w:val="16"/>
          <w:szCs w:val="16"/>
          <w:color w:val="auto"/>
        </w:rPr>
      </w:pPr>
    </w:p>
    <w:p>
      <w:pPr>
        <w:ind w:firstLine="419"/>
        <w:spacing w:after="0" w:line="271" w:lineRule="auto"/>
        <w:tabs>
          <w:tab w:leader="none" w:pos="803" w:val="left"/>
        </w:tabs>
        <w:numPr>
          <w:ilvl w:val="0"/>
          <w:numId w:val="750"/>
        </w:numPr>
        <w:rPr>
          <w:rFonts w:ascii="Arial" w:cs="Arial" w:eastAsia="Arial" w:hAnsi="Arial"/>
          <w:sz w:val="17"/>
          <w:szCs w:val="17"/>
          <w:color w:val="auto"/>
        </w:rPr>
      </w:pPr>
      <w:r>
        <w:rPr>
          <w:rFonts w:ascii="Arial" w:cs="Arial" w:eastAsia="Arial" w:hAnsi="Arial"/>
          <w:sz w:val="17"/>
          <w:szCs w:val="17"/>
          <w:color w:val="auto"/>
        </w:rPr>
        <w:t>Any redemption pursuant to subparagraphs (a), (b) and (c) of this Paragraph (5) 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with respect to such redemption may be performed by another Person.</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560"/>
          </w:cols>
          <w:pgMar w:left="880" w:top="273" w:right="459" w:bottom="1440" w:gutter="0" w:footer="0" w:header="0"/>
        </w:sectPr>
      </w:pPr>
    </w:p>
    <w:bookmarkStart w:id="581" w:name="page582"/>
    <w:bookmarkEnd w:id="581"/>
    <w:p>
      <w:pPr>
        <w:ind w:right="380" w:firstLine="419"/>
        <w:spacing w:after="0" w:line="277" w:lineRule="auto"/>
        <w:tabs>
          <w:tab w:leader="none" w:pos="803" w:val="left"/>
        </w:tabs>
        <w:numPr>
          <w:ilvl w:val="0"/>
          <w:numId w:val="7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Company defaults in the payment of the redemption price, interest will cease to accrue on the Notes or portions thereof called for redemption on the applicable redemption date.</w:t>
      </w:r>
    </w:p>
    <w:p>
      <w:pPr>
        <w:spacing w:after="0" w:line="62" w:lineRule="exact"/>
        <w:rPr>
          <w:rFonts w:ascii="Arial" w:cs="Arial" w:eastAsia="Arial" w:hAnsi="Arial"/>
          <w:sz w:val="18"/>
          <w:szCs w:val="18"/>
          <w:color w:val="auto"/>
        </w:rPr>
      </w:pPr>
    </w:p>
    <w:p>
      <w:pPr>
        <w:ind w:left="780" w:hanging="361"/>
        <w:spacing w:after="0"/>
        <w:tabs>
          <w:tab w:leader="none" w:pos="78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The Notes may also be redeemed in the circumstances described in Sections 3.10 and 3.11 of the Indenture.</w:t>
      </w:r>
    </w:p>
    <w:p>
      <w:pPr>
        <w:spacing w:after="0" w:line="117" w:lineRule="exact"/>
        <w:rPr>
          <w:sz w:val="20"/>
          <w:szCs w:val="20"/>
          <w:color w:val="auto"/>
        </w:rPr>
      </w:pPr>
    </w:p>
    <w:p>
      <w:pPr>
        <w:ind w:left="800" w:hanging="381"/>
        <w:spacing w:after="0"/>
        <w:tabs>
          <w:tab w:leader="none" w:pos="800" w:val="left"/>
        </w:tabs>
        <w:numPr>
          <w:ilvl w:val="0"/>
          <w:numId w:val="752"/>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2"/>
          <w:szCs w:val="12"/>
          <w:i w:val="1"/>
          <w:iCs w:val="1"/>
          <w:color w:val="auto"/>
        </w:rPr>
        <w:t>ANDATORY</w:t>
      </w:r>
      <w:r>
        <w:rPr>
          <w:rFonts w:ascii="Arial" w:cs="Arial" w:eastAsia="Arial" w:hAnsi="Arial"/>
          <w:sz w:val="16"/>
          <w:szCs w:val="16"/>
          <w:i w:val="1"/>
          <w:iCs w:val="1"/>
          <w:color w:val="auto"/>
        </w:rPr>
        <w:t xml:space="preserve"> R</w:t>
      </w:r>
      <w:r>
        <w:rPr>
          <w:rFonts w:ascii="Arial" w:cs="Arial" w:eastAsia="Arial" w:hAnsi="Arial"/>
          <w:sz w:val="12"/>
          <w:szCs w:val="12"/>
          <w:i w:val="1"/>
          <w:iCs w:val="1"/>
          <w:color w:val="auto"/>
        </w:rPr>
        <w:t>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not required to make mandatory redemption or sinking fund payments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102" w:lineRule="exact"/>
        <w:rPr>
          <w:rFonts w:ascii="Arial" w:cs="Arial" w:eastAsia="Arial" w:hAnsi="Arial"/>
          <w:sz w:val="16"/>
          <w:szCs w:val="16"/>
          <w:color w:val="auto"/>
        </w:rPr>
      </w:pPr>
    </w:p>
    <w:p>
      <w:pPr>
        <w:ind w:right="240" w:firstLine="419"/>
        <w:spacing w:after="0" w:line="277" w:lineRule="auto"/>
        <w:tabs>
          <w:tab w:leader="none" w:pos="813" w:val="left"/>
        </w:tabs>
        <w:numPr>
          <w:ilvl w:val="0"/>
          <w:numId w:val="752"/>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EPURCHASE AT THE</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4"/>
          <w:szCs w:val="14"/>
          <w:i w:val="1"/>
          <w:iCs w:val="1"/>
          <w:color w:val="auto"/>
        </w:rPr>
        <w:t>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may be subject to a Change of Control Offer, a Special Put Option or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Sale Offer, as further described in Sections 3.09, 4.10, 4.15 and 4.21 of the Indenture.</w:t>
      </w:r>
    </w:p>
    <w:p>
      <w:pPr>
        <w:spacing w:after="0" w:line="62" w:lineRule="exact"/>
        <w:rPr>
          <w:rFonts w:ascii="Arial" w:cs="Arial" w:eastAsia="Arial" w:hAnsi="Arial"/>
          <w:sz w:val="18"/>
          <w:szCs w:val="18"/>
          <w:color w:val="auto"/>
        </w:rPr>
      </w:pPr>
    </w:p>
    <w:p>
      <w:pPr>
        <w:ind w:right="20" w:firstLine="419"/>
        <w:spacing w:after="0" w:line="275" w:lineRule="auto"/>
        <w:tabs>
          <w:tab w:leader="none" w:pos="813" w:val="left"/>
        </w:tabs>
        <w:numPr>
          <w:ilvl w:val="0"/>
          <w:numId w:val="752"/>
        </w:numPr>
        <w:rPr>
          <w:rFonts w:ascii="Arial" w:cs="Arial" w:eastAsia="Arial" w:hAnsi="Arial"/>
          <w:sz w:val="17"/>
          <w:szCs w:val="17"/>
          <w:color w:val="auto"/>
        </w:rPr>
      </w:pPr>
      <w:r>
        <w:rPr>
          <w:rFonts w:ascii="Arial" w:cs="Arial" w:eastAsia="Arial" w:hAnsi="Arial"/>
          <w:sz w:val="17"/>
          <w:szCs w:val="17"/>
          <w:i w:val="1"/>
          <w:iCs w:val="1"/>
          <w:color w:val="auto"/>
        </w:rPr>
        <w:t>N</w:t>
      </w:r>
      <w:r>
        <w:rPr>
          <w:rFonts w:ascii="Arial" w:cs="Arial" w:eastAsia="Arial" w:hAnsi="Arial"/>
          <w:sz w:val="13"/>
          <w:szCs w:val="13"/>
          <w:i w:val="1"/>
          <w:iCs w:val="1"/>
          <w:color w:val="auto"/>
        </w:rPr>
        <w:t>OTICE OF</w:t>
      </w:r>
      <w:r>
        <w:rPr>
          <w:rFonts w:ascii="Arial" w:cs="Arial" w:eastAsia="Arial" w:hAnsi="Arial"/>
          <w:sz w:val="17"/>
          <w:szCs w:val="17"/>
          <w:i w:val="1"/>
          <w:iCs w:val="1"/>
          <w:color w:val="auto"/>
        </w:rPr>
        <w:t xml:space="preserve"> R</w:t>
      </w:r>
      <w:r>
        <w:rPr>
          <w:rFonts w:ascii="Arial" w:cs="Arial" w:eastAsia="Arial" w:hAnsi="Arial"/>
          <w:sz w:val="13"/>
          <w:szCs w:val="13"/>
          <w:i w:val="1"/>
          <w:iCs w:val="1"/>
          <w:color w:val="auto"/>
        </w:rPr>
        <w:t>EDEMPTION</w:t>
      </w:r>
      <w:r>
        <w:rPr>
          <w:rFonts w:ascii="Arial" w:cs="Arial" w:eastAsia="Arial" w:hAnsi="Arial"/>
          <w:sz w:val="17"/>
          <w:szCs w:val="17"/>
          <w:color w:val="auto"/>
        </w:rPr>
        <w:t>. Notice of redemption will be mailed at least 30 days but not more than 60 days before the redemption date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US$200,000 may be redeemed in part but only in integral multiples of US$1,000 provided that the unredeemed part has a minimum denomination of US$200,000, unless all of the Notes held by a Holder are to be redeemed.</w:t>
      </w:r>
    </w:p>
    <w:p>
      <w:pPr>
        <w:spacing w:after="0" w:line="68" w:lineRule="exact"/>
        <w:rPr>
          <w:rFonts w:ascii="Arial" w:cs="Arial" w:eastAsia="Arial" w:hAnsi="Arial"/>
          <w:sz w:val="17"/>
          <w:szCs w:val="17"/>
          <w:color w:val="auto"/>
        </w:rPr>
      </w:pPr>
    </w:p>
    <w:p>
      <w:pPr>
        <w:ind w:firstLine="419"/>
        <w:spacing w:after="0" w:line="291" w:lineRule="auto"/>
        <w:tabs>
          <w:tab w:leader="none" w:pos="813" w:val="left"/>
        </w:tabs>
        <w:numPr>
          <w:ilvl w:val="0"/>
          <w:numId w:val="752"/>
        </w:numPr>
        <w:rPr>
          <w:rFonts w:ascii="Arial" w:cs="Arial" w:eastAsia="Arial" w:hAnsi="Arial"/>
          <w:sz w:val="16"/>
          <w:szCs w:val="16"/>
          <w:color w:val="auto"/>
        </w:rPr>
      </w:pPr>
      <w:r>
        <w:rPr>
          <w:rFonts w:ascii="Arial" w:cs="Arial" w:eastAsia="Arial" w:hAnsi="Arial"/>
          <w:sz w:val="16"/>
          <w:szCs w:val="16"/>
          <w:i w:val="1"/>
          <w:iCs w:val="1"/>
          <w:color w:val="auto"/>
        </w:rPr>
        <w:t>D</w:t>
      </w:r>
      <w:r>
        <w:rPr>
          <w:rFonts w:ascii="Arial" w:cs="Arial" w:eastAsia="Arial" w:hAnsi="Arial"/>
          <w:sz w:val="12"/>
          <w:szCs w:val="12"/>
          <w:i w:val="1"/>
          <w:iCs w:val="1"/>
          <w:color w:val="auto"/>
        </w:rPr>
        <w:t>ENOMINATIONS</w:t>
      </w:r>
      <w:r>
        <w:rPr>
          <w:rFonts w:ascii="Arial" w:cs="Arial" w:eastAsia="Arial" w:hAnsi="Arial"/>
          <w:sz w:val="16"/>
          <w:szCs w:val="16"/>
          <w:i w:val="1"/>
          <w:iCs w:val="1"/>
          <w:color w:val="auto"/>
        </w:rPr>
        <w:t>, T</w:t>
      </w:r>
      <w:r>
        <w:rPr>
          <w:rFonts w:ascii="Arial" w:cs="Arial" w:eastAsia="Arial" w:hAnsi="Arial"/>
          <w:sz w:val="12"/>
          <w:szCs w:val="12"/>
          <w:i w:val="1"/>
          <w:iCs w:val="1"/>
          <w:color w:val="auto"/>
        </w:rPr>
        <w:t>RANSFER</w:t>
      </w:r>
      <w:r>
        <w:rPr>
          <w:rFonts w:ascii="Arial" w:cs="Arial" w:eastAsia="Arial" w:hAnsi="Arial"/>
          <w:sz w:val="16"/>
          <w:szCs w:val="16"/>
          <w:i w:val="1"/>
          <w:iCs w:val="1"/>
          <w:color w:val="auto"/>
        </w:rPr>
        <w:t>, E</w:t>
      </w:r>
      <w:r>
        <w:rPr>
          <w:rFonts w:ascii="Arial" w:cs="Arial" w:eastAsia="Arial" w:hAnsi="Arial"/>
          <w:sz w:val="12"/>
          <w:szCs w:val="12"/>
          <w:i w:val="1"/>
          <w:iCs w:val="1"/>
          <w:color w:val="auto"/>
        </w:rPr>
        <w:t>XCHANGE</w:t>
      </w:r>
      <w:r>
        <w:rPr>
          <w:rFonts w:ascii="Arial" w:cs="Arial" w:eastAsia="Arial" w:hAnsi="Arial"/>
          <w:sz w:val="16"/>
          <w:szCs w:val="16"/>
          <w:color w:val="auto"/>
        </w:rPr>
        <w:t>. The Notes are in registered form without coupons in denominations of US$200,000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integral multiples of US$1,000 in excess thereof. The transfer of Notes may be registered and Notes may be exchanged as provided in the Indenture. The Registrar, the Transfer Agent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58" w:lineRule="exact"/>
        <w:rPr>
          <w:rFonts w:ascii="Arial" w:cs="Arial" w:eastAsia="Arial" w:hAnsi="Arial"/>
          <w:sz w:val="16"/>
          <w:szCs w:val="16"/>
          <w:color w:val="auto"/>
        </w:rPr>
      </w:pPr>
    </w:p>
    <w:p>
      <w:pPr>
        <w:ind w:left="900" w:hanging="481"/>
        <w:spacing w:after="0"/>
        <w:tabs>
          <w:tab w:leader="none" w:pos="900" w:val="left"/>
        </w:tabs>
        <w:numPr>
          <w:ilvl w:val="0"/>
          <w:numId w:val="752"/>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4"/>
          <w:szCs w:val="14"/>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WNERS</w:t>
      </w:r>
      <w:r>
        <w:rPr>
          <w:rFonts w:ascii="Arial" w:cs="Arial" w:eastAsia="Arial" w:hAnsi="Arial"/>
          <w:sz w:val="18"/>
          <w:szCs w:val="18"/>
          <w:color w:val="auto"/>
        </w:rPr>
        <w:t>. The registered Holder may be treated as its owner for all purposes.</w:t>
      </w:r>
    </w:p>
    <w:p>
      <w:pPr>
        <w:spacing w:after="0" w:line="117" w:lineRule="exact"/>
        <w:rPr>
          <w:rFonts w:ascii="Arial" w:cs="Arial" w:eastAsia="Arial" w:hAnsi="Arial"/>
          <w:sz w:val="18"/>
          <w:szCs w:val="18"/>
          <w:color w:val="auto"/>
        </w:rPr>
      </w:pPr>
    </w:p>
    <w:p>
      <w:pPr>
        <w:ind w:left="900" w:hanging="481"/>
        <w:spacing w:after="0"/>
        <w:tabs>
          <w:tab w:leader="none" w:pos="900" w:val="left"/>
        </w:tabs>
        <w:numPr>
          <w:ilvl w:val="0"/>
          <w:numId w:val="752"/>
        </w:numPr>
        <w:rPr>
          <w:rFonts w:ascii="Arial" w:cs="Arial" w:eastAsia="Arial" w:hAnsi="Arial"/>
          <w:sz w:val="17"/>
          <w:szCs w:val="17"/>
          <w:color w:val="auto"/>
        </w:rPr>
      </w:pPr>
      <w:r>
        <w:rPr>
          <w:rFonts w:ascii="Arial" w:cs="Arial" w:eastAsia="Arial" w:hAnsi="Arial"/>
          <w:sz w:val="17"/>
          <w:szCs w:val="17"/>
          <w:i w:val="1"/>
          <w:iCs w:val="1"/>
          <w:color w:val="auto"/>
        </w:rPr>
        <w:t>A</w:t>
      </w:r>
      <w:r>
        <w:rPr>
          <w:rFonts w:ascii="Arial" w:cs="Arial" w:eastAsia="Arial" w:hAnsi="Arial"/>
          <w:sz w:val="13"/>
          <w:szCs w:val="13"/>
          <w:i w:val="1"/>
          <w:iCs w:val="1"/>
          <w:color w:val="auto"/>
        </w:rPr>
        <w:t>MENDMENT</w:t>
      </w:r>
      <w:r>
        <w:rPr>
          <w:rFonts w:ascii="Arial" w:cs="Arial" w:eastAsia="Arial" w:hAnsi="Arial"/>
          <w:sz w:val="17"/>
          <w:szCs w:val="17"/>
          <w:i w:val="1"/>
          <w:iCs w:val="1"/>
          <w:color w:val="auto"/>
        </w:rPr>
        <w:t>, S</w:t>
      </w:r>
      <w:r>
        <w:rPr>
          <w:rFonts w:ascii="Arial" w:cs="Arial" w:eastAsia="Arial" w:hAnsi="Arial"/>
          <w:sz w:val="13"/>
          <w:szCs w:val="13"/>
          <w:i w:val="1"/>
          <w:iCs w:val="1"/>
          <w:color w:val="auto"/>
        </w:rPr>
        <w:t>UPPLEMENT AND</w:t>
      </w:r>
      <w:r>
        <w:rPr>
          <w:rFonts w:ascii="Arial" w:cs="Arial" w:eastAsia="Arial" w:hAnsi="Arial"/>
          <w:sz w:val="17"/>
          <w:szCs w:val="17"/>
          <w:i w:val="1"/>
          <w:iCs w:val="1"/>
          <w:color w:val="auto"/>
        </w:rPr>
        <w:t xml:space="preserve"> W</w:t>
      </w:r>
      <w:r>
        <w:rPr>
          <w:rFonts w:ascii="Arial" w:cs="Arial" w:eastAsia="Arial" w:hAnsi="Arial"/>
          <w:sz w:val="13"/>
          <w:szCs w:val="13"/>
          <w:i w:val="1"/>
          <w:iCs w:val="1"/>
          <w:color w:val="auto"/>
        </w:rPr>
        <w:t>AIVER</w:t>
      </w:r>
      <w:r>
        <w:rPr>
          <w:rFonts w:ascii="Arial" w:cs="Arial" w:eastAsia="Arial" w:hAnsi="Arial"/>
          <w:sz w:val="17"/>
          <w:szCs w:val="17"/>
          <w:color w:val="auto"/>
        </w:rPr>
        <w:t>. The Indenture, the Notes or the Note Guarantees may be amended as set forth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102" w:lineRule="exact"/>
        <w:rPr>
          <w:rFonts w:ascii="Arial" w:cs="Arial" w:eastAsia="Arial" w:hAnsi="Arial"/>
          <w:sz w:val="17"/>
          <w:szCs w:val="17"/>
          <w:color w:val="auto"/>
        </w:rPr>
      </w:pPr>
    </w:p>
    <w:p>
      <w:pPr>
        <w:ind w:left="900" w:hanging="481"/>
        <w:spacing w:after="0"/>
        <w:tabs>
          <w:tab w:leader="none" w:pos="900" w:val="left"/>
        </w:tabs>
        <w:numPr>
          <w:ilvl w:val="0"/>
          <w:numId w:val="752"/>
        </w:numPr>
        <w:rPr>
          <w:rFonts w:ascii="Arial" w:cs="Arial" w:eastAsia="Arial" w:hAnsi="Arial"/>
          <w:sz w:val="17"/>
          <w:szCs w:val="17"/>
          <w:color w:val="auto"/>
        </w:rPr>
      </w:pPr>
      <w:r>
        <w:rPr>
          <w:rFonts w:ascii="Arial" w:cs="Arial" w:eastAsia="Arial" w:hAnsi="Arial"/>
          <w:sz w:val="17"/>
          <w:szCs w:val="17"/>
          <w:i w:val="1"/>
          <w:iCs w:val="1"/>
          <w:color w:val="auto"/>
        </w:rPr>
        <w:t>D</w:t>
      </w:r>
      <w:r>
        <w:rPr>
          <w:rFonts w:ascii="Arial" w:cs="Arial" w:eastAsia="Arial" w:hAnsi="Arial"/>
          <w:sz w:val="13"/>
          <w:szCs w:val="13"/>
          <w:i w:val="1"/>
          <w:iCs w:val="1"/>
          <w:color w:val="auto"/>
        </w:rPr>
        <w:t>EFAULTS AND</w:t>
      </w:r>
      <w:r>
        <w:rPr>
          <w:rFonts w:ascii="Arial" w:cs="Arial" w:eastAsia="Arial" w:hAnsi="Arial"/>
          <w:sz w:val="17"/>
          <w:szCs w:val="17"/>
          <w:i w:val="1"/>
          <w:iCs w:val="1"/>
          <w:color w:val="auto"/>
        </w:rPr>
        <w:t xml:space="preserve"> R</w:t>
      </w:r>
      <w:r>
        <w:rPr>
          <w:rFonts w:ascii="Arial" w:cs="Arial" w:eastAsia="Arial" w:hAnsi="Arial"/>
          <w:sz w:val="13"/>
          <w:szCs w:val="13"/>
          <w:i w:val="1"/>
          <w:iCs w:val="1"/>
          <w:color w:val="auto"/>
        </w:rPr>
        <w:t>EMEDIES</w:t>
      </w:r>
      <w:r>
        <w:rPr>
          <w:rFonts w:ascii="Arial" w:cs="Arial" w:eastAsia="Arial" w:hAnsi="Arial"/>
          <w:sz w:val="17"/>
          <w:szCs w:val="17"/>
          <w:color w:val="auto"/>
        </w:rPr>
        <w:t>. The events listed in Section 6.01 of the Indenture shall constitute “</w:t>
      </w:r>
      <w:r>
        <w:rPr>
          <w:rFonts w:ascii="Arial" w:cs="Arial" w:eastAsia="Arial" w:hAnsi="Arial"/>
          <w:sz w:val="17"/>
          <w:szCs w:val="17"/>
          <w:i w:val="1"/>
          <w:iCs w:val="1"/>
          <w:color w:val="auto"/>
        </w:rPr>
        <w:t>Events of Default</w:t>
      </w:r>
      <w:r>
        <w:rPr>
          <w:rFonts w:ascii="Arial" w:cs="Arial" w:eastAsia="Arial" w:hAnsi="Arial"/>
          <w:sz w:val="17"/>
          <w:szCs w:val="17"/>
          <w:color w:val="auto"/>
        </w:rPr>
        <w:t>” for the purpose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this Note.</w:t>
      </w:r>
    </w:p>
    <w:p>
      <w:pPr>
        <w:spacing w:after="0" w:line="102" w:lineRule="exact"/>
        <w:rPr>
          <w:rFonts w:ascii="Arial" w:cs="Arial" w:eastAsia="Arial" w:hAnsi="Arial"/>
          <w:sz w:val="17"/>
          <w:szCs w:val="17"/>
          <w:color w:val="auto"/>
        </w:rPr>
      </w:pPr>
    </w:p>
    <w:p>
      <w:pPr>
        <w:ind w:firstLine="419"/>
        <w:spacing w:after="0" w:line="342" w:lineRule="auto"/>
        <w:tabs>
          <w:tab w:leader="none" w:pos="903" w:val="left"/>
        </w:tabs>
        <w:numPr>
          <w:ilvl w:val="0"/>
          <w:numId w:val="752"/>
        </w:numPr>
        <w:rPr>
          <w:rFonts w:ascii="Arial" w:cs="Arial" w:eastAsia="Arial" w:hAnsi="Arial"/>
          <w:sz w:val="16"/>
          <w:szCs w:val="16"/>
          <w:color w:val="auto"/>
        </w:rPr>
      </w:pPr>
      <w:r>
        <w:rPr>
          <w:rFonts w:ascii="Arial" w:cs="Arial" w:eastAsia="Arial" w:hAnsi="Arial"/>
          <w:sz w:val="16"/>
          <w:szCs w:val="16"/>
          <w:i w:val="1"/>
          <w:iCs w:val="1"/>
          <w:color w:val="auto"/>
        </w:rPr>
        <w:t>T</w:t>
      </w:r>
      <w:r>
        <w:rPr>
          <w:rFonts w:ascii="Arial" w:cs="Arial" w:eastAsia="Arial" w:hAnsi="Arial"/>
          <w:sz w:val="12"/>
          <w:szCs w:val="12"/>
          <w:i w:val="1"/>
          <w:iCs w:val="1"/>
          <w:color w:val="auto"/>
        </w:rPr>
        <w:t>RUSTEE</w:t>
      </w:r>
      <w:r>
        <w:rPr>
          <w:rFonts w:ascii="Arial" w:cs="Arial" w:eastAsia="Arial" w:hAnsi="Arial"/>
          <w:sz w:val="16"/>
          <w:szCs w:val="16"/>
          <w:i w:val="1"/>
          <w:iCs w:val="1"/>
          <w:color w:val="auto"/>
        </w:rPr>
        <w:t xml:space="preserve"> D</w:t>
      </w:r>
      <w:r>
        <w:rPr>
          <w:rFonts w:ascii="Arial" w:cs="Arial" w:eastAsia="Arial" w:hAnsi="Arial"/>
          <w:sz w:val="12"/>
          <w:szCs w:val="12"/>
          <w:i w:val="1"/>
          <w:iCs w:val="1"/>
          <w:color w:val="auto"/>
        </w:rPr>
        <w:t>EALINGS WITH</w:t>
      </w:r>
      <w:r>
        <w:rPr>
          <w:rFonts w:ascii="Arial" w:cs="Arial" w:eastAsia="Arial" w:hAnsi="Arial"/>
          <w:sz w:val="16"/>
          <w:szCs w:val="16"/>
          <w:i w:val="1"/>
          <w:iCs w:val="1"/>
          <w:color w:val="auto"/>
        </w:rPr>
        <w:t xml:space="preserve"> C</w:t>
      </w:r>
      <w:r>
        <w:rPr>
          <w:rFonts w:ascii="Arial" w:cs="Arial" w:eastAsia="Arial" w:hAnsi="Arial"/>
          <w:sz w:val="12"/>
          <w:szCs w:val="12"/>
          <w:i w:val="1"/>
          <w:iCs w:val="1"/>
          <w:color w:val="auto"/>
        </w:rPr>
        <w:t>OMPANY</w:t>
      </w:r>
      <w:r>
        <w:rPr>
          <w:rFonts w:ascii="Arial" w:cs="Arial" w:eastAsia="Arial" w:hAnsi="Arial"/>
          <w:sz w:val="16"/>
          <w:szCs w:val="16"/>
          <w:color w:val="auto"/>
        </w:rPr>
        <w:t>. The Trustee, in its individual or any other capacity, may make loans to, accept deposits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services for the Company or its Affiliates, and may otherwise deal with the Company or its Affiliates, as if it were not the Trustee.</w:t>
      </w:r>
    </w:p>
    <w:p>
      <w:pPr>
        <w:spacing w:after="0" w:line="15" w:lineRule="exact"/>
        <w:rPr>
          <w:rFonts w:ascii="Arial" w:cs="Arial" w:eastAsia="Arial" w:hAnsi="Arial"/>
          <w:sz w:val="16"/>
          <w:szCs w:val="16"/>
          <w:color w:val="auto"/>
        </w:rPr>
      </w:pPr>
    </w:p>
    <w:p>
      <w:pPr>
        <w:jc w:val="both"/>
        <w:ind w:right="260" w:firstLine="419"/>
        <w:spacing w:after="0" w:line="259" w:lineRule="auto"/>
        <w:tabs>
          <w:tab w:leader="none" w:pos="903" w:val="left"/>
        </w:tabs>
        <w:numPr>
          <w:ilvl w:val="0"/>
          <w:numId w:val="752"/>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THERS</w:t>
      </w:r>
      <w:r>
        <w:rPr>
          <w:rFonts w:ascii="Arial" w:cs="Arial" w:eastAsia="Arial" w:hAnsi="Arial"/>
          <w:sz w:val="18"/>
          <w:szCs w:val="18"/>
          <w:color w:val="auto"/>
        </w:rPr>
        <w:t>. A director, officer, employee, incorporator or stockholder of the Company, as such, will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78" w:lineRule="exact"/>
        <w:rPr>
          <w:rFonts w:ascii="Arial" w:cs="Arial" w:eastAsia="Arial" w:hAnsi="Arial"/>
          <w:sz w:val="18"/>
          <w:szCs w:val="18"/>
          <w:color w:val="auto"/>
        </w:rPr>
      </w:pPr>
    </w:p>
    <w:p>
      <w:pPr>
        <w:ind w:right="820" w:firstLine="419"/>
        <w:spacing w:after="0" w:line="277" w:lineRule="auto"/>
        <w:tabs>
          <w:tab w:leader="none" w:pos="903" w:val="left"/>
        </w:tabs>
        <w:numPr>
          <w:ilvl w:val="0"/>
          <w:numId w:val="752"/>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UTHENTICATION</w:t>
      </w:r>
      <w:r>
        <w:rPr>
          <w:rFonts w:ascii="Arial" w:cs="Arial" w:eastAsia="Arial" w:hAnsi="Arial"/>
          <w:sz w:val="18"/>
          <w:szCs w:val="18"/>
          <w:color w:val="auto"/>
        </w:rPr>
        <w:t>. This Note will not be valid until authenticated by the manual or electronic signature of the Trustee or an</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authenticating agent.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560"/>
          </w:cols>
          <w:pgMar w:left="880" w:top="273" w:right="459" w:bottom="1440" w:gutter="0" w:footer="0" w:header="0"/>
        </w:sectPr>
      </w:pPr>
    </w:p>
    <w:bookmarkStart w:id="582" w:name="page583"/>
    <w:bookmarkEnd w:id="582"/>
    <w:p>
      <w:pPr>
        <w:ind w:left="440" w:right="260" w:firstLine="419"/>
        <w:spacing w:after="0" w:line="263" w:lineRule="auto"/>
        <w:tabs>
          <w:tab w:leader="none" w:pos="1343" w:val="left"/>
        </w:tabs>
        <w:numPr>
          <w:ilvl w:val="0"/>
          <w:numId w:val="75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i w:val="1"/>
          <w:iCs w:val="1"/>
          <w:color w:val="auto"/>
        </w:rPr>
        <w:t>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75" w:lineRule="exact"/>
        <w:rPr>
          <w:rFonts w:ascii="Arial" w:cs="Arial" w:eastAsia="Arial" w:hAnsi="Arial"/>
          <w:sz w:val="18"/>
          <w:szCs w:val="18"/>
          <w:color w:val="auto"/>
        </w:rPr>
      </w:pPr>
    </w:p>
    <w:p>
      <w:pPr>
        <w:ind w:left="440" w:firstLine="419"/>
        <w:spacing w:after="0" w:line="279" w:lineRule="auto"/>
        <w:tabs>
          <w:tab w:leader="none" w:pos="1343" w:val="left"/>
        </w:tabs>
        <w:numPr>
          <w:ilvl w:val="0"/>
          <w:numId w:val="753"/>
        </w:numPr>
        <w:rPr>
          <w:rFonts w:ascii="Arial" w:cs="Arial" w:eastAsia="Arial" w:hAnsi="Arial"/>
          <w:sz w:val="17"/>
          <w:szCs w:val="17"/>
          <w:color w:val="auto"/>
        </w:rPr>
      </w:pPr>
      <w:r>
        <w:rPr>
          <w:rFonts w:ascii="Arial" w:cs="Arial" w:eastAsia="Arial" w:hAnsi="Arial"/>
          <w:sz w:val="17"/>
          <w:szCs w:val="17"/>
          <w:i w:val="1"/>
          <w:iCs w:val="1"/>
          <w:color w:val="auto"/>
        </w:rPr>
        <w:t>CUSIP N</w:t>
      </w:r>
      <w:r>
        <w:rPr>
          <w:rFonts w:ascii="Arial" w:cs="Arial" w:eastAsia="Arial" w:hAnsi="Arial"/>
          <w:sz w:val="13"/>
          <w:szCs w:val="13"/>
          <w:i w:val="1"/>
          <w:iCs w:val="1"/>
          <w:color w:val="auto"/>
        </w:rPr>
        <w:t>UMBERS</w:t>
      </w:r>
      <w:r>
        <w:rPr>
          <w:rFonts w:ascii="Arial" w:cs="Arial" w:eastAsia="Arial" w:hAnsi="Arial"/>
          <w:sz w:val="17"/>
          <w:szCs w:val="17"/>
          <w:color w:val="auto"/>
        </w:rPr>
        <w:t>. Pursuant to a recommendation promulgated by the Committee on Uniform Security Identification Procedures,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63" w:lineRule="exact"/>
        <w:rPr>
          <w:rFonts w:ascii="Arial" w:cs="Arial" w:eastAsia="Arial" w:hAnsi="Arial"/>
          <w:sz w:val="17"/>
          <w:szCs w:val="17"/>
          <w:color w:val="auto"/>
        </w:rPr>
      </w:pPr>
    </w:p>
    <w:p>
      <w:pPr>
        <w:ind w:left="440" w:right="520" w:firstLine="419"/>
        <w:spacing w:after="0" w:line="286" w:lineRule="auto"/>
        <w:tabs>
          <w:tab w:leader="none" w:pos="1343" w:val="left"/>
        </w:tabs>
        <w:numPr>
          <w:ilvl w:val="0"/>
          <w:numId w:val="753"/>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THE LAWS OF THE STATE OF NEW YORK WILL GOVERN AND BE USED TO CONSTRUE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AND THIS NOTE WITHOUT GIVING EFFECT TO APPLICABLE PRINCIPLES OF CONFLICTS OF LAW TO THE EXTENT THAT THE APPLICATION OF THE LAWS OF ANOTHER JURISDICTION WOULD BE REQUIRED THEREBY.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will furnish to any Holder upon written request and without charge a copy of the Indenture. Requests may be made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Studio City Finance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Jayla Place, 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u w:val="single" w:color="auto"/>
          <w:color w:val="auto"/>
        </w:rPr>
        <w:t>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Studio City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40"/>
          </w:cols>
          <w:pgMar w:left="440" w:top="273" w:right="519" w:bottom="1440" w:gutter="0" w:footer="0" w:header="0"/>
        </w:sectPr>
      </w:pPr>
    </w:p>
    <w:bookmarkStart w:id="583" w:name="page584"/>
    <w:bookmarkEnd w:id="58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color w:val="auto"/>
        </w:rPr>
        <w:t>SSIGNMENT</w:t>
      </w:r>
      <w:r>
        <w:rPr>
          <w:rFonts w:ascii="Arial" w:cs="Arial" w:eastAsia="Arial" w:hAnsi="Arial"/>
          <w:sz w:val="18"/>
          <w:szCs w:val="18"/>
          <w:color w:val="auto"/>
        </w:rPr>
        <w:t xml:space="preserve"> F</w:t>
      </w:r>
      <w:r>
        <w:rPr>
          <w:rFonts w:ascii="Arial" w:cs="Arial" w:eastAsia="Arial" w:hAnsi="Arial"/>
          <w:sz w:val="14"/>
          <w:szCs w:val="14"/>
          <w:color w:val="auto"/>
        </w:rPr>
        <w:t>ORM</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assign this Note, fill in the form below:</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14605</wp:posOffset>
            </wp:positionV>
            <wp:extent cx="498030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05">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16"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0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306070</wp:posOffset>
            </wp:positionV>
            <wp:extent cx="699516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0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460375</wp:posOffset>
            </wp:positionV>
            <wp:extent cx="699516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0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614680</wp:posOffset>
            </wp:positionV>
            <wp:extent cx="699516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14605</wp:posOffset>
            </wp:positionV>
            <wp:extent cx="584644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1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-10160</wp:posOffset>
            </wp:positionV>
            <wp:extent cx="57150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4963160</wp:posOffset>
            </wp:positionH>
            <wp:positionV relativeFrom="paragraph">
              <wp:posOffset>14605</wp:posOffset>
            </wp:positionV>
            <wp:extent cx="203136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13">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-10160</wp:posOffset>
            </wp:positionV>
            <wp:extent cx="139954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14">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32" w:lineRule="exact"/>
        <w:rPr>
          <w:sz w:val="20"/>
          <w:szCs w:val="20"/>
          <w:color w:val="auto"/>
        </w:rPr>
      </w:pPr>
    </w:p>
    <w:p>
      <w:pPr>
        <w:ind w:left="5364" w:right="1720" w:hanging="5364"/>
        <w:spacing w:after="0" w:line="449" w:lineRule="auto"/>
        <w:tabs>
          <w:tab w:leader="none" w:pos="212" w:val="left"/>
        </w:tabs>
        <w:numPr>
          <w:ilvl w:val="0"/>
          <w:numId w:val="754"/>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ectPr>
          <w:pgSz w:w="11900" w:h="16838" w:orient="portrait"/>
          <w:cols w:equalWidth="0" w:num="1">
            <w:col w:w="10864"/>
          </w:cols>
          <w:pgMar w:left="436" w:top="273" w:right="599" w:bottom="1440" w:gutter="0" w:footer="0" w:header="0"/>
        </w:sectPr>
      </w:pPr>
    </w:p>
    <w:bookmarkStart w:id="584" w:name="page585"/>
    <w:bookmarkEnd w:id="584"/>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Arial" w:cs="Arial" w:eastAsia="Arial" w:hAnsi="Arial"/>
          <w:sz w:val="14"/>
          <w:szCs w:val="14"/>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4"/>
          <w:szCs w:val="14"/>
          <w:i w:val="1"/>
          <w:iCs w:val="1"/>
          <w:color w:val="auto"/>
        </w:rPr>
        <w:t>OLDER TO</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LECT</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If you want to elect to have this Note purchased by the Company pursuant to Section 4.10, Section 4.15 or Section 4.21 of the Indenture, check the appropriate box below:</w:t>
      </w:r>
    </w:p>
    <w:p>
      <w:pPr>
        <w:spacing w:after="0" w:line="165" w:lineRule="exact"/>
        <w:rPr>
          <w:sz w:val="20"/>
          <w:szCs w:val="20"/>
          <w:color w:val="auto"/>
        </w:rPr>
      </w:pPr>
    </w:p>
    <w:p>
      <w:pPr>
        <w:ind w:left="444"/>
        <w:spacing w:after="0" w:line="207" w:lineRule="exact"/>
        <w:tabs>
          <w:tab w:leader="none" w:pos="4184" w:val="left"/>
          <w:tab w:leader="none" w:pos="750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4.10</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Section 4.15</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Section 4.21</w:t>
      </w:r>
    </w:p>
    <w:p>
      <w:pPr>
        <w:spacing w:after="0" w:line="25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If you want to elect to have only part of the Note purchased by the Company pursuant to Section 4.10, Section 4.15 or Section 4.21 of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Indenture, state the amount you elect to have purchased:</w:t>
      </w:r>
    </w:p>
    <w:p>
      <w:pPr>
        <w:spacing w:after="0" w:line="211"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-10160</wp:posOffset>
            </wp:positionV>
            <wp:extent cx="57150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1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-10160</wp:posOffset>
            </wp:positionV>
            <wp:extent cx="5715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1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14605</wp:posOffset>
            </wp:positionV>
            <wp:extent cx="192024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1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Note)</w:t>
      </w:r>
    </w:p>
    <w:p>
      <w:pPr>
        <w:spacing w:after="0" w:line="10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14605</wp:posOffset>
            </wp:positionV>
            <wp:extent cx="156019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19">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-10160</wp:posOffset>
            </wp:positionV>
            <wp:extent cx="139954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20">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spacing w:after="0" w:line="232" w:lineRule="exact"/>
        <w:rPr>
          <w:sz w:val="20"/>
          <w:szCs w:val="20"/>
          <w:color w:val="auto"/>
        </w:rPr>
      </w:pPr>
    </w:p>
    <w:p>
      <w:pPr>
        <w:ind w:left="5364" w:right="1860" w:hanging="5364"/>
        <w:spacing w:after="0" w:line="449" w:lineRule="auto"/>
        <w:tabs>
          <w:tab w:leader="none" w:pos="212" w:val="left"/>
        </w:tabs>
        <w:numPr>
          <w:ilvl w:val="0"/>
          <w:numId w:val="755"/>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1004"/>
          </w:cols>
          <w:pgMar w:left="436" w:top="273" w:right="459" w:bottom="1440" w:gutter="0" w:footer="0" w:header="0"/>
        </w:sectPr>
      </w:pPr>
    </w:p>
    <w:bookmarkStart w:id="585" w:name="page586"/>
    <w:bookmarkEnd w:id="585"/>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8"/>
          <w:szCs w:val="18"/>
          <w:color w:val="auto"/>
        </w:rPr>
        <w:t xml:space="preserve"> E</w:t>
      </w:r>
      <w:r>
        <w:rPr>
          <w:rFonts w:ascii="Arial" w:cs="Arial" w:eastAsia="Arial" w:hAnsi="Arial"/>
          <w:sz w:val="14"/>
          <w:szCs w:val="14"/>
          <w:color w:val="auto"/>
        </w:rPr>
        <w:t>XCHANGES OF</w:t>
      </w:r>
      <w:r>
        <w:rPr>
          <w:rFonts w:ascii="Arial" w:cs="Arial" w:eastAsia="Arial" w:hAnsi="Arial"/>
          <w:sz w:val="18"/>
          <w:szCs w:val="18"/>
          <w:color w:val="auto"/>
        </w:rPr>
        <w:t xml:space="preserve"> I</w:t>
      </w:r>
      <w:r>
        <w:rPr>
          <w:rFonts w:ascii="Arial" w:cs="Arial" w:eastAsia="Arial" w:hAnsi="Arial"/>
          <w:sz w:val="14"/>
          <w:szCs w:val="14"/>
          <w:color w:val="auto"/>
        </w:rPr>
        <w:t>NTERESTS IN THE</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N</w:t>
      </w:r>
      <w:r>
        <w:rPr>
          <w:rFonts w:ascii="Arial" w:cs="Arial" w:eastAsia="Arial" w:hAnsi="Arial"/>
          <w:sz w:val="14"/>
          <w:szCs w:val="14"/>
          <w:color w:val="auto"/>
        </w:rPr>
        <w:t>OTE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2"/>
          </w:tcPr>
          <w:p>
            <w:pPr>
              <w:jc w:val="center"/>
              <w:ind w:right="1100"/>
              <w:spacing w:after="0"/>
              <w:rPr>
                <w:sz w:val="20"/>
                <w:szCs w:val="20"/>
                <w:color w:val="auto"/>
              </w:rPr>
            </w:pPr>
            <w:r>
              <w:rPr>
                <w:rFonts w:ascii="Arial" w:cs="Arial" w:eastAsia="Arial" w:hAnsi="Arial"/>
                <w:sz w:val="14"/>
                <w:szCs w:val="14"/>
                <w:color w:val="auto"/>
                <w:w w:val="97"/>
              </w:rPr>
              <w:t>Amount of</w:t>
            </w:r>
          </w:p>
        </w:tc>
        <w:tc>
          <w:tcPr>
            <w:tcW w:w="2160" w:type="dxa"/>
            <w:vAlign w:val="bottom"/>
            <w:gridSpan w:val="2"/>
          </w:tcPr>
          <w:p>
            <w:pPr>
              <w:jc w:val="center"/>
              <w:ind w:right="1120"/>
              <w:spacing w:after="0"/>
              <w:rPr>
                <w:sz w:val="20"/>
                <w:szCs w:val="20"/>
                <w:color w:val="auto"/>
              </w:rPr>
            </w:pPr>
            <w:r>
              <w:rPr>
                <w:rFonts w:ascii="Arial" w:cs="Arial" w:eastAsia="Arial" w:hAnsi="Arial"/>
                <w:sz w:val="14"/>
                <w:szCs w:val="14"/>
                <w:color w:val="auto"/>
              </w:rPr>
              <w:t>Amount of</w:t>
            </w:r>
          </w:p>
        </w:tc>
        <w:tc>
          <w:tcPr>
            <w:tcW w:w="2140" w:type="dxa"/>
            <w:vAlign w:val="bottom"/>
            <w:gridSpan w:val="2"/>
          </w:tcPr>
          <w:p>
            <w:pPr>
              <w:jc w:val="center"/>
              <w:ind w:right="1120"/>
              <w:spacing w:after="0"/>
              <w:rPr>
                <w:sz w:val="20"/>
                <w:szCs w:val="20"/>
                <w:color w:val="auto"/>
              </w:rPr>
            </w:pPr>
            <w:r>
              <w:rPr>
                <w:rFonts w:ascii="Arial" w:cs="Arial" w:eastAsia="Arial" w:hAnsi="Arial"/>
                <w:sz w:val="14"/>
                <w:szCs w:val="14"/>
                <w:color w:val="auto"/>
                <w:w w:val="96"/>
              </w:rPr>
              <w:t>Principal Amount</w:t>
            </w:r>
          </w:p>
        </w:tc>
        <w:tc>
          <w:tcPr>
            <w:tcW w:w="106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Signature of</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12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88"/>
              </w:rPr>
              <w:t>decrease in</w:t>
            </w:r>
          </w:p>
        </w:tc>
        <w:tc>
          <w:tcPr>
            <w:tcW w:w="216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88"/>
              </w:rPr>
              <w:t>increase in</w:t>
            </w:r>
          </w:p>
        </w:tc>
        <w:tc>
          <w:tcPr>
            <w:tcW w:w="214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95"/>
              </w:rPr>
              <w:t>of this Global</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authorized officer</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jc w:val="center"/>
              <w:ind w:right="1060"/>
              <w:spacing w:after="0"/>
              <w:rPr>
                <w:sz w:val="20"/>
                <w:szCs w:val="20"/>
                <w:color w:val="auto"/>
              </w:rPr>
            </w:pPr>
            <w:r>
              <w:rPr>
                <w:rFonts w:ascii="Arial" w:cs="Arial" w:eastAsia="Arial" w:hAnsi="Arial"/>
                <w:sz w:val="14"/>
                <w:szCs w:val="14"/>
                <w:color w:val="auto"/>
                <w:w w:val="92"/>
              </w:rPr>
              <w:t>Date of</w:t>
            </w:r>
          </w:p>
        </w:tc>
        <w:tc>
          <w:tcPr>
            <w:tcW w:w="212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96"/>
              </w:rPr>
              <w:t>Principal Amount</w:t>
            </w:r>
          </w:p>
        </w:tc>
        <w:tc>
          <w:tcPr>
            <w:tcW w:w="216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94"/>
              </w:rPr>
              <w:t>Principal Amount</w:t>
            </w:r>
          </w:p>
        </w:tc>
        <w:tc>
          <w:tcPr>
            <w:tcW w:w="2140" w:type="dxa"/>
            <w:vAlign w:val="bottom"/>
            <w:gridSpan w:val="2"/>
          </w:tcPr>
          <w:p>
            <w:pPr>
              <w:jc w:val="center"/>
              <w:ind w:right="1140"/>
              <w:spacing w:after="0" w:line="149" w:lineRule="exact"/>
              <w:rPr>
                <w:sz w:val="20"/>
                <w:szCs w:val="20"/>
                <w:color w:val="auto"/>
              </w:rPr>
            </w:pPr>
            <w:r>
              <w:rPr>
                <w:rFonts w:ascii="Arial" w:cs="Arial" w:eastAsia="Arial" w:hAnsi="Arial"/>
                <w:sz w:val="14"/>
                <w:szCs w:val="14"/>
                <w:color w:val="auto"/>
              </w:rPr>
              <w:t>Note following</w:t>
            </w: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40"/>
        </w:trPr>
        <w:tc>
          <w:tcPr>
            <w:tcW w:w="2640" w:type="dxa"/>
            <w:vAlign w:val="bottom"/>
            <w:gridSpan w:val="2"/>
            <w:vMerge w:val="continue"/>
          </w:tcPr>
          <w:p>
            <w:pPr>
              <w:spacing w:after="0"/>
              <w:rPr>
                <w:sz w:val="12"/>
                <w:szCs w:val="12"/>
                <w:color w:val="auto"/>
              </w:rPr>
            </w:pPr>
          </w:p>
        </w:tc>
        <w:tc>
          <w:tcPr>
            <w:tcW w:w="2120" w:type="dxa"/>
            <w:vAlign w:val="bottom"/>
            <w:gridSpan w:val="2"/>
          </w:tcPr>
          <w:p>
            <w:pPr>
              <w:jc w:val="center"/>
              <w:ind w:right="1120"/>
              <w:spacing w:after="0" w:line="141" w:lineRule="exact"/>
              <w:rPr>
                <w:sz w:val="20"/>
                <w:szCs w:val="20"/>
                <w:color w:val="auto"/>
              </w:rPr>
            </w:pPr>
            <w:r>
              <w:rPr>
                <w:rFonts w:ascii="Arial" w:cs="Arial" w:eastAsia="Arial" w:hAnsi="Arial"/>
                <w:sz w:val="14"/>
                <w:szCs w:val="14"/>
                <w:color w:val="auto"/>
              </w:rPr>
              <w:t>of</w:t>
            </w:r>
          </w:p>
        </w:tc>
        <w:tc>
          <w:tcPr>
            <w:tcW w:w="2160" w:type="dxa"/>
            <w:vAlign w:val="bottom"/>
            <w:gridSpan w:val="2"/>
          </w:tcPr>
          <w:p>
            <w:pPr>
              <w:jc w:val="center"/>
              <w:ind w:right="1120"/>
              <w:spacing w:after="0" w:line="141" w:lineRule="exact"/>
              <w:rPr>
                <w:sz w:val="20"/>
                <w:szCs w:val="20"/>
                <w:color w:val="auto"/>
              </w:rPr>
            </w:pPr>
            <w:r>
              <w:rPr>
                <w:rFonts w:ascii="Arial" w:cs="Arial" w:eastAsia="Arial" w:hAnsi="Arial"/>
                <w:sz w:val="14"/>
                <w:szCs w:val="14"/>
                <w:color w:val="auto"/>
              </w:rPr>
              <w:t>of</w:t>
            </w:r>
          </w:p>
        </w:tc>
        <w:tc>
          <w:tcPr>
            <w:tcW w:w="2140" w:type="dxa"/>
            <w:vAlign w:val="bottom"/>
            <w:gridSpan w:val="2"/>
          </w:tcPr>
          <w:p>
            <w:pPr>
              <w:jc w:val="center"/>
              <w:ind w:right="1140"/>
              <w:spacing w:after="0" w:line="141" w:lineRule="exact"/>
              <w:rPr>
                <w:sz w:val="20"/>
                <w:szCs w:val="20"/>
                <w:color w:val="auto"/>
              </w:rPr>
            </w:pPr>
            <w:r>
              <w:rPr>
                <w:rFonts w:ascii="Arial" w:cs="Arial" w:eastAsia="Arial" w:hAnsi="Arial"/>
                <w:sz w:val="14"/>
                <w:szCs w:val="14"/>
                <w:color w:val="auto"/>
                <w:w w:val="87"/>
              </w:rPr>
              <w:t>such decrease</w:t>
            </w:r>
          </w:p>
        </w:tc>
        <w:tc>
          <w:tcPr>
            <w:tcW w:w="1060" w:type="dxa"/>
            <w:vAlign w:val="bottom"/>
            <w:gridSpan w:val="2"/>
          </w:tcPr>
          <w:p>
            <w:pPr>
              <w:jc w:val="center"/>
              <w:ind w:right="40"/>
              <w:spacing w:after="0" w:line="141" w:lineRule="exact"/>
              <w:rPr>
                <w:sz w:val="20"/>
                <w:szCs w:val="20"/>
                <w:color w:val="auto"/>
              </w:rPr>
            </w:pPr>
            <w:r>
              <w:rPr>
                <w:rFonts w:ascii="Arial" w:cs="Arial" w:eastAsia="Arial" w:hAnsi="Arial"/>
                <w:sz w:val="14"/>
                <w:szCs w:val="14"/>
                <w:color w:val="auto"/>
                <w:w w:val="90"/>
              </w:rPr>
              <w:t>Trustee or</w:t>
            </w:r>
          </w:p>
        </w:tc>
        <w:tc>
          <w:tcPr>
            <w:tcW w:w="0" w:type="dxa"/>
            <w:vAlign w:val="bottom"/>
          </w:tcPr>
          <w:p>
            <w:pPr>
              <w:spacing w:after="0"/>
              <w:rPr>
                <w:sz w:val="1"/>
                <w:szCs w:val="1"/>
                <w:color w:val="auto"/>
              </w:rPr>
            </w:pPr>
          </w:p>
        </w:tc>
      </w:tr>
      <w:tr>
        <w:trPr>
          <w:trHeight w:val="175"/>
        </w:trPr>
        <w:tc>
          <w:tcPr>
            <w:tcW w:w="2640" w:type="dxa"/>
            <w:vAlign w:val="bottom"/>
            <w:gridSpan w:val="2"/>
          </w:tcPr>
          <w:p>
            <w:pPr>
              <w:jc w:val="center"/>
              <w:ind w:right="1080"/>
              <w:spacing w:after="0"/>
              <w:rPr>
                <w:sz w:val="20"/>
                <w:szCs w:val="20"/>
                <w:color w:val="auto"/>
              </w:rPr>
            </w:pPr>
            <w:r>
              <w:rPr>
                <w:rFonts w:ascii="Arial" w:cs="Arial" w:eastAsia="Arial" w:hAnsi="Arial"/>
                <w:sz w:val="14"/>
                <w:szCs w:val="14"/>
                <w:color w:val="auto"/>
                <w:w w:val="89"/>
              </w:rPr>
              <w:t>Exchange</w:t>
            </w:r>
          </w:p>
        </w:tc>
        <w:tc>
          <w:tcPr>
            <w:tcW w:w="2120" w:type="dxa"/>
            <w:vAlign w:val="bottom"/>
            <w:gridSpan w:val="2"/>
          </w:tcPr>
          <w:p>
            <w:pPr>
              <w:jc w:val="center"/>
              <w:ind w:right="1100"/>
              <w:spacing w:after="0"/>
              <w:rPr>
                <w:sz w:val="20"/>
                <w:szCs w:val="20"/>
                <w:color w:val="auto"/>
              </w:rPr>
            </w:pPr>
            <w:r>
              <w:rPr>
                <w:rFonts w:ascii="Arial" w:cs="Arial" w:eastAsia="Arial" w:hAnsi="Arial"/>
                <w:sz w:val="14"/>
                <w:szCs w:val="14"/>
                <w:color w:val="auto"/>
                <w:w w:val="94"/>
              </w:rPr>
              <w:t>this Global Note</w:t>
            </w:r>
          </w:p>
        </w:tc>
        <w:tc>
          <w:tcPr>
            <w:tcW w:w="2160" w:type="dxa"/>
            <w:vAlign w:val="bottom"/>
            <w:gridSpan w:val="2"/>
          </w:tcPr>
          <w:p>
            <w:pPr>
              <w:jc w:val="center"/>
              <w:ind w:right="1120"/>
              <w:spacing w:after="0"/>
              <w:rPr>
                <w:sz w:val="20"/>
                <w:szCs w:val="20"/>
                <w:color w:val="auto"/>
              </w:rPr>
            </w:pPr>
            <w:r>
              <w:rPr>
                <w:rFonts w:ascii="Arial" w:cs="Arial" w:eastAsia="Arial" w:hAnsi="Arial"/>
                <w:sz w:val="14"/>
                <w:szCs w:val="14"/>
                <w:color w:val="auto"/>
                <w:w w:val="96"/>
              </w:rPr>
              <w:t>this Global Note</w:t>
            </w:r>
          </w:p>
        </w:tc>
        <w:tc>
          <w:tcPr>
            <w:tcW w:w="2140" w:type="dxa"/>
            <w:vAlign w:val="bottom"/>
            <w:gridSpan w:val="2"/>
          </w:tcPr>
          <w:p>
            <w:pPr>
              <w:jc w:val="center"/>
              <w:ind w:right="1140"/>
              <w:spacing w:after="0"/>
              <w:rPr>
                <w:sz w:val="20"/>
                <w:szCs w:val="20"/>
                <w:color w:val="auto"/>
              </w:rPr>
            </w:pPr>
            <w:r>
              <w:rPr>
                <w:rFonts w:ascii="Arial" w:cs="Arial" w:eastAsia="Arial" w:hAnsi="Arial"/>
                <w:sz w:val="14"/>
                <w:szCs w:val="14"/>
                <w:color w:val="auto"/>
                <w:w w:val="91"/>
              </w:rPr>
              <w:t>(or increase)</w:t>
            </w:r>
          </w:p>
        </w:tc>
        <w:tc>
          <w:tcPr>
            <w:tcW w:w="106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Custodian</w:t>
            </w:r>
          </w:p>
        </w:tc>
        <w:tc>
          <w:tcPr>
            <w:tcW w:w="0" w:type="dxa"/>
            <w:vAlign w:val="bottom"/>
          </w:tcPr>
          <w:p>
            <w:pPr>
              <w:spacing w:after="0"/>
              <w:rPr>
                <w:sz w:val="1"/>
                <w:szCs w:val="1"/>
                <w:color w:val="auto"/>
              </w:rPr>
            </w:pPr>
          </w:p>
        </w:tc>
      </w:tr>
      <w:tr>
        <w:trPr>
          <w:trHeight w:val="196"/>
        </w:trPr>
        <w:tc>
          <w:tcPr>
            <w:tcW w:w="15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680"/>
          </w:cols>
          <w:pgMar w:left="440" w:top="273" w:right="779" w:bottom="1440" w:gutter="0" w:footer="0" w:header="0"/>
        </w:sectPr>
      </w:pPr>
    </w:p>
    <w:bookmarkStart w:id="586" w:name="page587"/>
    <w:bookmarkEnd w:id="5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 Unit –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DB Services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5022 Gate Parkway,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Transfer Department</w:t>
      </w:r>
    </w:p>
    <w:p>
      <w:pPr>
        <w:spacing w:after="0" w:line="211"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5.000% Senior Notes due 2029 of Studio City Finance Limited</w:t>
      </w:r>
    </w:p>
    <w:p>
      <w:pPr>
        <w:spacing w:after="0" w:line="225"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Reference is hereby made to the Indenture, dated as of January 14,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Studio City Finance Limited, as issuer (the “</w:t>
      </w:r>
      <w:r>
        <w:rPr>
          <w:rFonts w:ascii="Arial" w:cs="Arial" w:eastAsia="Arial" w:hAnsi="Arial"/>
          <w:sz w:val="18"/>
          <w:szCs w:val="18"/>
          <w:i w:val="1"/>
          <w:iCs w:val="1"/>
          <w:color w:val="auto"/>
        </w:rPr>
        <w:t>Company</w:t>
      </w:r>
      <w:r>
        <w:rPr>
          <w:rFonts w:ascii="Arial" w:cs="Arial" w:eastAsia="Arial" w:hAnsi="Arial"/>
          <w:sz w:val="18"/>
          <w:szCs w:val="18"/>
          <w:color w:val="auto"/>
        </w:rPr>
        <w:t>”), each Subsidiary Guarantor and Deutsche Bank Trust Company Americas, as trustee. Capitalized terms used but not defined herein shall have the meanings given to them in the Indenture.</w:t>
      </w:r>
    </w:p>
    <w:p>
      <w:pPr>
        <w:spacing w:after="0" w:line="184"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 the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3810</wp:posOffset>
            </wp:positionV>
            <wp:extent cx="5715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2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6"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amount of US$ 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 (the “</w:t>
      </w:r>
      <w:r>
        <w:rPr>
          <w:rFonts w:ascii="Arial" w:cs="Arial" w:eastAsia="Arial" w:hAnsi="Arial"/>
          <w:sz w:val="18"/>
          <w:szCs w:val="18"/>
          <w:i w:val="1"/>
          <w:iCs w:val="1"/>
          <w:color w:val="auto"/>
        </w:rPr>
        <w:t>Transferee</w:t>
      </w:r>
      <w:r>
        <w:rPr>
          <w:rFonts w:ascii="Arial" w:cs="Arial" w:eastAsia="Arial" w:hAnsi="Arial"/>
          <w:sz w:val="18"/>
          <w:szCs w:val="18"/>
          <w:color w:val="auto"/>
        </w:rPr>
        <w:t>”), as further specified in Annex A hereto. In connection with the Transfer, the Transferor 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-172720</wp:posOffset>
            </wp:positionV>
            <wp:extent cx="57150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24">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3462655</wp:posOffset>
            </wp:positionH>
            <wp:positionV relativeFrom="paragraph">
              <wp:posOffset>-172720</wp:posOffset>
            </wp:positionV>
            <wp:extent cx="57150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2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ind w:right="60" w:firstLine="436"/>
        <w:spacing w:after="0" w:line="221" w:lineRule="exact"/>
        <w:tabs>
          <w:tab w:leader="none" w:pos="755" w:val="left"/>
        </w:tabs>
        <w:numPr>
          <w:ilvl w:val="0"/>
          <w:numId w:val="75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144A Global Note or a Restricted Definitive Note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Rule 144A.</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144A under the Securities Act of 1933, as amended (the “</w:t>
      </w:r>
      <w:r>
        <w:rPr>
          <w:rFonts w:ascii="Arial" w:cs="Arial" w:eastAsia="Arial" w:hAnsi="Arial"/>
          <w:sz w:val="16"/>
          <w:szCs w:val="16"/>
          <w:i w:val="1"/>
          <w:iCs w:val="1"/>
          <w:color w:val="auto"/>
        </w:rPr>
        <w:t>Securities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and, accordingly, the Transferor hereby further certifies that the beneficial interest or Definitive Note is being transferred to a Person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2" w:lineRule="exact"/>
        <w:rPr>
          <w:rFonts w:ascii="Arial" w:cs="Arial" w:eastAsia="Arial" w:hAnsi="Arial"/>
          <w:sz w:val="16"/>
          <w:szCs w:val="16"/>
          <w:color w:val="auto"/>
        </w:rPr>
      </w:pPr>
    </w:p>
    <w:p>
      <w:pPr>
        <w:ind w:right="40" w:firstLine="436"/>
        <w:spacing w:after="0" w:line="220" w:lineRule="exact"/>
        <w:tabs>
          <w:tab w:leader="none" w:pos="755" w:val="left"/>
        </w:tabs>
        <w:numPr>
          <w:ilvl w:val="0"/>
          <w:numId w:val="75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Global Note or a Restricted Definitive Note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pursuant to Regulation S</w:t>
      </w:r>
      <w:r>
        <w:rPr>
          <w:rFonts w:ascii="Arial" w:cs="Arial" w:eastAsia="Arial" w:hAnsi="Arial"/>
          <w:sz w:val="16"/>
          <w:szCs w:val="16"/>
          <w:color w:val="auto"/>
        </w:rPr>
        <w:t>. The Transfer is being effected pursuant to and in accordance with Rule 903 or Rule 904 under the Securities Act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69" w:right="439" w:bottom="1440" w:gutter="0" w:footer="0" w:header="0"/>
        </w:sectPr>
      </w:pPr>
    </w:p>
    <w:bookmarkStart w:id="587" w:name="page588"/>
    <w:bookmarkEnd w:id="587"/>
    <w:p>
      <w:pPr>
        <w:ind w:right="220" w:firstLine="436"/>
        <w:spacing w:after="0" w:line="228" w:lineRule="exact"/>
        <w:tabs>
          <w:tab w:leader="none" w:pos="755" w:val="left"/>
        </w:tabs>
        <w:numPr>
          <w:ilvl w:val="0"/>
          <w:numId w:val="757"/>
        </w:numPr>
        <w:rPr>
          <w:rFonts w:ascii="Arial" w:cs="Arial" w:eastAsia="Arial" w:hAnsi="Arial"/>
          <w:sz w:val="16"/>
          <w:szCs w:val="16"/>
          <w:color w:val="auto"/>
        </w:rPr>
      </w:pPr>
      <w:r>
        <w:rPr>
          <w:rFonts w:ascii="MS PGothic" w:cs="MS PGothic" w:eastAsia="MS PGothic" w:hAnsi="MS PGothic"/>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and complete if Transferee will take delivery of a beneficial interest in a Restricted Definitive Note pursuant to any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provision of the Securities Act other than Rule 144A or Regulation S</w:t>
      </w:r>
      <w:r>
        <w:rPr>
          <w:rFonts w:ascii="Arial" w:cs="Arial" w:eastAsia="Arial" w:hAnsi="Arial"/>
          <w:sz w:val="16"/>
          <w:szCs w:val="16"/>
          <w:color w:val="auto"/>
        </w:rPr>
        <w:t>. The Transfer is being effected in compliance with the transfer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61" w:lineRule="exact"/>
        <w:rPr>
          <w:rFonts w:ascii="Arial" w:cs="Arial" w:eastAsia="Arial" w:hAnsi="Arial"/>
          <w:sz w:val="16"/>
          <w:szCs w:val="16"/>
          <w:color w:val="auto"/>
        </w:rPr>
      </w:pPr>
    </w:p>
    <w:p>
      <w:pPr>
        <w:ind w:left="1240" w:hanging="381"/>
        <w:spacing w:after="0" w:line="207" w:lineRule="exact"/>
        <w:tabs>
          <w:tab w:leader="none" w:pos="1240" w:val="left"/>
        </w:tabs>
        <w:numPr>
          <w:ilvl w:val="1"/>
          <w:numId w:val="75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5420" w:right="4300" w:hanging="4561"/>
        <w:spacing w:after="0" w:line="294" w:lineRule="exact"/>
        <w:tabs>
          <w:tab w:leader="none" w:pos="1240" w:val="left"/>
        </w:tabs>
        <w:numPr>
          <w:ilvl w:val="1"/>
          <w:numId w:val="75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 or</w:t>
      </w:r>
    </w:p>
    <w:p>
      <w:pPr>
        <w:spacing w:after="0" w:line="61" w:lineRule="exact"/>
        <w:rPr>
          <w:rFonts w:ascii="Arial" w:cs="Arial" w:eastAsia="Arial" w:hAnsi="Arial"/>
          <w:sz w:val="18"/>
          <w:szCs w:val="18"/>
          <w:color w:val="auto"/>
        </w:rPr>
      </w:pPr>
    </w:p>
    <w:p>
      <w:pPr>
        <w:ind w:left="440" w:right="100" w:firstLine="419"/>
        <w:spacing w:after="0" w:line="239" w:lineRule="exact"/>
        <w:tabs>
          <w:tab w:leader="none" w:pos="1243" w:val="left"/>
        </w:tabs>
        <w:numPr>
          <w:ilvl w:val="1"/>
          <w:numId w:val="75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70" w:lineRule="exact"/>
        <w:rPr>
          <w:rFonts w:ascii="Arial" w:cs="Arial" w:eastAsia="Arial" w:hAnsi="Arial"/>
          <w:sz w:val="18"/>
          <w:szCs w:val="18"/>
          <w:color w:val="auto"/>
        </w:rPr>
      </w:pPr>
    </w:p>
    <w:p>
      <w:pPr>
        <w:ind w:left="760" w:hanging="324"/>
        <w:spacing w:after="0" w:line="184" w:lineRule="exact"/>
        <w:tabs>
          <w:tab w:leader="none" w:pos="760" w:val="left"/>
        </w:tabs>
        <w:numPr>
          <w:ilvl w:val="0"/>
          <w:numId w:val="75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color w:val="auto"/>
        </w:rPr>
        <w:t>.</w:t>
      </w:r>
    </w:p>
    <w:p>
      <w:pPr>
        <w:spacing w:after="0" w:line="248" w:lineRule="exact"/>
        <w:rPr>
          <w:sz w:val="20"/>
          <w:szCs w:val="20"/>
          <w:color w:val="auto"/>
        </w:rPr>
      </w:pPr>
    </w:p>
    <w:p>
      <w:pPr>
        <w:ind w:right="100" w:firstLine="436"/>
        <w:spacing w:after="0" w:line="224" w:lineRule="exact"/>
        <w:tabs>
          <w:tab w:leader="none" w:pos="820" w:val="left"/>
        </w:tabs>
        <w:numPr>
          <w:ilvl w:val="0"/>
          <w:numId w:val="76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w:t>
      </w:r>
      <w:r>
        <w:rPr>
          <w:rFonts w:ascii="Arial" w:cs="Arial" w:eastAsia="Arial" w:hAnsi="Arial"/>
          <w:sz w:val="18"/>
          <w:szCs w:val="18"/>
          <w:color w:val="auto"/>
        </w:rPr>
        <w:t>. (i) The Transfer is being effected pursuant to and in accordance with Rule 144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1" w:lineRule="exact"/>
        <w:rPr>
          <w:rFonts w:ascii="Arial" w:cs="Arial" w:eastAsia="Arial" w:hAnsi="Arial"/>
          <w:sz w:val="18"/>
          <w:szCs w:val="18"/>
          <w:color w:val="auto"/>
        </w:rPr>
      </w:pPr>
    </w:p>
    <w:p>
      <w:pPr>
        <w:ind w:firstLine="436"/>
        <w:spacing w:after="0" w:line="224" w:lineRule="exact"/>
        <w:tabs>
          <w:tab w:leader="none" w:pos="830" w:val="left"/>
        </w:tabs>
        <w:numPr>
          <w:ilvl w:val="0"/>
          <w:numId w:val="76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w:t>
      </w:r>
      <w:r>
        <w:rPr>
          <w:rFonts w:ascii="Arial" w:cs="Arial" w:eastAsia="Arial" w:hAnsi="Arial"/>
          <w:sz w:val="17"/>
          <w:szCs w:val="17"/>
          <w:color w:val="auto"/>
        </w:rPr>
        <w:t>. (i) The Transfer is being effected pursuant to and in accordance with Rule 903 or Rule</w:t>
      </w:r>
      <w:r>
        <w:rPr>
          <w:rFonts w:ascii="Arial" w:cs="Arial" w:eastAsia="Arial" w:hAnsi="Arial"/>
          <w:sz w:val="17"/>
          <w:szCs w:val="17"/>
          <w:b w:val="1"/>
          <w:bCs w:val="1"/>
          <w:color w:val="auto"/>
        </w:rPr>
        <w:t xml:space="preserve"> </w:t>
      </w:r>
      <w:r>
        <w:rPr>
          <w:rFonts w:ascii="Arial" w:cs="Arial" w:eastAsia="Arial" w:hAnsi="Arial"/>
          <w:sz w:val="17"/>
          <w:szCs w:val="17"/>
          <w:color w:val="auto"/>
        </w:rPr>
        <w:t>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7"/>
          <w:szCs w:val="17"/>
          <w:color w:val="auto"/>
        </w:rPr>
      </w:pPr>
    </w:p>
    <w:p>
      <w:pPr>
        <w:ind w:right="60" w:firstLine="436"/>
        <w:spacing w:after="0" w:line="223" w:lineRule="exact"/>
        <w:tabs>
          <w:tab w:leader="none" w:pos="820" w:val="left"/>
        </w:tabs>
        <w:numPr>
          <w:ilvl w:val="0"/>
          <w:numId w:val="76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Other Exemption</w:t>
      </w:r>
      <w:r>
        <w:rPr>
          <w:rFonts w:ascii="Arial" w:cs="Arial" w:eastAsia="Arial" w:hAnsi="Arial"/>
          <w:sz w:val="18"/>
          <w:szCs w:val="18"/>
          <w:color w:val="auto"/>
        </w:rPr>
        <w:t>. (i) The Transfer is being effected pursuant to and in compliance with an exemption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41" w:right="459" w:bottom="1440" w:gutter="0" w:footer="0" w:header="0"/>
        </w:sectPr>
      </w:pPr>
    </w:p>
    <w:bookmarkStart w:id="588" w:name="page589"/>
    <w:bookmarkEnd w:id="5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57150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3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019"/>
          </w:cols>
          <w:pgMar w:left="440" w:top="273" w:right="1440" w:bottom="1440" w:gutter="0" w:footer="0" w:header="0"/>
        </w:sectPr>
      </w:pPr>
    </w:p>
    <w:bookmarkStart w:id="589" w:name="page590"/>
    <w:bookmarkEnd w:id="589"/>
    <w:p>
      <w:pPr>
        <w:jc w:val="right"/>
        <w:ind w:right="2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 CERTIFICATE OF TRANSFER</w:t>
      </w:r>
    </w:p>
    <w:p>
      <w:pPr>
        <w:spacing w:after="0" w:line="256" w:lineRule="exact"/>
        <w:rPr>
          <w:sz w:val="20"/>
          <w:szCs w:val="20"/>
          <w:color w:val="auto"/>
        </w:rPr>
      </w:pPr>
    </w:p>
    <w:p>
      <w:pPr>
        <w:ind w:left="424" w:hanging="424"/>
        <w:spacing w:after="0"/>
        <w:tabs>
          <w:tab w:leader="none" w:pos="424" w:val="left"/>
        </w:tabs>
        <w:numPr>
          <w:ilvl w:val="0"/>
          <w:numId w:val="761"/>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4404"/>
        <w:spacing w:after="0"/>
        <w:rPr>
          <w:sz w:val="20"/>
          <w:szCs w:val="20"/>
          <w:color w:val="auto"/>
        </w:rPr>
      </w:pPr>
      <w:r>
        <w:rPr>
          <w:rFonts w:ascii="Arial" w:cs="Arial" w:eastAsia="Arial" w:hAnsi="Arial"/>
          <w:sz w:val="18"/>
          <w:szCs w:val="18"/>
          <w:color w:val="auto"/>
        </w:rPr>
        <w:t>[CHECK ONE OF (a) OR (b)]</w:t>
      </w:r>
    </w:p>
    <w:p>
      <w:pPr>
        <w:spacing w:after="0" w:line="219" w:lineRule="exact"/>
        <w:rPr>
          <w:sz w:val="20"/>
          <w:szCs w:val="20"/>
          <w:color w:val="auto"/>
        </w:rPr>
      </w:pPr>
    </w:p>
    <w:p>
      <w:pPr>
        <w:ind w:left="1084" w:hanging="544"/>
        <w:spacing w:after="0" w:line="207" w:lineRule="exact"/>
        <w:tabs>
          <w:tab w:leader="none" w:pos="1084" w:val="left"/>
        </w:tabs>
        <w:numPr>
          <w:ilvl w:val="0"/>
          <w:numId w:val="76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17" w:lineRule="exact"/>
        <w:rPr>
          <w:sz w:val="20"/>
          <w:szCs w:val="20"/>
          <w:color w:val="auto"/>
        </w:rPr>
      </w:pPr>
    </w:p>
    <w:tbl>
      <w:tblPr>
        <w:tblLayout w:type="fixed"/>
        <w:tblInd w:w="1084"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(i)</w:t>
            </w:r>
          </w:p>
        </w:tc>
        <w:tc>
          <w:tcPr>
            <w:tcW w:w="23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144A Global Note (CUSIP</w:t>
            </w:r>
          </w:p>
        </w:tc>
        <w:tc>
          <w:tcPr>
            <w:tcW w:w="900" w:type="dxa"/>
            <w:vAlign w:val="bottom"/>
            <w:tcBorders>
              <w:bottom w:val="single" w:sz="8" w:color="auto"/>
            </w:tcBorders>
            <w:gridSpan w:val="2"/>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 or</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(ii)</w:t>
            </w:r>
          </w:p>
        </w:tc>
        <w:tc>
          <w:tcPr>
            <w:tcW w:w="290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Regulation S Global Note (CUSIP</w:t>
            </w: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87"/>
              </w:rPr>
              <w:t>); or</w:t>
            </w:r>
          </w:p>
        </w:tc>
      </w:tr>
    </w:tbl>
    <w:p>
      <w:pPr>
        <w:spacing w:after="0" w:line="88" w:lineRule="exact"/>
        <w:rPr>
          <w:sz w:val="20"/>
          <w:szCs w:val="20"/>
          <w:color w:val="auto"/>
        </w:rPr>
      </w:pPr>
    </w:p>
    <w:p>
      <w:pPr>
        <w:ind w:left="1084" w:hanging="544"/>
        <w:spacing w:after="0" w:line="207" w:lineRule="exact"/>
        <w:tabs>
          <w:tab w:leader="none" w:pos="1084" w:val="left"/>
        </w:tabs>
        <w:numPr>
          <w:ilvl w:val="1"/>
          <w:numId w:val="76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84" w:lineRule="exact"/>
        <w:rPr>
          <w:rFonts w:ascii="Arial" w:cs="Arial" w:eastAsia="Arial" w:hAnsi="Arial"/>
          <w:sz w:val="18"/>
          <w:szCs w:val="18"/>
          <w:color w:val="auto"/>
        </w:rPr>
      </w:pPr>
    </w:p>
    <w:p>
      <w:pPr>
        <w:ind w:left="424" w:hanging="424"/>
        <w:spacing w:after="0"/>
        <w:tabs>
          <w:tab w:leader="none" w:pos="424" w:val="left"/>
        </w:tabs>
        <w:numPr>
          <w:ilvl w:val="0"/>
          <w:numId w:val="764"/>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[CHECK ONE]</w:t>
      </w:r>
    </w:p>
    <w:p>
      <w:pPr>
        <w:spacing w:after="0" w:line="219" w:lineRule="exact"/>
        <w:rPr>
          <w:sz w:val="20"/>
          <w:szCs w:val="20"/>
          <w:color w:val="auto"/>
        </w:rPr>
      </w:pPr>
    </w:p>
    <w:p>
      <w:pPr>
        <w:ind w:left="1084" w:hanging="544"/>
        <w:spacing w:after="0" w:line="207" w:lineRule="exact"/>
        <w:tabs>
          <w:tab w:leader="none" w:pos="1084" w:val="left"/>
        </w:tabs>
        <w:numPr>
          <w:ilvl w:val="0"/>
          <w:numId w:val="76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17" w:lineRule="exact"/>
        <w:rPr>
          <w:sz w:val="20"/>
          <w:szCs w:val="20"/>
          <w:color w:val="auto"/>
        </w:rPr>
      </w:pPr>
    </w:p>
    <w:tbl>
      <w:tblPr>
        <w:tblLayout w:type="fixed"/>
        <w:tblInd w:w="1084"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23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144A Global Note (CUSIP</w:t>
            </w:r>
          </w:p>
        </w:tc>
        <w:tc>
          <w:tcPr>
            <w:tcW w:w="900" w:type="dxa"/>
            <w:vAlign w:val="bottom"/>
            <w:tcBorders>
              <w:bottom w:val="single" w:sz="8" w:color="auto"/>
            </w:tcBorders>
            <w:gridSpan w:val="3"/>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 or</w:t>
            </w: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292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Regulation S Global Note (CUSIP</w:t>
            </w: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87"/>
              </w:rPr>
              <w:t>), or</w:t>
            </w: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(iii)</w:t>
            </w:r>
          </w:p>
        </w:tc>
        <w:tc>
          <w:tcPr>
            <w:tcW w:w="2880" w:type="dxa"/>
            <w:vAlign w:val="bottom"/>
            <w:gridSpan w:val="2"/>
          </w:tcPr>
          <w:p>
            <w:pPr>
              <w:ind w:left="18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Unrestricted Global Note (CUSIP</w:t>
            </w:r>
          </w:p>
        </w:tc>
        <w:tc>
          <w:tcPr>
            <w:tcW w:w="40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w w:val="99"/>
              </w:rPr>
              <w:t>); or</w:t>
            </w:r>
          </w:p>
        </w:tc>
      </w:tr>
    </w:tbl>
    <w:p>
      <w:pPr>
        <w:spacing w:after="0" w:line="88" w:lineRule="exact"/>
        <w:rPr>
          <w:sz w:val="20"/>
          <w:szCs w:val="20"/>
          <w:color w:val="auto"/>
        </w:rPr>
      </w:pPr>
    </w:p>
    <w:p>
      <w:pPr>
        <w:ind w:left="1084" w:hanging="544"/>
        <w:spacing w:after="0" w:line="207" w:lineRule="exact"/>
        <w:tabs>
          <w:tab w:leader="none" w:pos="1084" w:val="left"/>
        </w:tabs>
        <w:numPr>
          <w:ilvl w:val="0"/>
          <w:numId w:val="76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117" w:lineRule="exact"/>
        <w:rPr>
          <w:rFonts w:ascii="Arial" w:cs="Arial" w:eastAsia="Arial" w:hAnsi="Arial"/>
          <w:sz w:val="18"/>
          <w:szCs w:val="18"/>
          <w:color w:val="auto"/>
        </w:rPr>
      </w:pPr>
    </w:p>
    <w:p>
      <w:pPr>
        <w:ind w:left="444" w:right="6159" w:firstLine="96"/>
        <w:spacing w:after="0" w:line="294" w:lineRule="exact"/>
        <w:tabs>
          <w:tab w:leader="none" w:pos="1084" w:val="left"/>
        </w:tabs>
        <w:numPr>
          <w:ilvl w:val="0"/>
          <w:numId w:val="76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an Unrestricted Definitive Note, in accordance with the terms of the Indenture.</w:t>
      </w:r>
    </w:p>
    <w:p>
      <w:pPr>
        <w:spacing w:after="0" w:line="135"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023"/>
          </w:cols>
          <w:pgMar w:left="436" w:top="269" w:right="1440" w:bottom="1440" w:gutter="0" w:footer="0" w:header="0"/>
        </w:sectPr>
      </w:pPr>
    </w:p>
    <w:bookmarkStart w:id="590" w:name="page591"/>
    <w:bookmarkEnd w:id="5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 Unit –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DB Services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5022 Gate Parkway,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Transfer Department</w:t>
      </w:r>
    </w:p>
    <w:p>
      <w:pPr>
        <w:spacing w:after="0" w:line="211"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5.000% Senior Notes due 2029 of Studio City Finance Limited</w:t>
      </w:r>
    </w:p>
    <w:p>
      <w:pPr>
        <w:spacing w:after="0" w:line="225" w:lineRule="exact"/>
        <w:rPr>
          <w:sz w:val="20"/>
          <w:szCs w:val="20"/>
          <w:color w:val="auto"/>
        </w:rPr>
      </w:pPr>
    </w:p>
    <w:p>
      <w:pPr>
        <w:ind w:left="4720"/>
        <w:spacing w:after="0"/>
        <w:tabs>
          <w:tab w:leader="none" w:pos="622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-10160</wp:posOffset>
            </wp:positionV>
            <wp:extent cx="57150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3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Reference is hereby made to the Indenture, dated as of January 14,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Studio City Finance Limited, as issuer (the “</w:t>
      </w:r>
      <w:r>
        <w:rPr>
          <w:rFonts w:ascii="Arial" w:cs="Arial" w:eastAsia="Arial" w:hAnsi="Arial"/>
          <w:sz w:val="18"/>
          <w:szCs w:val="18"/>
          <w:i w:val="1"/>
          <w:iCs w:val="1"/>
          <w:color w:val="auto"/>
        </w:rPr>
        <w:t>Company</w:t>
      </w:r>
      <w:r>
        <w:rPr>
          <w:rFonts w:ascii="Arial" w:cs="Arial" w:eastAsia="Arial" w:hAnsi="Arial"/>
          <w:sz w:val="18"/>
          <w:szCs w:val="18"/>
          <w:color w:val="auto"/>
        </w:rPr>
        <w:t>”), each Subsidiary Guarantor and Deutsche Bank Trust Company Americas, as trustee. Capitalized terms used but not defined herein shall have the meanings given to them in the Indenture.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360" w:type="dxa"/>
            <w:vAlign w:val="bottom"/>
          </w:tcPr>
          <w:p>
            <w:pPr>
              <w:spacing w:after="0"/>
              <w:rPr>
                <w:sz w:val="20"/>
                <w:szCs w:val="20"/>
                <w:color w:val="auto"/>
              </w:rPr>
            </w:pPr>
            <w:r>
              <w:rPr>
                <w:rFonts w:ascii="Arial" w:cs="Arial" w:eastAsia="Arial" w:hAnsi="Arial"/>
                <w:sz w:val="18"/>
                <w:szCs w:val="18"/>
                <w:color w:val="auto"/>
                <w:w w:val="91"/>
              </w:rPr>
              <w:t>, (the “</w:t>
            </w:r>
            <w:r>
              <w:rPr>
                <w:rFonts w:ascii="Arial" w:cs="Arial" w:eastAsia="Arial" w:hAnsi="Arial"/>
                <w:sz w:val="18"/>
                <w:szCs w:val="18"/>
                <w:i w:val="1"/>
                <w:iCs w:val="1"/>
                <w:color w:val="auto"/>
                <w:w w:val="91"/>
              </w:rPr>
              <w:t>Owner</w:t>
            </w:r>
            <w:r>
              <w:rPr>
                <w:rFonts w:ascii="Arial" w:cs="Arial" w:eastAsia="Arial" w:hAnsi="Arial"/>
                <w:sz w:val="18"/>
                <w:szCs w:val="18"/>
                <w:color w:val="auto"/>
                <w:w w:val="91"/>
              </w:rPr>
              <w:t>”) owns and proposes to exchange the Note[s] or interest in such Note[s] specified herein, in the principal amount of</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US$</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4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in such 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tc>
      </w:tr>
    </w:tbl>
    <w:p>
      <w:pPr>
        <w:spacing w:after="0" w:line="225" w:lineRule="exact"/>
        <w:rPr>
          <w:sz w:val="20"/>
          <w:szCs w:val="20"/>
          <w:color w:val="auto"/>
        </w:rPr>
      </w:pPr>
    </w:p>
    <w:p>
      <w:pPr>
        <w:ind w:right="580" w:firstLine="436"/>
        <w:spacing w:after="0" w:line="282" w:lineRule="auto"/>
        <w:tabs>
          <w:tab w:leader="none" w:pos="755" w:val="left"/>
        </w:tabs>
        <w:numPr>
          <w:ilvl w:val="0"/>
          <w:numId w:val="767"/>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3" w:lineRule="exact"/>
        <w:rPr>
          <w:sz w:val="20"/>
          <w:szCs w:val="20"/>
          <w:color w:val="auto"/>
        </w:rPr>
      </w:pPr>
    </w:p>
    <w:p>
      <w:pPr>
        <w:ind w:right="20" w:firstLine="436"/>
        <w:spacing w:after="0" w:line="223" w:lineRule="exact"/>
        <w:tabs>
          <w:tab w:leader="none" w:pos="820" w:val="left"/>
        </w:tabs>
        <w:numPr>
          <w:ilvl w:val="0"/>
          <w:numId w:val="76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beneficial interest in an Unrestricted Global Note</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1" w:lineRule="exact"/>
        <w:rPr>
          <w:rFonts w:ascii="Arial" w:cs="Arial" w:eastAsia="Arial" w:hAnsi="Arial"/>
          <w:sz w:val="17"/>
          <w:szCs w:val="17"/>
          <w:color w:val="auto"/>
        </w:rPr>
      </w:pPr>
    </w:p>
    <w:p>
      <w:pPr>
        <w:ind w:right="20" w:firstLine="436"/>
        <w:spacing w:after="0" w:line="224" w:lineRule="exact"/>
        <w:tabs>
          <w:tab w:leader="none" w:pos="830" w:val="left"/>
        </w:tabs>
        <w:numPr>
          <w:ilvl w:val="0"/>
          <w:numId w:val="76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Unrestricted Definitive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73" w:lineRule="exact"/>
        <w:rPr>
          <w:rFonts w:ascii="Arial" w:cs="Arial" w:eastAsia="Arial" w:hAnsi="Arial"/>
          <w:sz w:val="17"/>
          <w:szCs w:val="17"/>
          <w:color w:val="auto"/>
        </w:rPr>
      </w:pPr>
    </w:p>
    <w:p>
      <w:pPr>
        <w:ind w:right="40" w:firstLine="436"/>
        <w:spacing w:after="0" w:line="224" w:lineRule="exact"/>
        <w:tabs>
          <w:tab w:leader="none" w:pos="820" w:val="left"/>
        </w:tabs>
        <w:numPr>
          <w:ilvl w:val="0"/>
          <w:numId w:val="76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an Unrestricted Global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69" w:right="439" w:bottom="1440" w:gutter="0" w:footer="0" w:header="0"/>
        </w:sectPr>
      </w:pPr>
    </w:p>
    <w:bookmarkStart w:id="591" w:name="page592"/>
    <w:bookmarkEnd w:id="591"/>
    <w:p>
      <w:pPr>
        <w:ind w:left="4" w:right="20" w:firstLine="436"/>
        <w:spacing w:after="0" w:line="224" w:lineRule="exact"/>
        <w:tabs>
          <w:tab w:leader="none" w:pos="834" w:val="left"/>
        </w:tabs>
        <w:numPr>
          <w:ilvl w:val="0"/>
          <w:numId w:val="769"/>
        </w:numPr>
        <w:rPr>
          <w:rFonts w:ascii="Arial" w:cs="Arial" w:eastAsia="Arial" w:hAnsi="Arial"/>
          <w:sz w:val="17"/>
          <w:szCs w:val="17"/>
          <w:color w:val="auto"/>
        </w:rPr>
      </w:pPr>
      <w:r>
        <w:rPr>
          <w:rFonts w:ascii="MS PGothic" w:cs="MS PGothic" w:eastAsia="MS PGothic" w:hAnsi="MS PGothic"/>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 xml:space="preserve"> Check if Exchange is from Restricted Definitive Note to Unrestricted Definitive Note</w:t>
      </w:r>
      <w:r>
        <w:rPr>
          <w:rFonts w:ascii="Arial" w:cs="Arial" w:eastAsia="Arial" w:hAnsi="Arial"/>
          <w:sz w:val="17"/>
          <w:szCs w:val="17"/>
          <w:color w:val="auto"/>
        </w:rPr>
        <w:t>. In connection with the Owner’s Exchange of a</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94" w:lineRule="exact"/>
        <w:rPr>
          <w:sz w:val="20"/>
          <w:szCs w:val="20"/>
          <w:color w:val="auto"/>
        </w:rPr>
      </w:pPr>
    </w:p>
    <w:p>
      <w:pPr>
        <w:ind w:left="4" w:firstLine="436"/>
        <w:spacing w:after="0" w:line="282" w:lineRule="auto"/>
        <w:tabs>
          <w:tab w:leader="none" w:pos="759" w:val="left"/>
        </w:tabs>
        <w:numPr>
          <w:ilvl w:val="0"/>
          <w:numId w:val="770"/>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25" w:lineRule="exact"/>
        <w:rPr>
          <w:sz w:val="20"/>
          <w:szCs w:val="20"/>
          <w:color w:val="auto"/>
        </w:rPr>
      </w:pPr>
    </w:p>
    <w:p>
      <w:pPr>
        <w:ind w:left="4" w:right="20" w:firstLine="436"/>
        <w:spacing w:after="0" w:line="226" w:lineRule="exact"/>
        <w:tabs>
          <w:tab w:leader="none" w:pos="824" w:val="left"/>
        </w:tabs>
        <w:numPr>
          <w:ilvl w:val="1"/>
          <w:numId w:val="77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Restricted Definitive Note. </w:t>
      </w:r>
      <w:r>
        <w:rPr>
          <w:rFonts w:ascii="Arial" w:cs="Arial" w:eastAsia="Arial" w:hAnsi="Arial"/>
          <w:sz w:val="16"/>
          <w:szCs w:val="16"/>
          <w:color w:val="auto"/>
        </w:rPr>
        <w:t>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69" w:lineRule="exact"/>
        <w:rPr>
          <w:rFonts w:ascii="Arial" w:cs="Arial" w:eastAsia="Arial" w:hAnsi="Arial"/>
          <w:sz w:val="16"/>
          <w:szCs w:val="16"/>
          <w:color w:val="auto"/>
        </w:rPr>
      </w:pPr>
    </w:p>
    <w:p>
      <w:pPr>
        <w:ind w:left="4" w:right="40" w:firstLine="436"/>
        <w:spacing w:after="0" w:line="232" w:lineRule="exact"/>
        <w:tabs>
          <w:tab w:leader="none" w:pos="834" w:val="left"/>
        </w:tabs>
        <w:numPr>
          <w:ilvl w:val="1"/>
          <w:numId w:val="77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of the Owner’s 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with an equal principal amount, the Owner hereby certifies (i) the beneficial interest is being acquired for the Owner’s own account without transfer and</w:t>
      </w:r>
    </w:p>
    <w:p>
      <w:pPr>
        <w:ind w:left="4" w:right="200" w:hanging="4"/>
        <w:spacing w:after="0" w:line="295" w:lineRule="auto"/>
        <w:tabs>
          <w:tab w:leader="none" w:pos="269" w:val="left"/>
        </w:tabs>
        <w:numPr>
          <w:ilvl w:val="0"/>
          <w:numId w:val="772"/>
        </w:numPr>
        <w:rPr>
          <w:rFonts w:ascii="Arial" w:cs="Arial" w:eastAsia="Arial" w:hAnsi="Arial"/>
          <w:sz w:val="16"/>
          <w:szCs w:val="16"/>
          <w:color w:val="auto"/>
        </w:rPr>
      </w:pPr>
      <w:r>
        <w:rPr>
          <w:rFonts w:ascii="Arial" w:cs="Arial" w:eastAsia="Arial" w:hAnsi="Arial"/>
          <w:sz w:val="16"/>
          <w:szCs w:val="16"/>
          <w:color w:val="auto"/>
        </w:rPr>
        <w:t>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24"/>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724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-10160</wp:posOffset>
            </wp:positionV>
            <wp:extent cx="5715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3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3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04"/>
          </w:cols>
          <w:pgMar w:left="436" w:top="241" w:right="459" w:bottom="1440" w:gutter="0" w:footer="0" w:header="0"/>
        </w:sectPr>
      </w:pPr>
    </w:p>
    <w:bookmarkStart w:id="592" w:name="page593"/>
    <w:bookmarkEnd w:id="592"/>
    <w:tbl>
      <w:tblPr>
        <w:tblLayout w:type="fixed"/>
        <w:tblInd w:w="44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80" w:type="dxa"/>
            <w:vAlign w:val="bottom"/>
          </w:tcPr>
          <w:p>
            <w:pPr>
              <w:ind w:left="2920"/>
              <w:spacing w:after="0"/>
              <w:rPr>
                <w:sz w:val="20"/>
                <w:szCs w:val="20"/>
                <w:color w:val="auto"/>
              </w:rPr>
            </w:pPr>
            <w:r>
              <w:rPr>
                <w:rFonts w:ascii="Arial" w:cs="Arial" w:eastAsia="Arial" w:hAnsi="Arial"/>
                <w:sz w:val="18"/>
                <w:szCs w:val="18"/>
                <w:b w:val="1"/>
                <w:bCs w:val="1"/>
                <w:color w:val="auto"/>
              </w:rPr>
              <w:t>EXHIBIT D</w:t>
            </w:r>
          </w:p>
        </w:tc>
      </w:tr>
      <w:tr>
        <w:trPr>
          <w:trHeight w:val="392"/>
        </w:trPr>
        <w:tc>
          <w:tcPr>
            <w:tcW w:w="342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FORM OF SUPPLEMENTAL INDENTURE</w:t>
            </w:r>
          </w:p>
        </w:tc>
      </w:tr>
      <w:tr>
        <w:trPr>
          <w:trHeight w:val="20"/>
        </w:trPr>
        <w:tc>
          <w:tcPr>
            <w:tcW w:w="34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53"/>
        </w:trPr>
        <w:tc>
          <w:tcPr>
            <w:tcW w:w="6100" w:type="dxa"/>
            <w:vAlign w:val="bottom"/>
            <w:gridSpan w:val="2"/>
          </w:tcPr>
          <w:p>
            <w:pPr>
              <w:spacing w:after="0"/>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w:t>
            </w:r>
          </w:p>
        </w:tc>
        <w:tc>
          <w:tcPr>
            <w:tcW w:w="4480" w:type="dxa"/>
            <w:vAlign w:val="bottom"/>
            <w:gridSpan w:val="2"/>
          </w:tcPr>
          <w:p>
            <w:pPr>
              <w:ind w:left="480"/>
              <w:spacing w:after="0"/>
              <w:rPr>
                <w:sz w:val="20"/>
                <w:szCs w:val="20"/>
                <w:color w:val="auto"/>
              </w:rPr>
            </w:pPr>
            <w:r>
              <w:rPr>
                <w:rFonts w:ascii="Arial" w:cs="Arial" w:eastAsia="Arial" w:hAnsi="Arial"/>
                <w:sz w:val="18"/>
                <w:szCs w:val="18"/>
                <w:color w:val="auto"/>
                <w:w w:val="95"/>
              </w:rPr>
              <w:t>, among [name of New Subsidiary Guarantor[s]] (the</w:t>
            </w:r>
          </w:p>
        </w:tc>
      </w:tr>
    </w:tbl>
    <w:p>
      <w:pPr>
        <w:jc w:val="both"/>
        <w:ind w:right="2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New Subsidiary Guarantor</w:t>
      </w:r>
      <w:r>
        <w:rPr>
          <w:rFonts w:ascii="Arial" w:cs="Arial" w:eastAsia="Arial" w:hAnsi="Arial"/>
          <w:sz w:val="18"/>
          <w:szCs w:val="18"/>
          <w:color w:val="auto"/>
        </w:rPr>
        <w:t>”), Studio City Finance Limited, a BVI business company with limited liability incorporated under the laws of British Virgin Islands (the “</w:t>
      </w:r>
      <w:r>
        <w:rPr>
          <w:rFonts w:ascii="Arial" w:cs="Arial" w:eastAsia="Arial" w:hAnsi="Arial"/>
          <w:sz w:val="18"/>
          <w:szCs w:val="18"/>
          <w:i w:val="1"/>
          <w:iCs w:val="1"/>
          <w:color w:val="auto"/>
        </w:rPr>
        <w:t>Company</w:t>
      </w:r>
      <w:r>
        <w:rPr>
          <w:rFonts w:ascii="Arial" w:cs="Arial" w:eastAsia="Arial" w:hAnsi="Arial"/>
          <w:sz w:val="18"/>
          <w:szCs w:val="18"/>
          <w:color w:val="auto"/>
        </w:rPr>
        <w:t>”) and Deutsche Bank Trust Company Americas, as Trustee (in such role,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WHEREAS the Company, the Trustee and each of the parties described above are parties to an Indenture, dated as of January 14, 2021, as amended (as amended, supplemented, waived or otherwise modified, the “</w:t>
      </w:r>
      <w:r>
        <w:rPr>
          <w:rFonts w:ascii="Arial" w:cs="Arial" w:eastAsia="Arial" w:hAnsi="Arial"/>
          <w:sz w:val="18"/>
          <w:szCs w:val="18"/>
          <w:i w:val="1"/>
          <w:iCs w:val="1"/>
          <w:color w:val="auto"/>
        </w:rPr>
        <w:t>Indenture</w:t>
      </w:r>
      <w:r>
        <w:rPr>
          <w:rFonts w:ascii="Arial" w:cs="Arial" w:eastAsia="Arial" w:hAnsi="Arial"/>
          <w:sz w:val="18"/>
          <w:szCs w:val="18"/>
          <w:color w:val="auto"/>
        </w:rPr>
        <w:t>”), providing for the issuance of the Company’s 5.000% Senior Notes due 2029;</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9.03 of the Indenture, each New Subsidiary Guarantor is required to execute a supplemental Indenture;</w:t>
      </w:r>
    </w:p>
    <w:p>
      <w:pPr>
        <w:spacing w:after="0" w:line="237"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Subsidiary Guarantor, the Company, the Trustee and the other parties hereto mutually covenant and agree for the equal and ratable benefit of the Holders as follows:</w:t>
      </w:r>
    </w:p>
    <w:p>
      <w:pPr>
        <w:spacing w:after="0" w:line="184" w:lineRule="exact"/>
        <w:rPr>
          <w:sz w:val="20"/>
          <w:szCs w:val="20"/>
          <w:color w:val="auto"/>
        </w:rPr>
      </w:pPr>
    </w:p>
    <w:p>
      <w:pPr>
        <w:ind w:left="760" w:hanging="324"/>
        <w:spacing w:after="0"/>
        <w:tabs>
          <w:tab w:leader="none" w:pos="760" w:val="left"/>
        </w:tabs>
        <w:numPr>
          <w:ilvl w:val="0"/>
          <w:numId w:val="77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but not defined herein shall have the meanings assigned to them in the Indenture.</w:t>
      </w:r>
    </w:p>
    <w:p>
      <w:pPr>
        <w:spacing w:after="0" w:line="225" w:lineRule="exact"/>
        <w:rPr>
          <w:rFonts w:ascii="Arial" w:cs="Arial" w:eastAsia="Arial" w:hAnsi="Arial"/>
          <w:sz w:val="18"/>
          <w:szCs w:val="18"/>
          <w:color w:val="auto"/>
        </w:rPr>
      </w:pPr>
    </w:p>
    <w:p>
      <w:pPr>
        <w:ind w:right="60" w:firstLine="436"/>
        <w:spacing w:after="0" w:line="287" w:lineRule="auto"/>
        <w:tabs>
          <w:tab w:leader="none" w:pos="755" w:val="left"/>
        </w:tabs>
        <w:numPr>
          <w:ilvl w:val="0"/>
          <w:numId w:val="773"/>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xml:space="preserve"> Pursuant to, and subject to the provisions of, Article 11 of the Indenture, [each][the] New Subsidiary Guarantor (which term includes each other New Subsidiary Guarantor that hereinafter guarantees the Notes pursuant to the terms of the Indenture) hereby unconditionally and irrevocably guarantees, jointly and severally with each other New Subsidiary Guarantor and all Subsidiary Guarantors, to each Holder and to the Trustee and their successors and assigns to the extent set forth in the Indenture and subject to the provisions thereof (a) the full and punctual payment when due, whether at Stated Maturity, by acceleration, by redemption or otherwise, of all obligations of the Company under the Indenture (including obligations to the Trustee) and the Notes, whether for payment of principal of, or interest, premium, if any, on, the Notes and all other monetary obligations of the Company under the Indenture and the Notes and (b) the full and punctual performance within applicable grace periods of all other obligations of the Company whether for fees, expenses, indemnification or otherwise under the Indenture and the Notes (all the foregoing being hereinafter collectively called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[Each][The] New Subsidiary Guarantor further agrees that the Guaranteed Obligations may be extended or renewed, in whole or in part, without notice or further assent from such New Subsidiary Guarantor and that such New Subsidiary Guarantor[s] will remain bound under Article 11 of the Indenture, notwithstanding any extension or renewal of any Guaranteed Obligation.</w:t>
      </w:r>
    </w:p>
    <w:p>
      <w:pPr>
        <w:spacing w:after="0" w:line="172"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The Guaranteed Obligations of [each][the] New Subsidiary Guarantor to the Holders of Notes and to the Trustee pursuant to the Indenture as supplemented hereby, are expressly set forth in Article 11 of the Indenture and reference is hereby made to the Indenture for the precise terms of the Note Guarantee.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limitations imposed by local law analogous to Section 11.02 of the Indenture to be inserted, if and as applicable</w:t>
      </w:r>
      <w:r>
        <w:rPr>
          <w:rFonts w:ascii="Arial" w:cs="Arial" w:eastAsia="Arial" w:hAnsi="Arial"/>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0"/>
          </w:cols>
          <w:pgMar w:left="440" w:top="269" w:right="439" w:bottom="1440" w:gutter="0" w:footer="0" w:header="0"/>
        </w:sectPr>
      </w:pPr>
    </w:p>
    <w:bookmarkStart w:id="593" w:name="page594"/>
    <w:bookmarkEnd w:id="593"/>
    <w:p>
      <w:pPr>
        <w:ind w:left="4" w:firstLine="436"/>
        <w:spacing w:after="0" w:line="254" w:lineRule="auto"/>
        <w:tabs>
          <w:tab w:leader="none" w:pos="759" w:val="left"/>
        </w:tabs>
        <w:numPr>
          <w:ilvl w:val="1"/>
          <w:numId w:val="7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Ratification of Indenture: Supplemental Indentures Part of Indenture.</w:t>
      </w:r>
      <w:r>
        <w:rPr>
          <w:rFonts w:ascii="Arial" w:cs="Arial" w:eastAsia="Arial" w:hAnsi="Arial"/>
          <w:sz w:val="18"/>
          <w:szCs w:val="18"/>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each Holder, by accepting the Notes whether heretofore or hereafter authenticated and delivered (a) agrees to and shall be bound by such provisions,</w:t>
      </w:r>
    </w:p>
    <w:p>
      <w:pPr>
        <w:spacing w:after="0" w:line="2" w:lineRule="exact"/>
        <w:rPr>
          <w:rFonts w:ascii="Arial" w:cs="Arial" w:eastAsia="Arial" w:hAnsi="Arial"/>
          <w:sz w:val="18"/>
          <w:szCs w:val="18"/>
          <w:color w:val="auto"/>
        </w:rPr>
      </w:pPr>
    </w:p>
    <w:p>
      <w:pPr>
        <w:ind w:left="4" w:right="40" w:hanging="4"/>
        <w:spacing w:after="0" w:line="295" w:lineRule="auto"/>
        <w:tabs>
          <w:tab w:leader="none" w:pos="259" w:val="left"/>
        </w:tabs>
        <w:numPr>
          <w:ilvl w:val="0"/>
          <w:numId w:val="775"/>
        </w:numPr>
        <w:rPr>
          <w:rFonts w:ascii="Arial" w:cs="Arial" w:eastAsia="Arial" w:hAnsi="Arial"/>
          <w:sz w:val="16"/>
          <w:szCs w:val="16"/>
          <w:color w:val="auto"/>
        </w:rPr>
      </w:pPr>
      <w:r>
        <w:rPr>
          <w:rFonts w:ascii="Arial" w:cs="Arial" w:eastAsia="Arial" w:hAnsi="Arial"/>
          <w:sz w:val="16"/>
          <w:szCs w:val="16"/>
          <w:color w:val="auto"/>
        </w:rPr>
        <w:t xml:space="preserve">authorizes and directs the Trustee, on behalf of such Holder, to take such action as may be necessary or appropriate to effectuate the subordination as provided in the Indenture and (c) appoints the Trustee attorney-in-fact of such Holder for such purpose;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[the][each] New Subsidiary Guarantor and each Subsidiary Guarantor shall be released from all its obligations with respect to this Guarantee in accordance with the terms of the Indenture, including Section 11.08 of the Indenture and upon any defeasance of the Notes in accordance with Article 8 of the Indenture.</w:t>
      </w:r>
    </w:p>
    <w:p>
      <w:pPr>
        <w:spacing w:after="0" w:line="161" w:lineRule="exact"/>
        <w:rPr>
          <w:rFonts w:ascii="Arial" w:cs="Arial" w:eastAsia="Arial" w:hAnsi="Arial"/>
          <w:sz w:val="16"/>
          <w:szCs w:val="16"/>
          <w:color w:val="auto"/>
        </w:rPr>
      </w:pPr>
    </w:p>
    <w:p>
      <w:pPr>
        <w:ind w:left="764" w:hanging="324"/>
        <w:spacing w:after="0"/>
        <w:tabs>
          <w:tab w:leader="none" w:pos="764" w:val="left"/>
        </w:tabs>
        <w:numPr>
          <w:ilvl w:val="1"/>
          <w:numId w:val="77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SUPPLEMENTAL INDENTURE SHALL BE GOVERNED BY, AND CONSTRUED IN ACCORDANCE WITH,</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THE LAWS OF THE STATE OF NEW YORK.</w:t>
      </w:r>
    </w:p>
    <w:p>
      <w:pPr>
        <w:spacing w:after="0" w:line="210" w:lineRule="exact"/>
        <w:rPr>
          <w:rFonts w:ascii="Arial" w:cs="Arial" w:eastAsia="Arial" w:hAnsi="Arial"/>
          <w:sz w:val="17"/>
          <w:szCs w:val="17"/>
          <w:color w:val="auto"/>
        </w:rPr>
      </w:pPr>
    </w:p>
    <w:p>
      <w:pPr>
        <w:ind w:left="4" w:right="140" w:firstLine="436"/>
        <w:spacing w:after="0" w:line="277" w:lineRule="auto"/>
        <w:tabs>
          <w:tab w:leader="none" w:pos="759" w:val="left"/>
        </w:tabs>
        <w:numPr>
          <w:ilvl w:val="1"/>
          <w:numId w:val="775"/>
        </w:numPr>
        <w:rPr>
          <w:rFonts w:ascii="Arial" w:cs="Arial" w:eastAsia="Arial" w:hAnsi="Arial"/>
          <w:sz w:val="18"/>
          <w:szCs w:val="18"/>
          <w:color w:val="auto"/>
        </w:rPr>
      </w:pPr>
      <w:r>
        <w:rPr>
          <w:rFonts w:ascii="Arial" w:cs="Arial" w:eastAsia="Arial" w:hAnsi="Arial"/>
          <w:sz w:val="18"/>
          <w:szCs w:val="18"/>
          <w:u w:val="single" w:color="auto"/>
          <w:color w:val="auto"/>
        </w:rPr>
        <w:t>Trustee Makes No Representation.</w:t>
      </w:r>
      <w:r>
        <w:rPr>
          <w:rFonts w:ascii="Arial" w:cs="Arial" w:eastAsia="Arial" w:hAnsi="Arial"/>
          <w:sz w:val="18"/>
          <w:szCs w:val="18"/>
          <w:color w:val="auto"/>
        </w:rPr>
        <w:t xml:space="preserve"> The Trustee makes no representation as to the validity or sufficiency of this Supplemental Indenture. The recitals of fact contained herein shall be treated as statements of the other parties hereto and not the Trustee.</w:t>
      </w:r>
    </w:p>
    <w:p>
      <w:pPr>
        <w:spacing w:after="0" w:line="170" w:lineRule="exact"/>
        <w:rPr>
          <w:rFonts w:ascii="Arial" w:cs="Arial" w:eastAsia="Arial" w:hAnsi="Arial"/>
          <w:sz w:val="18"/>
          <w:szCs w:val="18"/>
          <w:color w:val="auto"/>
        </w:rPr>
      </w:pPr>
    </w:p>
    <w:p>
      <w:pPr>
        <w:ind w:left="4" w:right="340" w:firstLine="436"/>
        <w:spacing w:after="0" w:line="277" w:lineRule="auto"/>
        <w:tabs>
          <w:tab w:leader="none" w:pos="759" w:val="left"/>
        </w:tabs>
        <w:numPr>
          <w:ilvl w:val="1"/>
          <w:numId w:val="77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764" w:hanging="324"/>
        <w:spacing w:after="0"/>
        <w:tabs>
          <w:tab w:leader="none" w:pos="764" w:val="left"/>
        </w:tabs>
        <w:numPr>
          <w:ilvl w:val="1"/>
          <w:numId w:val="775"/>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shall not affect the construction thereof.</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004"/>
          </w:cols>
          <w:pgMar w:left="436" w:top="273" w:right="459" w:bottom="1440" w:gutter="0" w:footer="0" w:header="0"/>
        </w:sectPr>
      </w:pPr>
    </w:p>
    <w:bookmarkStart w:id="594" w:name="page595"/>
    <w:bookmarkEnd w:id="5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[NAME OF NEW SUBSIDIARY GUARANTOR], as New</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STUDIO CITY FINANCE LIMITED, as 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DEUTSCHE AMERICAS, as Trustee BANK TRUST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0460"/>
          </w:cols>
          <w:pgMar w:left="880" w:top="273" w:right="559" w:bottom="1440" w:gutter="0" w:footer="0" w:header="0"/>
        </w:sectPr>
      </w:pPr>
    </w:p>
    <w:bookmarkStart w:id="595" w:name="page596"/>
    <w:bookmarkEnd w:id="595"/>
    <w:p>
      <w:pPr>
        <w:ind w:left="10080"/>
        <w:spacing w:after="0"/>
        <w:rPr>
          <w:sz w:val="20"/>
          <w:szCs w:val="20"/>
          <w:color w:val="auto"/>
        </w:rPr>
      </w:pPr>
      <w:r>
        <w:rPr>
          <w:rFonts w:ascii="Arial" w:cs="Arial" w:eastAsia="Arial" w:hAnsi="Arial"/>
          <w:sz w:val="16"/>
          <w:szCs w:val="16"/>
          <w:b w:val="1"/>
          <w:bCs w:val="1"/>
          <w:color w:val="auto"/>
        </w:rPr>
        <w:t>Exhibit 2.19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rights of each class of securities registered under Section 12 of the Securities Exchange Act of 1934 (the “Exchange Act”)</w:t>
      </w:r>
    </w:p>
    <w:p>
      <w:pPr>
        <w:spacing w:after="0" w:line="252"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American Depositary Shares (“ADSs”), each representing four Class A ordinary shares of Studio City International Holdings Limited (“we,” “our,” “our company,” or “us”), are listed and traded on the New York Stock Exchange and, in connection therewith, the Class A ordinary shares are registered under Section 12(b) of the Securities Exchange Act of 1934, as amended (the “Exchange Act”). This exhibit contains a description of the rights of (i) the holders of Class A ordinary shares and (ii) the holders of the ADSs. Ordinary shares underlying the ADSs are held in Hong Kong by the custodian, Deutsche Bank AG, Hong Kong Branch, on behalf of Deutsche Bank Trust Company Americas as depositary, and holders of ADSs will not be treated as holders of ordinary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Ordinary Shares</w:t>
      </w:r>
    </w:p>
    <w:p>
      <w:pPr>
        <w:spacing w:after="0" w:line="1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following is a summary of material provisions of our currently effective amended and restated memorandum and articles of association (the “Memorandum and Articles of Association”), as well as the Companies Act (as amended) of the Cayman Islands (the “Companies Act”), insofar as they relate to the material terms of the Class A ordinary shares. Notwithstanding this, because it is a summary, it may not contain all the information that you may otherwise deem important. For more complete information, you should read the entire Memorandum and Articles of Association, which has been filed with the Securities and Exchange Commission (the “SEC”) as an exhibit to our annual report on Form 20-F for the fiscal year ended December 31, 2018 (File No. 001-38699) filed with the SEC on March 29,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 and Class of Securities</w:t>
      </w:r>
    </w:p>
    <w:p>
      <w:pPr>
        <w:spacing w:after="0" w:line="117"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Each Class A ordinary share has US$0.0001 par value. The number of Class A ordinary shares that have been issued as of the last day of the financial year ended December 31, 2020 is provided on the cover of our annual report on Form 20-F filed on March 31, 2021 (the “2020 Form 20-F”).</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right="140" w:firstLine="440"/>
        <w:spacing w:after="0" w:line="301" w:lineRule="auto"/>
        <w:rPr>
          <w:sz w:val="20"/>
          <w:szCs w:val="20"/>
          <w:color w:val="auto"/>
        </w:rPr>
      </w:pPr>
      <w:r>
        <w:rPr>
          <w:rFonts w:ascii="Arial" w:cs="Arial" w:eastAsia="Arial" w:hAnsi="Arial"/>
          <w:sz w:val="16"/>
          <w:szCs w:val="16"/>
          <w:color w:val="auto"/>
        </w:rPr>
        <w:t>All of our outstanding ordinary shares, including our Class A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Act.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holders of our Class A ordinary shares are entitled to such dividends as may be declared by our board of directors subject to the Companies Act and our articles of association. Our articles of association require notice of any dividend that may have been declared to be given to each holder of our Class A ordinary shares and, pursuant to our articles of association, all dividends unclaimed for one year after having been declared may be forfeited by resolution of the directors for the benefit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Each of our Class A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w:t>
      </w:r>
    </w:p>
    <w:p>
      <w:pPr>
        <w:sectPr>
          <w:pgSz w:w="11900" w:h="16838" w:orient="portrait"/>
          <w:cols w:equalWidth="0" w:num="1">
            <w:col w:w="11020"/>
          </w:cols>
          <w:pgMar w:left="440" w:top="121" w:right="439" w:bottom="1440" w:gutter="0" w:footer="0" w:header="0"/>
        </w:sectPr>
      </w:pPr>
    </w:p>
    <w:bookmarkStart w:id="596" w:name="page597"/>
    <w:bookmarkEnd w:id="596"/>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quorum required for a meeting of shareholders consists of one or more shareholders who hold at least 50 percent of our ordinary shares at the meeting present in person or by proxy or, if a corporation or 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ordinary shares. Advance notice of at least seven clear days is required for the convening of our annual general meeting and other shareholders meetings.</w:t>
      </w:r>
    </w:p>
    <w:p>
      <w:pPr>
        <w:spacing w:after="0" w:line="18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Ordinary Shares</w:t>
      </w:r>
    </w:p>
    <w:p>
      <w:pPr>
        <w:spacing w:after="0" w:line="117" w:lineRule="exact"/>
        <w:rPr>
          <w:sz w:val="20"/>
          <w:szCs w:val="20"/>
          <w:color w:val="auto"/>
        </w:rPr>
      </w:pPr>
    </w:p>
    <w:p>
      <w:pPr>
        <w:jc w:val="both"/>
        <w:ind w:right="20" w:firstLine="440"/>
        <w:spacing w:after="0" w:line="342" w:lineRule="auto"/>
        <w:rPr>
          <w:sz w:val="20"/>
          <w:szCs w:val="20"/>
          <w:color w:val="auto"/>
        </w:rPr>
      </w:pPr>
      <w:r>
        <w:rPr>
          <w:rFonts w:ascii="Arial" w:cs="Arial" w:eastAsia="Arial" w:hAnsi="Arial"/>
          <w:sz w:val="16"/>
          <w:szCs w:val="16"/>
          <w:color w:val="auto"/>
        </w:rPr>
        <w:t>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w:t>
      </w:r>
    </w:p>
    <w:p>
      <w:pPr>
        <w:spacing w:after="0" w:line="12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76" w:lineRule="exact"/>
        <w:rPr>
          <w:sz w:val="20"/>
          <w:szCs w:val="20"/>
          <w:color w:val="auto"/>
        </w:rPr>
      </w:pPr>
    </w:p>
    <w:p>
      <w:pPr>
        <w:ind w:left="960" w:right="480" w:hanging="532"/>
        <w:spacing w:after="0" w:line="308" w:lineRule="auto"/>
        <w:tabs>
          <w:tab w:leader="none" w:pos="960" w:val="left"/>
        </w:tabs>
        <w:numPr>
          <w:ilvl w:val="0"/>
          <w:numId w:val="776"/>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776"/>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76"/>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76"/>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24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Our board of directors is required to refuse to register any purported transfer of Class B ordinary shares made otherwise than in compliance with the Participation Agreement. If our directors refuse to register a transfer they must, within two months after the date on which the instrument of transfer was lodged, send to each of the transferor and the transferee notice of such refusal.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 of New Cotai LLC (“New Cotai”)</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Subject to certain conditions, New Cotai and its permitted transferees thereof may exchange their Participation Interest in MSC Cotai LLC for a number of Class A ordinary shares. If New Cotai exchanges all or a portion of the Participation Interest for Class A ordinary shares, it will also be deemed to have surrendered an equal number of Class B ordinary shares, and any Class B ordinary shares so surrendered will be canceled for no consideration.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ordinary shares), assets available for distribution among the holders of Class A ordinary shares will be distributed 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w:t>
      </w:r>
    </w:p>
    <w:p>
      <w:pPr>
        <w:sectPr>
          <w:pgSz w:w="11900" w:h="16838" w:orient="portrait"/>
          <w:cols w:equalWidth="0" w:num="1">
            <w:col w:w="10920"/>
          </w:cols>
          <w:pgMar w:left="440" w:top="273" w:right="539" w:bottom="1440" w:gutter="0" w:footer="0" w:header="0"/>
        </w:sectPr>
      </w:pPr>
    </w:p>
    <w:bookmarkStart w:id="597" w:name="page598"/>
    <w:bookmarkEnd w:id="59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Calls on Ordinary Shares and Forfeiture of Ordinary Shares</w:t>
      </w:r>
    </w:p>
    <w:p>
      <w:pPr>
        <w:spacing w:after="0" w:line="117"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Ordinary Shares</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Subject to the provisions of the Companies Act, we may issue shares on terms that are subject to redemption, at our option or at the option of the holders, on such terms and in such manner as the directors may determine.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Prohibitions on the Receipt of Dividends, the Exercise of Voting or Other Rights or the Receipt of Other Remuneration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memorandum and articles of association prohibit anyone who is an unsuitable person or an affiliate of an unsuitable person from:</w:t>
      </w:r>
    </w:p>
    <w:p>
      <w:pPr>
        <w:spacing w:after="0" w:line="142" w:lineRule="exact"/>
        <w:rPr>
          <w:sz w:val="20"/>
          <w:szCs w:val="20"/>
          <w:color w:val="auto"/>
        </w:rPr>
      </w:pPr>
    </w:p>
    <w:p>
      <w:pPr>
        <w:ind w:left="960" w:hanging="532"/>
        <w:spacing w:after="0"/>
        <w:tabs>
          <w:tab w:leader="none" w:pos="96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receiving dividends or interest with regard to our shares;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exercising voting or other rights conferred by our shares;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receiving any remuneration in any form from us or an affiliated company for services rendered or otherwise.</w:t>
      </w:r>
    </w:p>
    <w:p>
      <w:pPr>
        <w:spacing w:after="0" w:line="225"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4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“affiliated companies,” “gaming authority” and “person” have the meanings set forth in our articles of association.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Securities Owned or Controlled by an Unsuitable Person or an Affiliate</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ectPr>
          <w:pgSz w:w="11900" w:h="16838" w:orient="portrait"/>
          <w:cols w:equalWidth="0" w:num="1">
            <w:col w:w="11000"/>
          </w:cols>
          <w:pgMar w:left="440" w:top="273" w:right="459" w:bottom="1440" w:gutter="0" w:footer="0" w:header="0"/>
        </w:sectPr>
      </w:pPr>
    </w:p>
    <w:bookmarkStart w:id="598" w:name="page599"/>
    <w:bookmarkEnd w:id="598"/>
    <w:p>
      <w:pPr>
        <w:ind w:right="1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to Change the Rights of Holders of Ordinary Shares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i w:val="1"/>
          <w:iCs w:val="1"/>
          <w:color w:val="auto"/>
        </w:rPr>
        <w:t xml:space="preserve">Variations of Rights of Shares. </w:t>
      </w:r>
      <w:r>
        <w:rPr>
          <w:rFonts w:ascii="Arial" w:cs="Arial" w:eastAsia="Arial" w:hAnsi="Arial"/>
          <w:sz w:val="18"/>
          <w:szCs w:val="18"/>
          <w:color w:val="auto"/>
        </w:rPr>
        <w:t>All or any of the rights attached to any class of shares may, subject to the provisions of our memorandum and</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association and the Companies Act,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from time to time by ordinary resolution (but subject to other provisions of our memorandum and of articles of association):</w:t>
      </w:r>
    </w:p>
    <w:p>
      <w:pPr>
        <w:spacing w:after="0" w:line="131" w:lineRule="exact"/>
        <w:rPr>
          <w:sz w:val="20"/>
          <w:szCs w:val="20"/>
          <w:color w:val="auto"/>
        </w:rPr>
      </w:pPr>
    </w:p>
    <w:p>
      <w:pPr>
        <w:ind w:left="960" w:hanging="532"/>
        <w:spacing w:after="0"/>
        <w:tabs>
          <w:tab w:leader="none" w:pos="960" w:val="left"/>
        </w:tabs>
        <w:numPr>
          <w:ilvl w:val="0"/>
          <w:numId w:val="778"/>
        </w:numPr>
        <w:rPr>
          <w:rFonts w:ascii="Arial" w:cs="Arial" w:eastAsia="Arial" w:hAnsi="Arial"/>
          <w:sz w:val="17"/>
          <w:szCs w:val="17"/>
          <w:color w:val="auto"/>
        </w:rPr>
      </w:pPr>
      <w:r>
        <w:rPr>
          <w:rFonts w:ascii="Arial" w:cs="Arial" w:eastAsia="Arial" w:hAnsi="Arial"/>
          <w:sz w:val="17"/>
          <w:szCs w:val="17"/>
          <w:color w:val="auto"/>
        </w:rPr>
        <w:t>increase the share capital by such sum, to be divided into shares of such classes and amount, as the resolution may prescribe</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convert all or any of our paid-up shares into stock and reconvert that stock into paid up shares of any denomination;</w:t>
      </w:r>
    </w:p>
    <w:p>
      <w:pPr>
        <w:spacing w:after="0" w:line="130" w:lineRule="exact"/>
        <w:rPr>
          <w:rFonts w:ascii="Arial" w:cs="Arial" w:eastAsia="Arial" w:hAnsi="Arial"/>
          <w:sz w:val="18"/>
          <w:szCs w:val="18"/>
          <w:color w:val="auto"/>
        </w:rPr>
      </w:pPr>
    </w:p>
    <w:p>
      <w:pPr>
        <w:ind w:left="960" w:right="40" w:hanging="532"/>
        <w:spacing w:after="0" w:line="263" w:lineRule="auto"/>
        <w:tabs>
          <w:tab w:leader="none" w:pos="96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89"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We may by special resolution (subject to our memorandum and articles) reduce our share capital and any capital redemption reserve in any manner authorized by law.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Exempted Company</w:t>
      </w:r>
    </w:p>
    <w:p>
      <w:pPr>
        <w:spacing w:after="0" w:line="117"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We are an exempted company incorporated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77" w:lineRule="exact"/>
        <w:rPr>
          <w:sz w:val="20"/>
          <w:szCs w:val="20"/>
          <w:color w:val="auto"/>
        </w:rPr>
      </w:pPr>
    </w:p>
    <w:p>
      <w:pPr>
        <w:ind w:left="960" w:hanging="532"/>
        <w:spacing w:after="0" w:line="277" w:lineRule="auto"/>
        <w:tabs>
          <w:tab w:leader="none" w:pos="96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ectPr>
          <w:pgSz w:w="11900" w:h="16838" w:orient="portrait"/>
          <w:cols w:equalWidth="0" w:num="1">
            <w:col w:w="10960"/>
          </w:cols>
          <w:pgMar w:left="440" w:top="273" w:right="499" w:bottom="1440" w:gutter="0" w:footer="0" w:header="0"/>
        </w:sectPr>
      </w:pPr>
    </w:p>
    <w:bookmarkStart w:id="599" w:name="page600"/>
    <w:bookmarkEnd w:id="599"/>
    <w:p>
      <w:pPr>
        <w:ind w:left="960" w:hanging="532"/>
        <w:spacing w:after="0"/>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exempted company does not have to hold an annual general meeting;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an exempted company may issue shares with or without par value;</w:t>
      </w:r>
    </w:p>
    <w:p>
      <w:pPr>
        <w:spacing w:after="0" w:line="130"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Differences in Corporate Law</w:t>
      </w:r>
    </w:p>
    <w:p>
      <w:pPr>
        <w:spacing w:after="0" w:line="117"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w:t>
      </w:r>
    </w:p>
    <w:p>
      <w:pPr>
        <w:spacing w:after="0" w:line="149"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i w:val="1"/>
          <w:iCs w:val="1"/>
          <w:color w:val="auto"/>
        </w:rPr>
        <w:t xml:space="preserve">Mergers and Similar Arrangements. </w:t>
      </w:r>
      <w:r>
        <w:rPr>
          <w:rFonts w:ascii="Arial" w:cs="Arial" w:eastAsia="Arial" w:hAnsi="Arial"/>
          <w:sz w:val="16"/>
          <w:szCs w:val="16"/>
          <w:color w:val="auto"/>
        </w:rPr>
        <w:t>The Companies Act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(i) a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w:t>
      </w:r>
    </w:p>
    <w:p>
      <w:pPr>
        <w:spacing w:after="0" w:line="166"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7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in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6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76" w:lineRule="exact"/>
        <w:rPr>
          <w:sz w:val="20"/>
          <w:szCs w:val="20"/>
          <w:color w:val="auto"/>
        </w:rPr>
      </w:pPr>
    </w:p>
    <w:p>
      <w:pPr>
        <w:ind w:left="960" w:hanging="532"/>
        <w:spacing w:after="0"/>
        <w:tabs>
          <w:tab w:leader="none" w:pos="96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ectPr>
          <w:pgSz w:w="11900" w:h="16838" w:orient="portrait"/>
          <w:cols w:equalWidth="0" w:num="1">
            <w:col w:w="11020"/>
          </w:cols>
          <w:pgMar w:left="440" w:top="273" w:right="439" w:bottom="1440" w:gutter="0" w:footer="0" w:header="0"/>
        </w:sectPr>
      </w:pPr>
    </w:p>
    <w:bookmarkStart w:id="600" w:name="page601"/>
    <w:bookmarkEnd w:id="600"/>
    <w:p>
      <w:pPr>
        <w:ind w:left="960" w:right="60" w:hanging="532"/>
        <w:spacing w:after="0" w:line="277" w:lineRule="auto"/>
        <w:tabs>
          <w:tab w:leader="none" w:pos="960" w:val="left"/>
        </w:tabs>
        <w:numPr>
          <w:ilvl w:val="0"/>
          <w:numId w:val="7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82"/>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782"/>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When a take-over offer is made and accepted by holders of not less than 90% of the shares within four months, the offeror may, within</w:t>
      </w:r>
    </w:p>
    <w:p>
      <w:pPr>
        <w:spacing w:after="0" w:line="3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 two-month period commencing on the expiration of such four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90"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i w:val="1"/>
          <w:iCs w:val="1"/>
          <w:color w:val="auto"/>
        </w:rPr>
        <w:t xml:space="preserve">Shareholders’ Suits. </w:t>
      </w:r>
      <w:r>
        <w:rPr>
          <w:rFonts w:ascii="Arial" w:cs="Arial" w:eastAsia="Arial" w:hAnsi="Arial"/>
          <w:sz w:val="18"/>
          <w:szCs w:val="18"/>
          <w:color w:val="auto"/>
        </w:rPr>
        <w:t>Derivative actions have been brought in the Cayman Islands courts. In most cases, the company will be the proper plaintiff in</w:t>
      </w:r>
      <w:r>
        <w:rPr>
          <w:rFonts w:ascii="Arial" w:cs="Arial" w:eastAsia="Arial" w:hAnsi="Arial"/>
          <w:sz w:val="18"/>
          <w:szCs w:val="18"/>
          <w:i w:val="1"/>
          <w:iCs w:val="1"/>
          <w:color w:val="auto"/>
        </w:rPr>
        <w:t xml:space="preserve"> </w:t>
      </w:r>
      <w:r>
        <w:rPr>
          <w:rFonts w:ascii="Arial" w:cs="Arial" w:eastAsia="Arial" w:hAnsi="Arial"/>
          <w:sz w:val="18"/>
          <w:szCs w:val="18"/>
          <w:color w:val="auto"/>
        </w:rPr>
        <w:t>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92" w:lineRule="exact"/>
        <w:rPr>
          <w:sz w:val="20"/>
          <w:szCs w:val="20"/>
          <w:color w:val="auto"/>
        </w:rPr>
      </w:pPr>
    </w:p>
    <w:p>
      <w:pPr>
        <w:ind w:left="960" w:hanging="532"/>
        <w:spacing w:after="0"/>
        <w:tabs>
          <w:tab w:leader="none" w:pos="96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960" w:right="340" w:hanging="532"/>
        <w:spacing w:after="0" w:line="277" w:lineRule="auto"/>
        <w:tabs>
          <w:tab w:leader="none" w:pos="96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 shareholder may have a direct right of action against the company where the individual rights of that shareholder have been infringed or are about to be infringed.</w:t>
      </w:r>
    </w:p>
    <w:p>
      <w:pPr>
        <w:spacing w:after="0" w:line="170"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i w:val="1"/>
          <w:iCs w:val="1"/>
          <w:color w:val="auto"/>
        </w:rPr>
        <w:t xml:space="preserve">Directors’ Fiduciary Duties. </w:t>
      </w:r>
      <w:r>
        <w:rPr>
          <w:rFonts w:ascii="Arial" w:cs="Arial" w:eastAsia="Arial" w:hAnsi="Arial"/>
          <w:sz w:val="17"/>
          <w:szCs w:val="17"/>
          <w:color w:val="auto"/>
        </w:rPr>
        <w:t>Under Delaware corporate law, a director of a Delaware corporation has a fiduciary duty to the corporation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2"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ectPr>
          <w:pgSz w:w="11900" w:h="16838" w:orient="portrait"/>
          <w:cols w:equalWidth="0" w:num="1">
            <w:col w:w="11000"/>
          </w:cols>
          <w:pgMar w:left="440" w:top="273" w:right="459" w:bottom="1440" w:gutter="0" w:footer="0" w:header="0"/>
        </w:sectPr>
      </w:pPr>
    </w:p>
    <w:bookmarkStart w:id="601" w:name="page602"/>
    <w:bookmarkEnd w:id="601"/>
    <w:p>
      <w:pPr>
        <w:jc w:val="both"/>
        <w:ind w:right="5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184" w:lineRule="exact"/>
        <w:rPr>
          <w:sz w:val="20"/>
          <w:szCs w:val="20"/>
          <w:color w:val="auto"/>
        </w:rPr>
      </w:pPr>
    </w:p>
    <w:p>
      <w:pPr>
        <w:ind w:right="640" w:firstLine="440"/>
        <w:spacing w:after="0" w:line="263" w:lineRule="auto"/>
        <w:rPr>
          <w:sz w:val="20"/>
          <w:szCs w:val="20"/>
          <w:color w:val="auto"/>
        </w:rPr>
      </w:pPr>
      <w:r>
        <w:rPr>
          <w:rFonts w:ascii="Arial" w:cs="Arial" w:eastAsia="Arial" w:hAnsi="Arial"/>
          <w:sz w:val="18"/>
          <w:szCs w:val="18"/>
          <w:i w:val="1"/>
          <w:iCs w:val="1"/>
          <w:color w:val="auto"/>
        </w:rPr>
        <w:t xml:space="preserve">Shareholder Action by Written Resolution. </w:t>
      </w:r>
      <w:r>
        <w:rPr>
          <w:rFonts w:ascii="Arial" w:cs="Arial" w:eastAsia="Arial" w:hAnsi="Arial"/>
          <w:sz w:val="18"/>
          <w:szCs w:val="18"/>
          <w:color w:val="auto"/>
        </w:rPr>
        <w:t>Under the Delaware General Corporation Law, a corporation’s certificate of incorporation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 the right of shareholders to act by written consent. Our memorandum and articles of association allow shareholders to act by written resolutions.</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 As permitted under Cayman Islands law, our memorandum and articles of association do not provide for cumulative voting.</w:t>
      </w:r>
    </w:p>
    <w:p>
      <w:pPr>
        <w:spacing w:after="0" w:line="188"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Under the Delaware General Corporation Law, a director of a corporation may be removed with the approval of a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outstanding shares entitled to vote, unless the certificate of incorporation provides otherwise. Under our memorandum and articles of association, subject to the Shareholders’ Agreement, directors can be removed by special resolution of the shareholders.</w:t>
      </w:r>
    </w:p>
    <w:p>
      <w:pPr>
        <w:spacing w:after="0" w:line="184"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8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187" w:lineRule="exact"/>
        <w:rPr>
          <w:sz w:val="20"/>
          <w:szCs w:val="20"/>
          <w:color w:val="auto"/>
        </w:rPr>
      </w:pPr>
    </w:p>
    <w:p>
      <w:pPr>
        <w:ind w:right="300" w:firstLine="440"/>
        <w:spacing w:after="0" w:line="257" w:lineRule="auto"/>
        <w:rPr>
          <w:sz w:val="20"/>
          <w:szCs w:val="20"/>
          <w:color w:val="auto"/>
        </w:rPr>
      </w:pPr>
      <w:r>
        <w:rPr>
          <w:rFonts w:ascii="Arial" w:cs="Arial" w:eastAsia="Arial" w:hAnsi="Arial"/>
          <w:sz w:val="18"/>
          <w:szCs w:val="18"/>
          <w:i w:val="1"/>
          <w:iCs w:val="1"/>
          <w:color w:val="auto"/>
        </w:rPr>
        <w:t>Dissolution and Winding Up</w:t>
      </w:r>
      <w:r>
        <w:rPr>
          <w:rFonts w:ascii="Arial" w:cs="Arial" w:eastAsia="Arial" w:hAnsi="Arial"/>
          <w:sz w:val="18"/>
          <w:szCs w:val="18"/>
          <w:color w:val="auto"/>
        </w:rPr>
        <w:t>. Under the Delaware General Corporation Law, unless the board of directors approves the proposal to dissolve,</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8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Under our memorandum and articles of association, if our company is wound up, the liquidator of our company may distribute the assets with the sanction of an ordinary resolution of the shareholders and any other sanction required by law.</w:t>
      </w:r>
    </w:p>
    <w:p>
      <w:pPr>
        <w:sectPr>
          <w:pgSz w:w="11900" w:h="16838" w:orient="portrait"/>
          <w:cols w:equalWidth="0" w:num="1">
            <w:col w:w="11000"/>
          </w:cols>
          <w:pgMar w:left="440" w:top="273" w:right="459" w:bottom="1440" w:gutter="0" w:footer="0" w:header="0"/>
        </w:sectPr>
      </w:pPr>
    </w:p>
    <w:bookmarkStart w:id="602" w:name="page603"/>
    <w:bookmarkEnd w:id="602"/>
    <w:p>
      <w:pPr>
        <w:ind w:firstLine="440"/>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Variation of Rights of Shares</w:t>
      </w:r>
      <w:r>
        <w:rPr>
          <w:rFonts w:ascii="Arial" w:cs="Arial" w:eastAsia="Arial" w:hAnsi="Arial"/>
          <w:sz w:val="18"/>
          <w:szCs w:val="18"/>
          <w:color w:val="auto"/>
        </w:rPr>
        <w:t>. Under the Delaware General Corporation Law, a corporation may vary the rights of a class of shares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i w:val="1"/>
          <w:iCs w:val="1"/>
          <w:color w:val="auto"/>
        </w:rPr>
        <w:t xml:space="preserve">Amendment of Governing Documents. </w:t>
      </w:r>
      <w:r>
        <w:rPr>
          <w:rFonts w:ascii="Arial" w:cs="Arial" w:eastAsia="Arial" w:hAnsi="Arial"/>
          <w:sz w:val="18"/>
          <w:szCs w:val="18"/>
          <w:color w:val="auto"/>
        </w:rPr>
        <w:t>Under the Delaware General Corporation Law, a corporation’s governing documents may be amended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approval of a majority of the outstanding shares entitled to vote, unless the certificate of incorporation provides otherwise. Our memorandum and articles of association may be amended by a special resolution of shareholders.</w:t>
      </w:r>
    </w:p>
    <w:p>
      <w:pPr>
        <w:spacing w:after="0" w:line="184" w:lineRule="exact"/>
        <w:rPr>
          <w:sz w:val="20"/>
          <w:szCs w:val="20"/>
          <w:color w:val="auto"/>
        </w:rPr>
      </w:pPr>
    </w:p>
    <w:p>
      <w:pPr>
        <w:ind w:right="460" w:firstLine="440"/>
        <w:spacing w:after="0" w:line="279" w:lineRule="auto"/>
        <w:rPr>
          <w:sz w:val="20"/>
          <w:szCs w:val="20"/>
          <w:color w:val="auto"/>
        </w:rPr>
      </w:pPr>
      <w:r>
        <w:rPr>
          <w:rFonts w:ascii="Arial" w:cs="Arial" w:eastAsia="Arial" w:hAnsi="Arial"/>
          <w:sz w:val="17"/>
          <w:szCs w:val="17"/>
          <w:i w:val="1"/>
          <w:iCs w:val="1"/>
          <w:color w:val="auto"/>
        </w:rPr>
        <w:t xml:space="preserve">Waiver of Certain Corporate Opportunities. </w:t>
      </w:r>
      <w:r>
        <w:rPr>
          <w:rFonts w:ascii="Arial" w:cs="Arial" w:eastAsia="Arial" w:hAnsi="Arial"/>
          <w:sz w:val="17"/>
          <w:szCs w:val="17"/>
          <w:color w:val="auto"/>
        </w:rPr>
        <w:t>Under our memorandum and articles of association, the Company has renounced any interest or</w:t>
      </w:r>
      <w:r>
        <w:rPr>
          <w:rFonts w:ascii="Arial" w:cs="Arial" w:eastAsia="Arial" w:hAnsi="Arial"/>
          <w:sz w:val="17"/>
          <w:szCs w:val="17"/>
          <w:i w:val="1"/>
          <w:iCs w:val="1"/>
          <w:color w:val="auto"/>
        </w:rPr>
        <w:t xml:space="preserve"> </w:t>
      </w:r>
      <w:r>
        <w:rPr>
          <w:rFonts w:ascii="Arial" w:cs="Arial" w:eastAsia="Arial" w:hAnsi="Arial"/>
          <w:sz w:val="17"/>
          <w:szCs w:val="17"/>
          <w:color w:val="auto"/>
        </w:rPr>
        <w:t>expectancy of the Company in, or in being offered an opportunity to participate in, certain opportunities where such opportunities come into the possession of one of our directors other than in his or her capacity as a director (as more particularly described in our memorandum and articles of association). This is subject to applicable law and may be waived by the relevant director.</w:t>
      </w:r>
    </w:p>
    <w:p>
      <w:pPr>
        <w:spacing w:after="0" w:line="171" w:lineRule="exact"/>
        <w:rPr>
          <w:sz w:val="20"/>
          <w:szCs w:val="20"/>
          <w:color w:val="auto"/>
        </w:rPr>
      </w:pPr>
    </w:p>
    <w:p>
      <w:pPr>
        <w:jc w:val="both"/>
        <w:ind w:right="220" w:firstLine="440"/>
        <w:spacing w:after="0" w:line="301" w:lineRule="auto"/>
        <w:rPr>
          <w:sz w:val="20"/>
          <w:szCs w:val="20"/>
          <w:color w:val="auto"/>
        </w:rPr>
      </w:pPr>
      <w:r>
        <w:rPr>
          <w:rFonts w:ascii="Arial" w:cs="Arial" w:eastAsia="Arial" w:hAnsi="Arial"/>
          <w:sz w:val="16"/>
          <w:szCs w:val="16"/>
          <w:i w:val="1"/>
          <w:iCs w:val="1"/>
          <w:color w:val="auto"/>
        </w:rPr>
        <w:t xml:space="preserve">Inspection of Books and Records. </w:t>
      </w:r>
      <w:r>
        <w:rPr>
          <w:rFonts w:ascii="Arial" w:cs="Arial" w:eastAsia="Arial" w:hAnsi="Arial"/>
          <w:sz w:val="16"/>
          <w:szCs w:val="16"/>
          <w:color w:val="auto"/>
        </w:rPr>
        <w:t>Under the Delaware General Corporation Law, any shareholder of a corporation may for any proper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inspect or make copies of the corporation’s stock ledger, list of shareholders and other books and records. 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w:t>
      </w:r>
    </w:p>
    <w:p>
      <w:pPr>
        <w:spacing w:after="0" w:line="157"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i w:val="1"/>
          <w:iCs w:val="1"/>
          <w:color w:val="auto"/>
        </w:rPr>
        <w:t xml:space="preserve">Anti-Takeover Provisions in our Memorandum and Articles of Association. </w:t>
      </w:r>
      <w:r>
        <w:rPr>
          <w:rFonts w:ascii="Arial" w:cs="Arial" w:eastAsia="Arial" w:hAnsi="Arial"/>
          <w:sz w:val="16"/>
          <w:szCs w:val="16"/>
          <w:color w:val="auto"/>
        </w:rPr>
        <w:t>Some provisions of our memorandum and articles of association may</w:t>
      </w:r>
      <w:r>
        <w:rPr>
          <w:rFonts w:ascii="Arial" w:cs="Arial" w:eastAsia="Arial" w:hAnsi="Arial"/>
          <w:sz w:val="16"/>
          <w:szCs w:val="16"/>
          <w:i w:val="1"/>
          <w:iCs w:val="1"/>
          <w:color w:val="auto"/>
        </w:rPr>
        <w:t xml:space="preserve"> </w:t>
      </w:r>
      <w:r>
        <w:rPr>
          <w:rFonts w:ascii="Arial" w:cs="Arial" w:eastAsia="Arial" w:hAnsi="Arial"/>
          <w:sz w:val="16"/>
          <w:szCs w:val="16"/>
          <w:color w:val="auto"/>
        </w:rPr>
        <w:t>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 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 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65"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i w:val="1"/>
          <w:iCs w:val="1"/>
          <w:color w:val="auto"/>
        </w:rPr>
        <w:t>Rights of Non-Resident or Foreign Shareholders</w:t>
      </w:r>
      <w:r>
        <w:rPr>
          <w:rFonts w:ascii="Arial" w:cs="Arial" w:eastAsia="Arial" w:hAnsi="Arial"/>
          <w:sz w:val="17"/>
          <w:szCs w:val="17"/>
          <w:color w:val="auto"/>
        </w:rPr>
        <w:t>. There are no limitations imposed by our memorandum and articles of association on the rights</w:t>
      </w:r>
      <w:r>
        <w:rPr>
          <w:rFonts w:ascii="Arial" w:cs="Arial" w:eastAsia="Arial" w:hAnsi="Arial"/>
          <w:sz w:val="17"/>
          <w:szCs w:val="17"/>
          <w:i w:val="1"/>
          <w:iCs w:val="1"/>
          <w:color w:val="auto"/>
        </w:rPr>
        <w:t xml:space="preserve"> </w:t>
      </w:r>
      <w:r>
        <w:rPr>
          <w:rFonts w:ascii="Arial" w:cs="Arial" w:eastAsia="Arial" w:hAnsi="Arial"/>
          <w:sz w:val="17"/>
          <w:szCs w:val="17"/>
          <w:color w:val="auto"/>
        </w:rPr>
        <w:t>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121" w:lineRule="exact"/>
        <w:rPr>
          <w:sz w:val="20"/>
          <w:szCs w:val="20"/>
          <w:color w:val="auto"/>
        </w:rPr>
      </w:pPr>
    </w:p>
    <w:p>
      <w:pPr>
        <w:ind w:right="20" w:firstLine="4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our ADSs, please refer to the </w:t>
      </w:r>
      <w:hyperlink r:id="rId852">
        <w:r>
          <w:rPr>
            <w:rFonts w:ascii="Arial" w:cs="Arial" w:eastAsia="Arial" w:hAnsi="Arial"/>
            <w:sz w:val="18"/>
            <w:szCs w:val="18"/>
            <w:u w:val="single" w:color="auto"/>
            <w:color w:val="0000EE"/>
          </w:rPr>
          <w:t>Description of American Depositary Shares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(incorporated by reference to our registration statement on Form F-1 (File No. 333-227232), as amended, initially filed with the SEC on September 7, 2018).</w:t>
      </w:r>
    </w:p>
    <w:p>
      <w:pPr>
        <w:sectPr>
          <w:pgSz w:w="11900" w:h="16838" w:orient="portrait"/>
          <w:cols w:equalWidth="0" w:num="1">
            <w:col w:w="11000"/>
          </w:cols>
          <w:pgMar w:left="440" w:top="273" w:right="459" w:bottom="1440" w:gutter="0" w:footer="0" w:header="0"/>
        </w:sectPr>
      </w:pPr>
    </w:p>
    <w:bookmarkStart w:id="603" w:name="page604"/>
    <w:bookmarkEnd w:id="603"/>
    <w:p>
      <w:pPr>
        <w:jc w:val="right"/>
        <w:spacing w:after="0"/>
        <w:rPr>
          <w:sz w:val="20"/>
          <w:szCs w:val="20"/>
          <w:color w:val="auto"/>
        </w:rPr>
      </w:pPr>
      <w:r>
        <w:rPr>
          <w:rFonts w:ascii="Arial" w:cs="Arial" w:eastAsia="Arial" w:hAnsi="Arial"/>
          <w:sz w:val="18"/>
          <w:szCs w:val="18"/>
          <w:b w:val="1"/>
          <w:bCs w:val="1"/>
          <w:color w:val="auto"/>
        </w:rPr>
        <w:t>Exhibit 2.20</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168910</wp:posOffset>
            </wp:positionV>
            <wp:extent cx="1551305" cy="17145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53">
                      <a:extLst>
                        <a:ext uri="{28A0092B-C50C-407E-A947-70E740481C1C}"/>
                      </a:extLst>
                    </a:blip>
                    <a:srcRect/>
                    <a:stretch>
                      <a:fillRect/>
                    </a:stretch>
                  </pic:blipFill>
                  <pic:spPr bwMode="auto">
                    <a:xfrm>
                      <a:off x="0" y="0"/>
                      <a:ext cx="15513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15 March</w:t>
      </w:r>
      <w:r>
        <w:rPr>
          <w:rFonts w:ascii="Arial" w:cs="Arial" w:eastAsia="Arial" w:hAnsi="Arial"/>
          <w:sz w:val="18"/>
          <w:szCs w:val="18"/>
          <w:b w:val="1"/>
          <w:bCs w:val="1"/>
          <w:color w:val="auto"/>
        </w:rPr>
        <w:t xml:space="preserve"> 2021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Amendment and Restatement Agreement</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in respect of the HKD10,855,880,000 Senior Secured Term Loan and Revolving Facilities Agreement</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originally dated 28 January 2013 (as amended and restated from time to time)</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Studio City Investments Limited</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Parent</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Studio City Company Limited</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Borrower</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Agent</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Industrial and Commercial Bank of China (Macau) Limited</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Common Security Agent</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 others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White &amp; Case</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9th Floor Central Tower</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28 Queen’s Road Central</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020"/>
          </w:cols>
          <w:pgMar w:left="1440" w:top="121" w:right="439" w:bottom="1440" w:gutter="0" w:footer="0" w:header="0"/>
        </w:sectPr>
      </w:pPr>
    </w:p>
    <w:bookmarkStart w:id="604" w:name="page605"/>
    <w:bookmarkEnd w:id="604"/>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780" w:type="dxa"/>
            <w:vAlign w:val="bottom"/>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3800" w:type="dxa"/>
            <w:vAlign w:val="bottom"/>
          </w:tcPr>
          <w:p>
            <w:pPr>
              <w:ind w:left="260"/>
              <w:spacing w:after="0"/>
              <w:rPr>
                <w:sz w:val="20"/>
                <w:szCs w:val="20"/>
                <w:color w:val="auto"/>
              </w:rPr>
            </w:pPr>
            <w:r>
              <w:rPr>
                <w:rFonts w:ascii="Arial" w:cs="Arial" w:eastAsia="Arial" w:hAnsi="Arial"/>
                <w:sz w:val="18"/>
                <w:szCs w:val="18"/>
                <w:color w:val="auto"/>
              </w:rPr>
              <w:t>Interpretation</w:t>
            </w:r>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3800" w:type="dxa"/>
            <w:vAlign w:val="bottom"/>
          </w:tcPr>
          <w:p>
            <w:pPr>
              <w:ind w:left="260"/>
              <w:spacing w:after="0"/>
              <w:rPr>
                <w:sz w:val="20"/>
                <w:szCs w:val="20"/>
                <w:color w:val="auto"/>
              </w:rPr>
            </w:pPr>
            <w:r>
              <w:rPr>
                <w:rFonts w:ascii="Arial" w:cs="Arial" w:eastAsia="Arial" w:hAnsi="Arial"/>
                <w:sz w:val="18"/>
                <w:szCs w:val="18"/>
                <w:color w:val="auto"/>
              </w:rPr>
              <w:t>Amendment to the Facilities Agreement</w:t>
            </w:r>
          </w:p>
        </w:tc>
        <w:tc>
          <w:tcPr>
            <w:tcW w:w="6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3800" w:type="dxa"/>
            <w:vAlign w:val="bottom"/>
          </w:tcPr>
          <w:p>
            <w:pPr>
              <w:ind w:left="260"/>
              <w:spacing w:after="0"/>
              <w:rPr>
                <w:sz w:val="20"/>
                <w:szCs w:val="20"/>
                <w:color w:val="auto"/>
              </w:rPr>
            </w:pPr>
            <w:r>
              <w:rPr>
                <w:rFonts w:ascii="Arial" w:cs="Arial" w:eastAsia="Arial" w:hAnsi="Arial"/>
                <w:sz w:val="18"/>
                <w:szCs w:val="18"/>
                <w:color w:val="auto"/>
              </w:rPr>
              <w:t>Representations</w:t>
            </w:r>
          </w:p>
        </w:tc>
        <w:tc>
          <w:tcPr>
            <w:tcW w:w="6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4.</w:t>
            </w:r>
          </w:p>
        </w:tc>
        <w:tc>
          <w:tcPr>
            <w:tcW w:w="3800" w:type="dxa"/>
            <w:vAlign w:val="bottom"/>
          </w:tcPr>
          <w:p>
            <w:pPr>
              <w:ind w:left="260"/>
              <w:spacing w:after="0"/>
              <w:rPr>
                <w:sz w:val="20"/>
                <w:szCs w:val="20"/>
                <w:color w:val="auto"/>
              </w:rPr>
            </w:pPr>
            <w:r>
              <w:rPr>
                <w:rFonts w:ascii="Arial" w:cs="Arial" w:eastAsia="Arial" w:hAnsi="Arial"/>
                <w:sz w:val="18"/>
                <w:szCs w:val="18"/>
                <w:color w:val="auto"/>
              </w:rPr>
              <w:t>Continuity and further assurance</w:t>
            </w:r>
          </w:p>
        </w:tc>
        <w:tc>
          <w:tcPr>
            <w:tcW w:w="6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5.</w:t>
            </w:r>
          </w:p>
        </w:tc>
        <w:tc>
          <w:tcPr>
            <w:tcW w:w="3800" w:type="dxa"/>
            <w:vAlign w:val="bottom"/>
          </w:tcPr>
          <w:p>
            <w:pPr>
              <w:ind w:left="260"/>
              <w:spacing w:after="0"/>
              <w:rPr>
                <w:sz w:val="20"/>
                <w:szCs w:val="20"/>
                <w:color w:val="auto"/>
              </w:rPr>
            </w:pPr>
            <w:r>
              <w:rPr>
                <w:rFonts w:ascii="Arial" w:cs="Arial" w:eastAsia="Arial" w:hAnsi="Arial"/>
                <w:sz w:val="18"/>
                <w:szCs w:val="18"/>
                <w:color w:val="auto"/>
              </w:rPr>
              <w:t>Costs and expenses</w:t>
            </w:r>
          </w:p>
        </w:tc>
        <w:tc>
          <w:tcPr>
            <w:tcW w:w="6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6.</w:t>
            </w:r>
          </w:p>
        </w:tc>
        <w:tc>
          <w:tcPr>
            <w:tcW w:w="3800" w:type="dxa"/>
            <w:vAlign w:val="bottom"/>
          </w:tcPr>
          <w:p>
            <w:pPr>
              <w:ind w:left="260"/>
              <w:spacing w:after="0"/>
              <w:rPr>
                <w:sz w:val="20"/>
                <w:szCs w:val="20"/>
                <w:color w:val="auto"/>
              </w:rPr>
            </w:pPr>
            <w:r>
              <w:rPr>
                <w:rFonts w:ascii="Arial" w:cs="Arial" w:eastAsia="Arial" w:hAnsi="Arial"/>
                <w:sz w:val="18"/>
                <w:szCs w:val="18"/>
                <w:color w:val="auto"/>
              </w:rPr>
              <w:t>Enforcement</w:t>
            </w:r>
          </w:p>
        </w:tc>
        <w:tc>
          <w:tcPr>
            <w:tcW w:w="6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7.</w:t>
            </w:r>
          </w:p>
        </w:tc>
        <w:tc>
          <w:tcPr>
            <w:tcW w:w="3800" w:type="dxa"/>
            <w:vAlign w:val="bottom"/>
          </w:tcPr>
          <w:p>
            <w:pPr>
              <w:ind w:left="260"/>
              <w:spacing w:after="0"/>
              <w:rPr>
                <w:sz w:val="20"/>
                <w:szCs w:val="20"/>
                <w:color w:val="auto"/>
              </w:rPr>
            </w:pPr>
            <w:r>
              <w:rPr>
                <w:rFonts w:ascii="Arial" w:cs="Arial" w:eastAsia="Arial" w:hAnsi="Arial"/>
                <w:sz w:val="18"/>
                <w:szCs w:val="18"/>
                <w:color w:val="auto"/>
              </w:rPr>
              <w:t>Miscellaneous</w:t>
            </w:r>
          </w:p>
        </w:tc>
        <w:tc>
          <w:tcPr>
            <w:tcW w:w="6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8.</w:t>
            </w:r>
          </w:p>
        </w:tc>
        <w:tc>
          <w:tcPr>
            <w:tcW w:w="380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6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9.</w:t>
            </w:r>
          </w:p>
        </w:tc>
        <w:tc>
          <w:tcPr>
            <w:tcW w:w="380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67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Schedule 1</w:t>
            </w:r>
          </w:p>
        </w:tc>
        <w:tc>
          <w:tcPr>
            <w:tcW w:w="6680" w:type="dxa"/>
            <w:vAlign w:val="bottom"/>
          </w:tcPr>
          <w:p>
            <w:pPr>
              <w:ind w:left="200"/>
              <w:spacing w:after="0"/>
              <w:rPr>
                <w:sz w:val="20"/>
                <w:szCs w:val="20"/>
                <w:color w:val="auto"/>
              </w:rPr>
            </w:pPr>
            <w:r>
              <w:rPr>
                <w:rFonts w:ascii="Arial" w:cs="Arial" w:eastAsia="Arial" w:hAnsi="Arial"/>
                <w:sz w:val="18"/>
                <w:szCs w:val="18"/>
                <w:b w:val="1"/>
                <w:bCs w:val="1"/>
                <w:color w:val="auto"/>
              </w:rPr>
              <w:t>Amended and Restated Facilities Agreement</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1020" w:type="dxa"/>
            <w:vAlign w:val="bottom"/>
          </w:tcPr>
          <w:p>
            <w:pPr>
              <w:spacing w:after="0"/>
              <w:rPr>
                <w:sz w:val="20"/>
                <w:szCs w:val="20"/>
                <w:color w:val="auto"/>
              </w:rPr>
            </w:pPr>
            <w:r>
              <w:rPr>
                <w:rFonts w:ascii="Arial" w:cs="Arial" w:eastAsia="Arial" w:hAnsi="Arial"/>
                <w:sz w:val="18"/>
                <w:szCs w:val="18"/>
                <w:b w:val="1"/>
                <w:bCs w:val="1"/>
                <w:color w:val="auto"/>
              </w:rPr>
              <w:t>Schedule 2</w:t>
            </w:r>
          </w:p>
        </w:tc>
        <w:tc>
          <w:tcPr>
            <w:tcW w:w="6680" w:type="dxa"/>
            <w:vAlign w:val="bottom"/>
          </w:tcPr>
          <w:p>
            <w:pPr>
              <w:ind w:left="200"/>
              <w:spacing w:after="0"/>
              <w:rPr>
                <w:sz w:val="20"/>
                <w:szCs w:val="20"/>
                <w:color w:val="auto"/>
              </w:rPr>
            </w:pPr>
            <w:r>
              <w:rPr>
                <w:rFonts w:ascii="Arial" w:cs="Arial" w:eastAsia="Arial" w:hAnsi="Arial"/>
                <w:sz w:val="18"/>
                <w:szCs w:val="18"/>
                <w:b w:val="1"/>
                <w:bCs w:val="1"/>
                <w:color w:val="auto"/>
              </w:rPr>
              <w:t>Conditions Precedent</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10"/>
        </w:trPr>
        <w:tc>
          <w:tcPr>
            <w:tcW w:w="1020" w:type="dxa"/>
            <w:vAlign w:val="bottom"/>
          </w:tcPr>
          <w:p>
            <w:pPr>
              <w:spacing w:after="0"/>
              <w:rPr>
                <w:sz w:val="20"/>
                <w:szCs w:val="20"/>
                <w:color w:val="auto"/>
              </w:rPr>
            </w:pPr>
            <w:r>
              <w:rPr>
                <w:rFonts w:ascii="Arial" w:cs="Arial" w:eastAsia="Arial" w:hAnsi="Arial"/>
                <w:sz w:val="18"/>
                <w:szCs w:val="18"/>
                <w:b w:val="1"/>
                <w:bCs w:val="1"/>
                <w:color w:val="auto"/>
              </w:rPr>
              <w:t>Schedule 3</w:t>
            </w:r>
          </w:p>
        </w:tc>
        <w:tc>
          <w:tcPr>
            <w:tcW w:w="6680" w:type="dxa"/>
            <w:vAlign w:val="bottom"/>
          </w:tcPr>
          <w:p>
            <w:pPr>
              <w:ind w:left="200"/>
              <w:spacing w:after="0"/>
              <w:rPr>
                <w:sz w:val="20"/>
                <w:szCs w:val="20"/>
                <w:color w:val="auto"/>
              </w:rPr>
            </w:pPr>
            <w:r>
              <w:rPr>
                <w:rFonts w:ascii="Arial" w:cs="Arial" w:eastAsia="Arial" w:hAnsi="Arial"/>
                <w:sz w:val="18"/>
                <w:szCs w:val="18"/>
                <w:b w:val="1"/>
                <w:bCs w:val="1"/>
                <w:color w:val="auto"/>
              </w:rPr>
              <w:t>Confirmatory Security Documents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Part 1</w:t>
            </w:r>
          </w:p>
        </w:tc>
        <w:tc>
          <w:tcPr>
            <w:tcW w:w="6680" w:type="dxa"/>
            <w:vAlign w:val="bottom"/>
          </w:tcPr>
          <w:p>
            <w:pPr>
              <w:ind w:left="220"/>
              <w:spacing w:after="0"/>
              <w:rPr>
                <w:sz w:val="20"/>
                <w:szCs w:val="20"/>
                <w:color w:val="auto"/>
              </w:rPr>
            </w:pPr>
            <w:r>
              <w:rPr>
                <w:rFonts w:ascii="Arial" w:cs="Arial" w:eastAsia="Arial" w:hAnsi="Arial"/>
                <w:sz w:val="18"/>
                <w:szCs w:val="18"/>
                <w:color w:val="auto"/>
              </w:rPr>
              <w:t>Offshore Confirmatory Security</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Part 2</w:t>
            </w:r>
          </w:p>
        </w:tc>
        <w:tc>
          <w:tcPr>
            <w:tcW w:w="6680" w:type="dxa"/>
            <w:vAlign w:val="bottom"/>
          </w:tcPr>
          <w:p>
            <w:pPr>
              <w:ind w:left="220"/>
              <w:spacing w:after="0"/>
              <w:rPr>
                <w:sz w:val="20"/>
                <w:szCs w:val="20"/>
                <w:color w:val="auto"/>
              </w:rPr>
            </w:pPr>
            <w:r>
              <w:rPr>
                <w:rFonts w:ascii="Arial" w:cs="Arial" w:eastAsia="Arial" w:hAnsi="Arial"/>
                <w:sz w:val="18"/>
                <w:szCs w:val="18"/>
                <w:color w:val="auto"/>
              </w:rPr>
              <w:t>Confirmations for Onshore Security</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69" w:right="499" w:bottom="1440" w:gutter="0" w:footer="0" w:header="0"/>
        </w:sectPr>
      </w:pPr>
    </w:p>
    <w:bookmarkStart w:id="605" w:name="page606"/>
    <w:bookmarkEnd w:id="60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Amendment and Restatement Agreement </w:t>
      </w:r>
      <w:r>
        <w:rPr>
          <w:rFonts w:ascii="Arial" w:cs="Arial" w:eastAsia="Arial" w:hAnsi="Arial"/>
          <w:sz w:val="18"/>
          <w:szCs w:val="18"/>
          <w:color w:val="auto"/>
        </w:rPr>
        <w:t>is dated 15 March 2021 (this “</w:t>
      </w:r>
      <w:r>
        <w:rPr>
          <w:rFonts w:ascii="Arial" w:cs="Arial" w:eastAsia="Arial" w:hAnsi="Arial"/>
          <w:sz w:val="18"/>
          <w:szCs w:val="18"/>
          <w:b w:val="1"/>
          <w:bCs w:val="1"/>
          <w:color w:val="auto"/>
        </w:rPr>
        <w:t>Agreement</w:t>
      </w:r>
      <w:r>
        <w:rPr>
          <w:rFonts w:ascii="Arial" w:cs="Arial" w:eastAsia="Arial" w:hAnsi="Arial"/>
          <w:sz w:val="18"/>
          <w:szCs w:val="18"/>
          <w:color w:val="auto"/>
        </w:rPr>
        <w:t>”) and made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24" w:right="580" w:hanging="424"/>
        <w:spacing w:after="0" w:line="266" w:lineRule="auto"/>
        <w:tabs>
          <w:tab w:leader="none" w:pos="424" w:val="left"/>
        </w:tabs>
        <w:numPr>
          <w:ilvl w:val="0"/>
          <w:numId w:val="784"/>
        </w:numPr>
        <w:rPr>
          <w:rFonts w:ascii="Arial" w:cs="Arial" w:eastAsia="Arial" w:hAnsi="Arial"/>
          <w:sz w:val="18"/>
          <w:szCs w:val="18"/>
          <w:b w:val="1"/>
          <w:bCs w:val="1"/>
          <w:color w:val="auto"/>
        </w:rPr>
      </w:pPr>
      <w:r>
        <w:rPr>
          <w:rFonts w:ascii="Arial" w:cs="Arial" w:eastAsia="Arial" w:hAnsi="Arial"/>
          <w:sz w:val="18"/>
          <w:szCs w:val="18"/>
          <w:b w:val="1"/>
          <w:bCs w:val="1"/>
          <w:color w:val="auto"/>
        </w:rPr>
        <w:t>Studio City Investments Limited</w:t>
      </w:r>
      <w:r>
        <w:rPr>
          <w:rFonts w:ascii="Arial" w:cs="Arial" w:eastAsia="Arial" w:hAnsi="Arial"/>
          <w:sz w:val="18"/>
          <w:szCs w:val="18"/>
          <w:color w:val="auto"/>
        </w:rPr>
        <w:t>, a BVI business company incorporated with limited liability under the laws of the British Virgin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number 1673083), whose registered office is at Jayla Place, Wickhams Cay 1, Road Town, Tortola, British Virgin Islands (the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jc w:val="both"/>
        <w:ind w:left="424" w:right="720" w:hanging="424"/>
        <w:spacing w:after="0" w:line="266" w:lineRule="auto"/>
        <w:tabs>
          <w:tab w:leader="none" w:pos="424" w:val="left"/>
        </w:tabs>
        <w:numPr>
          <w:ilvl w:val="0"/>
          <w:numId w:val="784"/>
        </w:numPr>
        <w:rPr>
          <w:rFonts w:ascii="Arial" w:cs="Arial" w:eastAsia="Arial" w:hAnsi="Arial"/>
          <w:sz w:val="18"/>
          <w:szCs w:val="18"/>
          <w:b w:val="1"/>
          <w:bCs w:val="1"/>
          <w:color w:val="auto"/>
        </w:rPr>
      </w:pPr>
      <w:r>
        <w:rPr>
          <w:rFonts w:ascii="Arial" w:cs="Arial" w:eastAsia="Arial" w:hAnsi="Arial"/>
          <w:sz w:val="18"/>
          <w:szCs w:val="18"/>
          <w:b w:val="1"/>
          <w:bCs w:val="1"/>
          <w:color w:val="auto"/>
        </w:rPr>
        <w:t>Studio City Company Limited</w:t>
      </w:r>
      <w:r>
        <w:rPr>
          <w:rFonts w:ascii="Arial" w:cs="Arial" w:eastAsia="Arial" w:hAnsi="Arial"/>
          <w:sz w:val="18"/>
          <w:szCs w:val="18"/>
          <w:color w:val="auto"/>
        </w:rPr>
        <w:t>, a BVI business company incorporated with limited liability under the laws of the British Virgin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number 1673603), whose registered office is at Jayla Place, Wickhams Cay 1, Road Town, Tortola, British Virgin Islands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424" w:hanging="424"/>
        <w:spacing w:after="0"/>
        <w:tabs>
          <w:tab w:leader="none" w:pos="424" w:val="left"/>
        </w:tabs>
        <w:numPr>
          <w:ilvl w:val="0"/>
          <w:numId w:val="7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Subsidiaries of the Borrower </w:t>
      </w:r>
      <w:r>
        <w:rPr>
          <w:rFonts w:ascii="Arial" w:cs="Arial" w:eastAsia="Arial" w:hAnsi="Arial"/>
          <w:sz w:val="17"/>
          <w:szCs w:val="17"/>
          <w:color w:val="auto"/>
        </w:rPr>
        <w:t>listed on the signing pages as Guarantors (together with the Parent and the Borrower, the “</w:t>
      </w:r>
      <w:r>
        <w:rPr>
          <w:rFonts w:ascii="Arial" w:cs="Arial" w:eastAsia="Arial" w:hAnsi="Arial"/>
          <w:sz w:val="17"/>
          <w:szCs w:val="17"/>
          <w:b w:val="1"/>
          <w:bCs w:val="1"/>
          <w:color w:val="auto"/>
        </w:rPr>
        <w:t>Obligors</w:t>
      </w:r>
      <w:r>
        <w:rPr>
          <w:rFonts w:ascii="Arial" w:cs="Arial" w:eastAsia="Arial" w:hAnsi="Arial"/>
          <w:sz w:val="17"/>
          <w:szCs w:val="17"/>
          <w:color w:val="auto"/>
        </w:rPr>
        <w:t>”);</w:t>
      </w:r>
    </w:p>
    <w:p>
      <w:pPr>
        <w:spacing w:after="0" w:line="142" w:lineRule="exact"/>
        <w:rPr>
          <w:rFonts w:ascii="Arial" w:cs="Arial" w:eastAsia="Arial" w:hAnsi="Arial"/>
          <w:sz w:val="17"/>
          <w:szCs w:val="17"/>
          <w:b w:val="1"/>
          <w:bCs w:val="1"/>
          <w:color w:val="auto"/>
        </w:rPr>
      </w:pPr>
    </w:p>
    <w:p>
      <w:pPr>
        <w:ind w:left="424" w:right="580" w:hanging="424"/>
        <w:spacing w:after="0" w:line="282" w:lineRule="auto"/>
        <w:tabs>
          <w:tab w:leader="none" w:pos="424" w:val="left"/>
        </w:tabs>
        <w:numPr>
          <w:ilvl w:val="0"/>
          <w:numId w:val="784"/>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and Commercial Bank of China (Macau) Limited</w:t>
      </w:r>
      <w:r>
        <w:rPr>
          <w:rFonts w:ascii="Arial" w:cs="Arial" w:eastAsia="Arial" w:hAnsi="Arial"/>
          <w:sz w:val="18"/>
          <w:szCs w:val="18"/>
          <w:color w:val="auto"/>
        </w:rPr>
        <w:t>, incorporated with limited liability under the laws of the Macau SAR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common security agent and trustee for the Secured Parties (the “</w:t>
      </w:r>
      <w:r>
        <w:rPr>
          <w:rFonts w:ascii="Arial" w:cs="Arial" w:eastAsia="Arial" w:hAnsi="Arial"/>
          <w:sz w:val="18"/>
          <w:szCs w:val="18"/>
          <w:b w:val="1"/>
          <w:bCs w:val="1"/>
          <w:color w:val="auto"/>
        </w:rPr>
        <w:t>Common Security Agent</w:t>
      </w:r>
      <w:r>
        <w:rPr>
          <w:rFonts w:ascii="Arial" w:cs="Arial" w:eastAsia="Arial" w:hAnsi="Arial"/>
          <w:sz w:val="18"/>
          <w:szCs w:val="18"/>
          <w:color w:val="auto"/>
        </w:rPr>
        <w:t>”);</w:t>
      </w:r>
    </w:p>
    <w:p>
      <w:pPr>
        <w:spacing w:after="0" w:line="67" w:lineRule="exact"/>
        <w:rPr>
          <w:rFonts w:ascii="Arial" w:cs="Arial" w:eastAsia="Arial" w:hAnsi="Arial"/>
          <w:sz w:val="18"/>
          <w:szCs w:val="18"/>
          <w:b w:val="1"/>
          <w:bCs w:val="1"/>
          <w:color w:val="auto"/>
        </w:rPr>
      </w:pPr>
    </w:p>
    <w:p>
      <w:pPr>
        <w:ind w:left="424" w:right="580" w:hanging="424"/>
        <w:spacing w:after="0" w:line="282" w:lineRule="auto"/>
        <w:tabs>
          <w:tab w:leader="none" w:pos="424" w:val="left"/>
        </w:tabs>
        <w:numPr>
          <w:ilvl w:val="0"/>
          <w:numId w:val="784"/>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and Commercial Bank of China (Macau) Limited</w:t>
      </w:r>
      <w:r>
        <w:rPr>
          <w:rFonts w:ascii="Arial" w:cs="Arial" w:eastAsia="Arial" w:hAnsi="Arial"/>
          <w:sz w:val="18"/>
          <w:szCs w:val="18"/>
          <w:color w:val="auto"/>
        </w:rPr>
        <w:t>, incorporated with limited liability under the laws of the Macau SAR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POA agent for the Common Security Agent under the Facilities Agreement (the “</w:t>
      </w:r>
      <w:r>
        <w:rPr>
          <w:rFonts w:ascii="Arial" w:cs="Arial" w:eastAsia="Arial" w:hAnsi="Arial"/>
          <w:sz w:val="18"/>
          <w:szCs w:val="18"/>
          <w:b w:val="1"/>
          <w:bCs w:val="1"/>
          <w:color w:val="auto"/>
        </w:rPr>
        <w:t>POA Agent</w:t>
      </w:r>
      <w:r>
        <w:rPr>
          <w:rFonts w:ascii="Arial" w:cs="Arial" w:eastAsia="Arial" w:hAnsi="Arial"/>
          <w:sz w:val="18"/>
          <w:szCs w:val="18"/>
          <w:color w:val="auto"/>
        </w:rPr>
        <w:t>”); and</w:t>
      </w:r>
    </w:p>
    <w:p>
      <w:pPr>
        <w:spacing w:after="0" w:line="67" w:lineRule="exact"/>
        <w:rPr>
          <w:rFonts w:ascii="Arial" w:cs="Arial" w:eastAsia="Arial" w:hAnsi="Arial"/>
          <w:sz w:val="18"/>
          <w:szCs w:val="18"/>
          <w:b w:val="1"/>
          <w:bCs w:val="1"/>
          <w:color w:val="auto"/>
        </w:rPr>
      </w:pPr>
    </w:p>
    <w:p>
      <w:pPr>
        <w:ind w:left="424" w:right="240" w:hanging="424"/>
        <w:spacing w:after="0" w:line="282" w:lineRule="auto"/>
        <w:tabs>
          <w:tab w:leader="none" w:pos="424" w:val="left"/>
        </w:tabs>
        <w:numPr>
          <w:ilvl w:val="0"/>
          <w:numId w:val="784"/>
        </w:numPr>
        <w:rPr>
          <w:rFonts w:ascii="Arial" w:cs="Arial" w:eastAsia="Arial" w:hAnsi="Arial"/>
          <w:sz w:val="18"/>
          <w:szCs w:val="18"/>
          <w:b w:val="1"/>
          <w:bCs w:val="1"/>
          <w:color w:val="auto"/>
        </w:rPr>
      </w:pPr>
      <w:r>
        <w:rPr>
          <w:rFonts w:ascii="Arial" w:cs="Arial" w:eastAsia="Arial" w:hAnsi="Arial"/>
          <w:sz w:val="18"/>
          <w:szCs w:val="18"/>
          <w:b w:val="1"/>
          <w:bCs w:val="1"/>
          <w:color w:val="auto"/>
        </w:rPr>
        <w:t>Bank of China Limited, Macau Branch</w:t>
      </w:r>
      <w:r>
        <w:rPr>
          <w:rFonts w:ascii="Arial" w:cs="Arial" w:eastAsia="Arial" w:hAnsi="Arial"/>
          <w:sz w:val="18"/>
          <w:szCs w:val="18"/>
          <w:color w:val="auto"/>
        </w:rPr>
        <w:t>, incorporated with limited liability under the laws of the People’s Republic of China in its capacity as</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agent of the other Finance Parties under the Facilities Agreement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24" w:right="40" w:hanging="424"/>
        <w:spacing w:after="0" w:line="263" w:lineRule="auto"/>
        <w:tabs>
          <w:tab w:leader="none" w:pos="424" w:val="left"/>
        </w:tabs>
        <w:numPr>
          <w:ilvl w:val="0"/>
          <w:numId w:val="785"/>
        </w:numPr>
        <w:rPr>
          <w:rFonts w:ascii="Arial" w:cs="Arial" w:eastAsia="Arial" w:hAnsi="Arial"/>
          <w:sz w:val="18"/>
          <w:szCs w:val="18"/>
          <w:color w:val="auto"/>
        </w:rPr>
      </w:pPr>
      <w:r>
        <w:rPr>
          <w:rFonts w:ascii="Arial" w:cs="Arial" w:eastAsia="Arial" w:hAnsi="Arial"/>
          <w:sz w:val="18"/>
          <w:szCs w:val="18"/>
          <w:color w:val="auto"/>
        </w:rPr>
        <w:t>Certain of the parties hereto (among others) have entered into a HKD 10,855,880,000 Senior Secured Term Loan and Revolving Facilities Agreement originally dated 28 January 2013 (as amended and restated by an amendment and restatement agreement dated 23 November 2016 and as further amended and restated from time to time) (the “</w:t>
      </w:r>
      <w:r>
        <w:rPr>
          <w:rFonts w:ascii="Arial" w:cs="Arial" w:eastAsia="Arial" w:hAnsi="Arial"/>
          <w:sz w:val="18"/>
          <w:szCs w:val="18"/>
          <w:b w:val="1"/>
          <w:bCs w:val="1"/>
          <w:color w:val="auto"/>
        </w:rPr>
        <w:t>Facilities Agreement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785"/>
        </w:numPr>
        <w:rPr>
          <w:rFonts w:ascii="Arial" w:cs="Arial" w:eastAsia="Arial" w:hAnsi="Arial"/>
          <w:sz w:val="18"/>
          <w:szCs w:val="18"/>
          <w:color w:val="auto"/>
        </w:rPr>
      </w:pPr>
      <w:r>
        <w:rPr>
          <w:rFonts w:ascii="Arial" w:cs="Arial" w:eastAsia="Arial" w:hAnsi="Arial"/>
          <w:sz w:val="18"/>
          <w:szCs w:val="18"/>
          <w:color w:val="auto"/>
        </w:rPr>
        <w:t>This Agreement is supplemental to the Facilities Agreement.</w:t>
      </w:r>
    </w:p>
    <w:p>
      <w:pPr>
        <w:spacing w:after="0" w:line="130"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785"/>
        </w:numPr>
        <w:rPr>
          <w:rFonts w:ascii="Arial" w:cs="Arial" w:eastAsia="Arial" w:hAnsi="Arial"/>
          <w:sz w:val="18"/>
          <w:szCs w:val="18"/>
          <w:color w:val="auto"/>
        </w:rPr>
      </w:pPr>
      <w:r>
        <w:rPr>
          <w:rFonts w:ascii="Arial" w:cs="Arial" w:eastAsia="Arial" w:hAnsi="Arial"/>
          <w:sz w:val="18"/>
          <w:szCs w:val="18"/>
          <w:color w:val="auto"/>
        </w:rPr>
        <w:t>The Parent and the Borrower have requested that the Facilities Agreement be amended and restated as contemplated by this Agreement and the Agent consents to the making of those amendments, subject to the terms and conditions of this Agreement.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785"/>
        </w:numPr>
        <w:rPr>
          <w:rFonts w:ascii="Arial" w:cs="Arial" w:eastAsia="Arial" w:hAnsi="Arial"/>
          <w:sz w:val="18"/>
          <w:szCs w:val="18"/>
          <w:color w:val="auto"/>
        </w:rPr>
      </w:pPr>
      <w:r>
        <w:rPr>
          <w:rFonts w:ascii="Arial" w:cs="Arial" w:eastAsia="Arial" w:hAnsi="Arial"/>
          <w:sz w:val="18"/>
          <w:szCs w:val="18"/>
          <w:color w:val="auto"/>
        </w:rPr>
        <w:t>The Parties wish to enter into this Agreement to record their agreements in relation to the above.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4" w:right="9500" w:hanging="4"/>
        <w:spacing w:after="0" w:line="434" w:lineRule="auto"/>
        <w:tabs>
          <w:tab w:leader="none" w:pos="436" w:val="left"/>
        </w:tabs>
        <w:numPr>
          <w:ilvl w:val="0"/>
          <w:numId w:val="786"/>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 1.1 Definitions</w:t>
      </w:r>
    </w:p>
    <w:p>
      <w:pPr>
        <w:ind w:left="444"/>
        <w:spacing w:after="0"/>
        <w:rPr>
          <w:rFonts w:ascii="Arial" w:cs="Arial" w:eastAsia="Arial" w:hAnsi="Arial"/>
          <w:sz w:val="16"/>
          <w:szCs w:val="16"/>
          <w:b w:val="1"/>
          <w:bCs w:val="1"/>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444" w:right="18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Amended and Restated Facilities Agreement</w:t>
      </w:r>
      <w:r>
        <w:rPr>
          <w:rFonts w:ascii="Arial" w:cs="Arial" w:eastAsia="Arial" w:hAnsi="Arial"/>
          <w:sz w:val="17"/>
          <w:szCs w:val="17"/>
          <w:color w:val="auto"/>
        </w:rPr>
        <w:t>” means the Facilities Agreement, as amended and restated pursuant to the terms and conditions of this Agreement (as on the Effective Date, in the form set out in Schedule 1 (</w:t>
      </w:r>
      <w:r>
        <w:rPr>
          <w:rFonts w:ascii="Arial" w:cs="Arial" w:eastAsia="Arial" w:hAnsi="Arial"/>
          <w:sz w:val="17"/>
          <w:szCs w:val="17"/>
          <w:i w:val="1"/>
          <w:iCs w:val="1"/>
          <w:color w:val="auto"/>
        </w:rPr>
        <w:t>Amended and Restated Facilities Agreement</w:t>
      </w:r>
      <w:r>
        <w:rPr>
          <w:rFonts w:ascii="Arial" w:cs="Arial" w:eastAsia="Arial" w:hAnsi="Arial"/>
          <w:sz w:val="17"/>
          <w:szCs w:val="17"/>
          <w:color w:val="auto"/>
        </w:rPr>
        <w:t>)).</w:t>
      </w:r>
    </w:p>
    <w:p>
      <w:pPr>
        <w:spacing w:after="0" w:line="76"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300" w:type="dxa"/>
            <w:vAlign w:val="bottom"/>
          </w:tcPr>
          <w:p>
            <w:pPr>
              <w:jc w:val="right"/>
              <w:ind w:right="1147"/>
              <w:spacing w:after="0"/>
              <w:rPr>
                <w:sz w:val="20"/>
                <w:szCs w:val="20"/>
                <w:color w:val="auto"/>
              </w:rPr>
            </w:pPr>
            <w:r>
              <w:rPr>
                <w:rFonts w:ascii="Arial" w:cs="Arial" w:eastAsia="Arial" w:hAnsi="Arial"/>
                <w:sz w:val="15"/>
                <w:szCs w:val="15"/>
                <w:color w:val="auto"/>
                <w:w w:val="71"/>
              </w:rPr>
              <w:t>1</w:t>
            </w:r>
          </w:p>
        </w:tc>
        <w:tc>
          <w:tcPr>
            <w:tcW w:w="420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4"/>
          </w:cols>
          <w:pgMar w:left="436" w:top="269" w:right="439" w:bottom="1440" w:gutter="0" w:footer="0" w:header="0"/>
        </w:sectPr>
      </w:pPr>
    </w:p>
    <w:bookmarkStart w:id="606" w:name="page607"/>
    <w:bookmarkEnd w:id="6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Amendment Transaction Documents</w:t>
      </w:r>
      <w:r>
        <w:rPr>
          <w:rFonts w:ascii="Arial" w:cs="Arial" w:eastAsia="Arial" w:hAnsi="Arial"/>
          <w:sz w:val="18"/>
          <w:szCs w:val="18"/>
          <w:color w:val="auto"/>
        </w:rPr>
        <w:t>” means:</w:t>
      </w:r>
    </w:p>
    <w:p>
      <w:pPr>
        <w:spacing w:after="0" w:line="135" w:lineRule="exact"/>
        <w:rPr>
          <w:sz w:val="20"/>
          <w:szCs w:val="20"/>
          <w:color w:val="auto"/>
        </w:rPr>
      </w:pPr>
    </w:p>
    <w:p>
      <w:pPr>
        <w:ind w:left="960" w:hanging="532"/>
        <w:spacing w:after="0"/>
        <w:tabs>
          <w:tab w:leader="none" w:pos="96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this Agreement;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each Confirmatory Security Document.</w:t>
      </w:r>
    </w:p>
    <w:p>
      <w:pPr>
        <w:spacing w:after="0" w:line="113" w:lineRule="exact"/>
        <w:rPr>
          <w:sz w:val="20"/>
          <w:szCs w:val="20"/>
          <w:color w:val="auto"/>
        </w:rPr>
      </w:pPr>
    </w:p>
    <w:p>
      <w:pPr>
        <w:ind w:left="440"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Confirmatory Security Documents</w:t>
      </w:r>
      <w:r>
        <w:rPr>
          <w:rFonts w:ascii="Arial" w:cs="Arial" w:eastAsia="Arial" w:hAnsi="Arial"/>
          <w:sz w:val="18"/>
          <w:szCs w:val="18"/>
          <w:color w:val="auto"/>
        </w:rPr>
        <w:t>” means each agreement, deed, acknowledgement, confirmation, amendment or other instrument listed in Schedule 3 (</w:t>
      </w:r>
      <w:r>
        <w:rPr>
          <w:rFonts w:ascii="Arial" w:cs="Arial" w:eastAsia="Arial" w:hAnsi="Arial"/>
          <w:sz w:val="18"/>
          <w:szCs w:val="18"/>
          <w:i w:val="1"/>
          <w:iCs w:val="1"/>
          <w:color w:val="auto"/>
        </w:rPr>
        <w:t>Confirmatory Security Documents</w:t>
      </w:r>
      <w:r>
        <w:rPr>
          <w:rFonts w:ascii="Arial" w:cs="Arial" w:eastAsia="Arial" w:hAnsi="Arial"/>
          <w:sz w:val="18"/>
          <w:szCs w:val="18"/>
          <w:color w:val="auto"/>
        </w:rPr>
        <w: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Lenders</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 Representative</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later of:</w:t>
      </w:r>
    </w:p>
    <w:p>
      <w:pPr>
        <w:spacing w:after="0" w:line="135" w:lineRule="exact"/>
        <w:rPr>
          <w:sz w:val="20"/>
          <w:szCs w:val="20"/>
          <w:color w:val="auto"/>
        </w:rPr>
      </w:pPr>
    </w:p>
    <w:p>
      <w:pPr>
        <w:ind w:left="960" w:hanging="532"/>
        <w:spacing w:after="0"/>
        <w:tabs>
          <w:tab w:leader="none" w:pos="96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the date of this Agreement; and</w:t>
      </w:r>
    </w:p>
    <w:p>
      <w:pPr>
        <w:spacing w:after="0" w:line="130" w:lineRule="exact"/>
        <w:rPr>
          <w:rFonts w:ascii="Arial" w:cs="Arial" w:eastAsia="Arial" w:hAnsi="Arial"/>
          <w:sz w:val="18"/>
          <w:szCs w:val="18"/>
          <w:color w:val="auto"/>
        </w:rPr>
      </w:pPr>
    </w:p>
    <w:p>
      <w:pPr>
        <w:ind w:left="960" w:right="480" w:hanging="532"/>
        <w:spacing w:after="0" w:line="277" w:lineRule="auto"/>
        <w:tabs>
          <w:tab w:leader="none" w:pos="96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the date on which the Agent confirms in writing to the Borrower that it has received all of the documents and other evidence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that each is in form and substance satisfactory to it.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DB Trustees (Hong Kong) Limited.</w:t>
      </w:r>
    </w:p>
    <w:p>
      <w:pPr>
        <w:spacing w:after="0" w:line="117" w:lineRule="exact"/>
        <w:rPr>
          <w:sz w:val="20"/>
          <w:szCs w:val="20"/>
          <w:color w:val="auto"/>
        </w:rPr>
      </w:pPr>
    </w:p>
    <w:p>
      <w:pPr>
        <w:ind w:left="440"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w:t>
      </w:r>
      <w:r>
        <w:rPr>
          <w:rFonts w:ascii="Arial" w:cs="Arial" w:eastAsia="Arial" w:hAnsi="Arial"/>
          <w:sz w:val="18"/>
          <w:szCs w:val="18"/>
          <w:color w:val="auto"/>
        </w:rPr>
        <w:t>” means the intercreditor agreement dated 1 December 2016 (30 November 2016, New York time) and entered into between (among others) the Parent, the Borrower, Bank of China Limited, Macau Branch as credit facility agent for the Finance Parties under the Facilities Agreement and as credit facility lender under the Facilities Agreement, the Intercreditor Agent as coordinating intercreditor agent for the Secured Parties and the Common Security Agent.</w:t>
      </w:r>
    </w:p>
    <w:p>
      <w:pPr>
        <w:spacing w:after="0" w:line="72" w:lineRule="exact"/>
        <w:rPr>
          <w:sz w:val="20"/>
          <w:szCs w:val="20"/>
          <w:color w:val="auto"/>
        </w:rPr>
      </w:pPr>
    </w:p>
    <w:p>
      <w:pPr>
        <w:ind w:left="440" w:right="3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Melco Resorts Macau</w:t>
      </w:r>
      <w:r>
        <w:rPr>
          <w:rFonts w:ascii="Arial" w:cs="Arial" w:eastAsia="Arial" w:hAnsi="Arial"/>
          <w:sz w:val="18"/>
          <w:szCs w:val="18"/>
          <w:color w:val="auto"/>
        </w:rPr>
        <w:t>” means Melco Resorts (Macau) Limited (formerly known as Melco Crown (Macau) Limited and previously as Melco Crown Gaming (Macau) Limited and Melco PBL Gaming (Macau) Limited), a company incorporated under the laws of the Macau SAR, registered with the Macau Commercial Registry under number 24325 SO, with registered office at Avenida da Praia Grande, no. 594, 15/Floor “A”, Macau.</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Pari Passu Creditors</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ind w:left="440" w:right="10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SCH5</w:t>
      </w:r>
      <w:r>
        <w:rPr>
          <w:rFonts w:ascii="Arial" w:cs="Arial" w:eastAsia="Arial" w:hAnsi="Arial"/>
          <w:sz w:val="17"/>
          <w:szCs w:val="17"/>
          <w:color w:val="auto"/>
        </w:rPr>
        <w:t>” means Studio City Holdings Five Limited, a BVI business company incorporated under the laws of the British Virgin Islands (registered number 1789892), whose registered office is at Jayla Place, Wickhams Cay 1, Road Town, Tortola, British Virgin Islands.</w:t>
      </w:r>
    </w:p>
    <w:p>
      <w:pPr>
        <w:spacing w:after="0" w:line="32" w:lineRule="exact"/>
        <w:rPr>
          <w:sz w:val="20"/>
          <w:szCs w:val="20"/>
          <w:color w:val="auto"/>
        </w:rPr>
      </w:pPr>
    </w:p>
    <w:p>
      <w:pPr>
        <w:ind w:left="440" w:right="180"/>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SCHK2</w:t>
      </w:r>
      <w:r>
        <w:rPr>
          <w:rFonts w:ascii="Arial" w:cs="Arial" w:eastAsia="Arial" w:hAnsi="Arial"/>
          <w:sz w:val="18"/>
          <w:szCs w:val="18"/>
          <w:color w:val="auto"/>
        </w:rPr>
        <w:t>” means Studio City (HK) Two Limited (</w:t>
      </w:r>
      <w:r>
        <w:rPr>
          <w:rFonts w:ascii="PMingLiU" w:cs="PMingLiU" w:eastAsia="PMingLiU" w:hAnsi="PMingLiU"/>
          <w:sz w:val="16"/>
          <w:szCs w:val="16"/>
          <w:color w:val="auto"/>
        </w:rPr>
        <w:t>新濠影匯</w:t>
      </w:r>
      <w:r>
        <w:rPr>
          <w:rFonts w:ascii="Arial" w:cs="Arial" w:eastAsia="Arial" w:hAnsi="Arial"/>
          <w:sz w:val="18"/>
          <w:szCs w:val="18"/>
          <w:color w:val="auto"/>
        </w:rPr>
        <w:t>(</w:t>
      </w:r>
      <w:r>
        <w:rPr>
          <w:rFonts w:ascii="PMingLiU" w:cs="PMingLiU" w:eastAsia="PMingLiU" w:hAnsi="PMingLiU"/>
          <w:sz w:val="16"/>
          <w:szCs w:val="16"/>
          <w:color w:val="auto"/>
        </w:rPr>
        <w:t>香港</w:t>
      </w:r>
      <w:r>
        <w:rPr>
          <w:rFonts w:ascii="Arial" w:cs="Arial" w:eastAsia="Arial" w:hAnsi="Arial"/>
          <w:sz w:val="18"/>
          <w:szCs w:val="18"/>
          <w:color w:val="auto"/>
        </w:rPr>
        <w:t>)</w:t>
      </w:r>
      <w:r>
        <w:rPr>
          <w:rFonts w:ascii="PMingLiU" w:cs="PMingLiU" w:eastAsia="PMingLiU" w:hAnsi="PMingLiU"/>
          <w:sz w:val="16"/>
          <w:szCs w:val="16"/>
          <w:color w:val="auto"/>
        </w:rPr>
        <w:t>第二有限公司</w:t>
      </w:r>
      <w:r>
        <w:rPr>
          <w:rFonts w:ascii="Arial" w:cs="Arial" w:eastAsia="Arial" w:hAnsi="Arial"/>
          <w:sz w:val="18"/>
          <w:szCs w:val="18"/>
          <w:color w:val="auto"/>
        </w:rPr>
        <w:t>), a limited liability company incorporated in Hong Kong with its registered office at 36/F, The Centrium, 60 Wyndham Street, Central and registration number 2720234.</w:t>
      </w:r>
    </w:p>
    <w:p>
      <w:pPr>
        <w:spacing w:after="0" w:line="91" w:lineRule="exact"/>
        <w:rPr>
          <w:sz w:val="20"/>
          <w:szCs w:val="20"/>
          <w:color w:val="auto"/>
        </w:rPr>
      </w:pPr>
    </w:p>
    <w:p>
      <w:pPr>
        <w:ind w:left="440" w:righ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SCHK2 Accession Letter</w:t>
      </w:r>
      <w:r>
        <w:rPr>
          <w:rFonts w:ascii="Arial" w:cs="Arial" w:eastAsia="Arial" w:hAnsi="Arial"/>
          <w:sz w:val="18"/>
          <w:szCs w:val="18"/>
          <w:color w:val="auto"/>
        </w:rPr>
        <w:t>” means the accession letter dated 30 July 2018 and entered into between SCHK2, the Borrower, the Agent, the Intercreditor Agent and the Common Security Agent.</w:t>
      </w:r>
    </w:p>
    <w:p>
      <w:pPr>
        <w:spacing w:after="0" w:line="3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35" w:lineRule="exact"/>
        <w:rPr>
          <w:sz w:val="20"/>
          <w:szCs w:val="20"/>
          <w:color w:val="auto"/>
        </w:rPr>
      </w:pPr>
    </w:p>
    <w:p>
      <w:pPr>
        <w:ind w:left="960" w:right="620" w:hanging="532"/>
        <w:spacing w:after="0" w:line="277" w:lineRule="auto"/>
        <w:tabs>
          <w:tab w:leader="none" w:pos="96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The principles of construction and rules of interpretation set out in the Facilities Agreement (including but not limited to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Facilities Agreement) shall have effect as if set out in this Agreement.</w:t>
      </w:r>
    </w:p>
    <w:p>
      <w:pPr>
        <w:spacing w:after="0" w:line="103"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1300" w:type="dxa"/>
            <w:vAlign w:val="bottom"/>
          </w:tcPr>
          <w:p>
            <w:pPr>
              <w:jc w:val="right"/>
              <w:ind w:right="1147"/>
              <w:spacing w:after="0"/>
              <w:rPr>
                <w:sz w:val="20"/>
                <w:szCs w:val="20"/>
                <w:color w:val="auto"/>
              </w:rPr>
            </w:pPr>
            <w:r>
              <w:rPr>
                <w:rFonts w:ascii="Arial" w:cs="Arial" w:eastAsia="Arial" w:hAnsi="Arial"/>
                <w:sz w:val="15"/>
                <w:szCs w:val="15"/>
                <w:color w:val="auto"/>
                <w:w w:val="71"/>
              </w:rPr>
              <w:t>2</w:t>
            </w:r>
          </w:p>
        </w:tc>
        <w:tc>
          <w:tcPr>
            <w:tcW w:w="420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0"/>
          </w:cols>
          <w:pgMar w:left="440" w:top="269" w:right="439" w:bottom="1440" w:gutter="0" w:footer="0" w:header="0"/>
        </w:sectPr>
      </w:pPr>
    </w:p>
    <w:bookmarkStart w:id="607" w:name="page608"/>
    <w:bookmarkEnd w:id="607"/>
    <w:p>
      <w:pPr>
        <w:ind w:left="964" w:right="100" w:hanging="532"/>
        <w:spacing w:after="0" w:line="259" w:lineRule="auto"/>
        <w:tabs>
          <w:tab w:leader="none" w:pos="964" w:val="left"/>
        </w:tabs>
        <w:numPr>
          <w:ilvl w:val="0"/>
          <w:numId w:val="7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a contrary indication appears, a term defined in or by reference in the Facilities Agreement has the same meaning in this Agreement. Words and expressions defined in this Agreement by reference to the Amended and Restated Facilities Agreement shall (at all times prior to the Effective Date) have the meaning attributed to them in the form of the Amended and Restated Facilities Agreement set out in Schedule 1 (</w:t>
      </w:r>
      <w:r>
        <w:rPr>
          <w:rFonts w:ascii="Arial" w:cs="Arial" w:eastAsia="Arial" w:hAnsi="Arial"/>
          <w:sz w:val="18"/>
          <w:szCs w:val="18"/>
          <w:i w:val="1"/>
          <w:iCs w:val="1"/>
          <w:color w:val="auto"/>
        </w:rPr>
        <w:t>Amended and Restated Facilities Agreement</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964" w:right="100" w:hanging="532"/>
        <w:spacing w:after="0" w:line="277" w:lineRule="auto"/>
        <w:tabs>
          <w:tab w:leader="none" w:pos="964" w:val="left"/>
        </w:tabs>
        <w:numPr>
          <w:ilvl w:val="0"/>
          <w:numId w:val="790"/>
        </w:numPr>
        <w:rPr>
          <w:rFonts w:ascii="Arial" w:cs="Arial" w:eastAsia="Arial" w:hAnsi="Arial"/>
          <w:sz w:val="18"/>
          <w:szCs w:val="18"/>
          <w:color w:val="auto"/>
        </w:rPr>
      </w:pPr>
      <w:r>
        <w:rPr>
          <w:rFonts w:ascii="Arial" w:cs="Arial" w:eastAsia="Arial" w:hAnsi="Arial"/>
          <w:sz w:val="18"/>
          <w:szCs w:val="18"/>
          <w:color w:val="auto"/>
        </w:rPr>
        <w:t>In this Agreement any reference to a “Clause”, a “Schedule” or a “Party” is, unless the context otherwise requires, a reference to a Clause, a Schedule or a Party to this Agreement.</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Designation</w:t>
      </w:r>
    </w:p>
    <w:p>
      <w:pPr>
        <w:spacing w:after="0" w:line="121" w:lineRule="exact"/>
        <w:rPr>
          <w:sz w:val="20"/>
          <w:szCs w:val="20"/>
          <w:color w:val="auto"/>
        </w:rPr>
      </w:pPr>
    </w:p>
    <w:p>
      <w:pPr>
        <w:ind w:left="444" w:right="200"/>
        <w:spacing w:after="0" w:line="277" w:lineRule="auto"/>
        <w:rPr>
          <w:sz w:val="20"/>
          <w:szCs w:val="20"/>
          <w:color w:val="auto"/>
        </w:rPr>
      </w:pPr>
      <w:r>
        <w:rPr>
          <w:rFonts w:ascii="Arial" w:cs="Arial" w:eastAsia="Arial" w:hAnsi="Arial"/>
          <w:sz w:val="18"/>
          <w:szCs w:val="18"/>
          <w:color w:val="auto"/>
        </w:rPr>
        <w:t>The Borrower and the Agent designate this Agreement as a Finance Document by execution of this Agreement for the purposes of the definition of “Finance Document” in the Facilities Agreement.</w:t>
      </w:r>
    </w:p>
    <w:p>
      <w:pPr>
        <w:spacing w:after="0" w:line="315" w:lineRule="exact"/>
        <w:rPr>
          <w:sz w:val="20"/>
          <w:szCs w:val="20"/>
          <w:color w:val="auto"/>
        </w:rPr>
      </w:pPr>
    </w:p>
    <w:p>
      <w:pPr>
        <w:jc w:val="both"/>
        <w:ind w:left="4" w:right="7540" w:hanging="4"/>
        <w:spacing w:after="0" w:line="442" w:lineRule="auto"/>
        <w:tabs>
          <w:tab w:leader="none" w:pos="436" w:val="left"/>
        </w:tabs>
        <w:numPr>
          <w:ilvl w:val="0"/>
          <w:numId w:val="791"/>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to the Facilities Agreement 2.1 Amendment to the Facilities Agreement</w:t>
      </w:r>
    </w:p>
    <w:p>
      <w:pPr>
        <w:spacing w:after="0" w:line="1" w:lineRule="exact"/>
        <w:rPr>
          <w:rFonts w:ascii="Arial" w:cs="Arial" w:eastAsia="Arial" w:hAnsi="Arial"/>
          <w:sz w:val="16"/>
          <w:szCs w:val="16"/>
          <w:b w:val="1"/>
          <w:bCs w:val="1"/>
          <w:color w:val="auto"/>
        </w:rPr>
      </w:pPr>
    </w:p>
    <w:p>
      <w:pPr>
        <w:ind w:left="964" w:right="100" w:hanging="532"/>
        <w:spacing w:after="0" w:line="277" w:lineRule="auto"/>
        <w:tabs>
          <w:tab w:leader="none" w:pos="964" w:val="left"/>
        </w:tabs>
        <w:numPr>
          <w:ilvl w:val="1"/>
          <w:numId w:val="791"/>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pursuant to the Facilities Agreement, each Party consents to the amendments to the Facilities Agreement as contemplated by this Agreement.</w:t>
      </w:r>
    </w:p>
    <w:p>
      <w:pPr>
        <w:spacing w:after="0" w:line="75" w:lineRule="exact"/>
        <w:rPr>
          <w:rFonts w:ascii="Arial" w:cs="Arial" w:eastAsia="Arial" w:hAnsi="Arial"/>
          <w:sz w:val="18"/>
          <w:szCs w:val="18"/>
          <w:color w:val="auto"/>
        </w:rPr>
      </w:pPr>
    </w:p>
    <w:p>
      <w:pPr>
        <w:ind w:left="964" w:hanging="532"/>
        <w:spacing w:after="0" w:line="275" w:lineRule="auto"/>
        <w:tabs>
          <w:tab w:leader="none" w:pos="964" w:val="left"/>
        </w:tabs>
        <w:numPr>
          <w:ilvl w:val="1"/>
          <w:numId w:val="791"/>
        </w:numPr>
        <w:rPr>
          <w:rFonts w:ascii="Arial" w:cs="Arial" w:eastAsia="Arial" w:hAnsi="Arial"/>
          <w:sz w:val="17"/>
          <w:szCs w:val="17"/>
          <w:color w:val="auto"/>
        </w:rPr>
      </w:pPr>
      <w:r>
        <w:rPr>
          <w:rFonts w:ascii="Arial" w:cs="Arial" w:eastAsia="Arial" w:hAnsi="Arial"/>
          <w:sz w:val="17"/>
          <w:szCs w:val="17"/>
          <w:color w:val="auto"/>
        </w:rPr>
        <w:t>Each Obligor and the Agent (on behalf of itself and on behalf of each Finance Party pursuant to paragraph (b) of clause 37.2 (</w:t>
      </w:r>
      <w:r>
        <w:rPr>
          <w:rFonts w:ascii="Arial" w:cs="Arial" w:eastAsia="Arial" w:hAnsi="Arial"/>
          <w:sz w:val="17"/>
          <w:szCs w:val="17"/>
          <w:i w:val="1"/>
          <w:iCs w:val="1"/>
          <w:color w:val="auto"/>
        </w:rPr>
        <w:t>Required</w:t>
      </w:r>
      <w:r>
        <w:rPr>
          <w:rFonts w:ascii="Arial" w:cs="Arial" w:eastAsia="Arial" w:hAnsi="Arial"/>
          <w:sz w:val="17"/>
          <w:szCs w:val="17"/>
          <w:color w:val="auto"/>
        </w:rPr>
        <w:t xml:space="preserve"> </w:t>
      </w:r>
      <w:r>
        <w:rPr>
          <w:rFonts w:ascii="Arial" w:cs="Arial" w:eastAsia="Arial" w:hAnsi="Arial"/>
          <w:sz w:val="17"/>
          <w:szCs w:val="17"/>
          <w:i w:val="1"/>
          <w:iCs w:val="1"/>
          <w:color w:val="auto"/>
        </w:rPr>
        <w:t>consents</w:t>
      </w:r>
      <w:r>
        <w:rPr>
          <w:rFonts w:ascii="Arial" w:cs="Arial" w:eastAsia="Arial" w:hAnsi="Arial"/>
          <w:sz w:val="17"/>
          <w:szCs w:val="17"/>
          <w:color w:val="auto"/>
        </w:rPr>
        <w:t>) of the Facilities Agreement) agree, in accordance with clause 37 (</w:t>
      </w:r>
      <w:r>
        <w:rPr>
          <w:rFonts w:ascii="Arial" w:cs="Arial" w:eastAsia="Arial" w:hAnsi="Arial"/>
          <w:sz w:val="17"/>
          <w:szCs w:val="17"/>
          <w:i w:val="1"/>
          <w:iCs w:val="1"/>
          <w:color w:val="auto"/>
        </w:rPr>
        <w:t>Amendments and waivers</w:t>
      </w:r>
      <w:r>
        <w:rPr>
          <w:rFonts w:ascii="Arial" w:cs="Arial" w:eastAsia="Arial" w:hAnsi="Arial"/>
          <w:sz w:val="17"/>
          <w:szCs w:val="17"/>
          <w:color w:val="auto"/>
        </w:rPr>
        <w:t>) of the Facilities Agreement that with</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 and automatic effect from the Effective Date, the Facilities Agreement shall be amended and restated so that it shall be read and construed for all purposes as set out in Schedule 1 (</w:t>
      </w:r>
      <w:r>
        <w:rPr>
          <w:rFonts w:ascii="Arial" w:cs="Arial" w:eastAsia="Arial" w:hAnsi="Arial"/>
          <w:sz w:val="17"/>
          <w:szCs w:val="17"/>
          <w:i w:val="1"/>
          <w:iCs w:val="1"/>
          <w:color w:val="auto"/>
        </w:rPr>
        <w:t>Amended and Restated Facilities Agreement</w:t>
      </w:r>
      <w:r>
        <w:rPr>
          <w:rFonts w:ascii="Arial" w:cs="Arial" w:eastAsia="Arial" w:hAnsi="Arial"/>
          <w:sz w:val="17"/>
          <w:szCs w:val="17"/>
          <w:color w:val="auto"/>
        </w:rPr>
        <w:t>) and all references in the Amended and Restated Facilities Agreement to “this Agreement” shall include this Agreement.</w:t>
      </w:r>
    </w:p>
    <w:p>
      <w:pPr>
        <w:spacing w:after="0" w:line="32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Consent of the Required Pari Passu Creditors</w:t>
      </w:r>
    </w:p>
    <w:p>
      <w:pPr>
        <w:spacing w:after="0" w:line="121" w:lineRule="exact"/>
        <w:rPr>
          <w:sz w:val="20"/>
          <w:szCs w:val="20"/>
          <w:color w:val="auto"/>
        </w:rPr>
      </w:pPr>
    </w:p>
    <w:p>
      <w:pPr>
        <w:ind w:left="444" w:right="220"/>
        <w:spacing w:after="0" w:line="311" w:lineRule="auto"/>
        <w:rPr>
          <w:sz w:val="20"/>
          <w:szCs w:val="20"/>
          <w:color w:val="auto"/>
        </w:rPr>
      </w:pPr>
      <w:r>
        <w:rPr>
          <w:rFonts w:ascii="Arial" w:cs="Arial" w:eastAsia="Arial" w:hAnsi="Arial"/>
          <w:sz w:val="16"/>
          <w:szCs w:val="16"/>
          <w:color w:val="auto"/>
        </w:rPr>
        <w:t>Pursuant to paragraph (a) of clause 3.8 (</w:t>
      </w:r>
      <w:r>
        <w:rPr>
          <w:rFonts w:ascii="Arial" w:cs="Arial" w:eastAsia="Arial" w:hAnsi="Arial"/>
          <w:sz w:val="16"/>
          <w:szCs w:val="16"/>
          <w:i w:val="1"/>
          <w:iCs w:val="1"/>
          <w:color w:val="auto"/>
        </w:rPr>
        <w:t>Amendments and waivers: Credit Facility Agreement</w:t>
      </w:r>
      <w:r>
        <w:rPr>
          <w:rFonts w:ascii="Arial" w:cs="Arial" w:eastAsia="Arial" w:hAnsi="Arial"/>
          <w:sz w:val="16"/>
          <w:szCs w:val="16"/>
          <w:color w:val="auto"/>
        </w:rPr>
        <w:t>) of the Intercreditor Agreement, the Required Pari Passu Creditors (which as at the date of this Agreement comprises of the Agent (in its role as Creditor Representative acting on behalf of the Credit Facility Lenders)) hereby consent to the amendments to the Facilities Agreement as contemplated by this Agreement.</w:t>
      </w:r>
    </w:p>
    <w:p>
      <w:pPr>
        <w:spacing w:after="0" w:line="29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Administrative details</w:t>
      </w:r>
    </w:p>
    <w:p>
      <w:pPr>
        <w:spacing w:after="0" w:line="121" w:lineRule="exact"/>
        <w:rPr>
          <w:sz w:val="20"/>
          <w:szCs w:val="20"/>
          <w:color w:val="auto"/>
        </w:rPr>
      </w:pPr>
    </w:p>
    <w:p>
      <w:pPr>
        <w:ind w:left="444" w:right="100"/>
        <w:spacing w:after="0" w:line="263" w:lineRule="auto"/>
        <w:rPr>
          <w:sz w:val="20"/>
          <w:szCs w:val="20"/>
          <w:color w:val="auto"/>
        </w:rPr>
      </w:pPr>
      <w:r>
        <w:rPr>
          <w:rFonts w:ascii="Arial" w:cs="Arial" w:eastAsia="Arial" w:hAnsi="Arial"/>
          <w:sz w:val="18"/>
          <w:szCs w:val="18"/>
          <w:color w:val="auto"/>
        </w:rPr>
        <w:t>The address, fax number and attention details of each Party for the purposes of clause 33.2 (</w:t>
      </w:r>
      <w:r>
        <w:rPr>
          <w:rFonts w:ascii="Arial" w:cs="Arial" w:eastAsia="Arial" w:hAnsi="Arial"/>
          <w:sz w:val="18"/>
          <w:szCs w:val="18"/>
          <w:i w:val="1"/>
          <w:iCs w:val="1"/>
          <w:color w:val="auto"/>
        </w:rPr>
        <w:t>Addresses</w:t>
      </w:r>
      <w:r>
        <w:rPr>
          <w:rFonts w:ascii="Arial" w:cs="Arial" w:eastAsia="Arial" w:hAnsi="Arial"/>
          <w:sz w:val="18"/>
          <w:szCs w:val="18"/>
          <w:color w:val="auto"/>
        </w:rPr>
        <w:t>) of the Amended and Restated Facilities Agreement are (a) those identified with its name on the signing pages to the Intercreditor Agreement and (b) in the case of SCHK2 only, those set out in paragraph 3 of the SCHK2 Accession Letter.</w:t>
      </w:r>
    </w:p>
    <w:p>
      <w:pPr>
        <w:spacing w:after="0" w:line="328" w:lineRule="exact"/>
        <w:rPr>
          <w:sz w:val="20"/>
          <w:szCs w:val="20"/>
          <w:color w:val="auto"/>
        </w:rPr>
      </w:pPr>
    </w:p>
    <w:p>
      <w:pPr>
        <w:jc w:val="both"/>
        <w:ind w:left="4" w:right="9360" w:hanging="4"/>
        <w:spacing w:after="0" w:line="463" w:lineRule="auto"/>
        <w:tabs>
          <w:tab w:leader="none" w:pos="436" w:val="left"/>
        </w:tabs>
        <w:numPr>
          <w:ilvl w:val="0"/>
          <w:numId w:val="792"/>
        </w:numPr>
        <w:rPr>
          <w:rFonts w:ascii="Arial" w:cs="Arial" w:eastAsia="Arial" w:hAnsi="Arial"/>
          <w:sz w:val="15"/>
          <w:szCs w:val="15"/>
          <w:b w:val="1"/>
          <w:bCs w:val="1"/>
          <w:color w:val="auto"/>
        </w:rPr>
      </w:pPr>
      <w:r>
        <w:rPr>
          <w:rFonts w:ascii="Arial" w:cs="Arial" w:eastAsia="Arial" w:hAnsi="Arial"/>
          <w:sz w:val="15"/>
          <w:szCs w:val="15"/>
          <w:b w:val="1"/>
          <w:bCs w:val="1"/>
          <w:color w:val="auto"/>
        </w:rPr>
        <w:t>Representations 3.1 Representations</w:t>
      </w:r>
    </w:p>
    <w:p>
      <w:pPr>
        <w:ind w:left="444" w:right="1060"/>
        <w:spacing w:after="0" w:line="277" w:lineRule="auto"/>
        <w:rPr>
          <w:sz w:val="20"/>
          <w:szCs w:val="20"/>
          <w:color w:val="auto"/>
        </w:rPr>
      </w:pPr>
      <w:r>
        <w:rPr>
          <w:rFonts w:ascii="Arial" w:cs="Arial" w:eastAsia="Arial" w:hAnsi="Arial"/>
          <w:sz w:val="18"/>
          <w:szCs w:val="18"/>
          <w:color w:val="auto"/>
        </w:rPr>
        <w:t>Each Obligor makes the representations and warranties set out in this Clause 3.1 to each Finance Party (by reference to the facts and circumstances then existing) on the date of this Agreement.</w:t>
      </w:r>
    </w:p>
    <w:p>
      <w:pPr>
        <w:spacing w:after="0" w:line="103"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300" w:type="dxa"/>
            <w:vAlign w:val="bottom"/>
          </w:tcPr>
          <w:p>
            <w:pPr>
              <w:jc w:val="right"/>
              <w:ind w:right="1147"/>
              <w:spacing w:after="0"/>
              <w:rPr>
                <w:sz w:val="20"/>
                <w:szCs w:val="20"/>
                <w:color w:val="auto"/>
              </w:rPr>
            </w:pPr>
            <w:r>
              <w:rPr>
                <w:rFonts w:ascii="Arial" w:cs="Arial" w:eastAsia="Arial" w:hAnsi="Arial"/>
                <w:sz w:val="15"/>
                <w:szCs w:val="15"/>
                <w:color w:val="auto"/>
                <w:w w:val="71"/>
              </w:rPr>
              <w:t>3</w:t>
            </w:r>
          </w:p>
        </w:tc>
        <w:tc>
          <w:tcPr>
            <w:tcW w:w="420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4"/>
          </w:cols>
          <w:pgMar w:left="436" w:top="273" w:right="439" w:bottom="1440" w:gutter="0" w:footer="0" w:header="0"/>
        </w:sectPr>
      </w:pPr>
    </w:p>
    <w:bookmarkStart w:id="608" w:name="page609"/>
    <w:bookmarkEnd w:id="608"/>
    <w:p>
      <w:pPr>
        <w:ind w:left="532" w:hanging="532"/>
        <w:spacing w:after="0"/>
        <w:tabs>
          <w:tab w:leader="none" w:pos="532" w:val="left"/>
        </w:tabs>
        <w:numPr>
          <w:ilvl w:val="0"/>
          <w:numId w:val="7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w:t>
      </w:r>
    </w:p>
    <w:p>
      <w:pPr>
        <w:spacing w:after="0" w:line="130" w:lineRule="exact"/>
        <w:rPr>
          <w:rFonts w:ascii="Arial" w:cs="Arial" w:eastAsia="Arial" w:hAnsi="Arial"/>
          <w:sz w:val="18"/>
          <w:szCs w:val="18"/>
          <w:color w:val="auto"/>
        </w:rPr>
      </w:pPr>
    </w:p>
    <w:p>
      <w:pPr>
        <w:ind w:left="992" w:right="220" w:hanging="439"/>
        <w:spacing w:after="0" w:line="277" w:lineRule="auto"/>
        <w:tabs>
          <w:tab w:leader="none" w:pos="992" w:val="left"/>
        </w:tabs>
        <w:numPr>
          <w:ilvl w:val="1"/>
          <w:numId w:val="793"/>
        </w:numPr>
        <w:rPr>
          <w:rFonts w:ascii="Arial" w:cs="Arial" w:eastAsia="Arial" w:hAnsi="Arial"/>
          <w:sz w:val="18"/>
          <w:szCs w:val="18"/>
          <w:color w:val="auto"/>
        </w:rPr>
      </w:pPr>
      <w:r>
        <w:rPr>
          <w:rFonts w:ascii="Arial" w:cs="Arial" w:eastAsia="Arial" w:hAnsi="Arial"/>
          <w:sz w:val="18"/>
          <w:szCs w:val="18"/>
          <w:color w:val="auto"/>
        </w:rPr>
        <w:t>Each Obligor is a limited liability corporation or company duly incorporated or organised, as the case may be, and validly existing under the law of its jurisdiction of incorporation or organisation, as the case may be.</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793"/>
        </w:numPr>
        <w:rPr>
          <w:rFonts w:ascii="Arial" w:cs="Arial" w:eastAsia="Arial" w:hAnsi="Arial"/>
          <w:sz w:val="18"/>
          <w:szCs w:val="18"/>
          <w:color w:val="auto"/>
        </w:rPr>
      </w:pPr>
      <w:r>
        <w:rPr>
          <w:rFonts w:ascii="Arial" w:cs="Arial" w:eastAsia="Arial" w:hAnsi="Arial"/>
          <w:sz w:val="18"/>
          <w:szCs w:val="18"/>
          <w:color w:val="auto"/>
        </w:rPr>
        <w:t>Each Obligor has the power to own its assets and carry on its business as it is being conducted.</w:t>
      </w:r>
    </w:p>
    <w:p>
      <w:pPr>
        <w:spacing w:after="0" w:line="130" w:lineRule="exact"/>
        <w:rPr>
          <w:rFonts w:ascii="Arial" w:cs="Arial" w:eastAsia="Arial" w:hAnsi="Arial"/>
          <w:sz w:val="18"/>
          <w:szCs w:val="18"/>
          <w:color w:val="auto"/>
        </w:rPr>
      </w:pPr>
    </w:p>
    <w:p>
      <w:pPr>
        <w:ind w:left="992" w:right="100" w:hanging="439"/>
        <w:spacing w:after="0" w:line="277" w:lineRule="auto"/>
        <w:tabs>
          <w:tab w:leader="none" w:pos="992" w:val="left"/>
        </w:tabs>
        <w:numPr>
          <w:ilvl w:val="1"/>
          <w:numId w:val="793"/>
        </w:numPr>
        <w:rPr>
          <w:rFonts w:ascii="Arial" w:cs="Arial" w:eastAsia="Arial" w:hAnsi="Arial"/>
          <w:sz w:val="18"/>
          <w:szCs w:val="18"/>
          <w:color w:val="auto"/>
        </w:rPr>
      </w:pPr>
      <w:r>
        <w:rPr>
          <w:rFonts w:ascii="Arial" w:cs="Arial" w:eastAsia="Arial" w:hAnsi="Arial"/>
          <w:sz w:val="18"/>
          <w:szCs w:val="18"/>
          <w:color w:val="auto"/>
        </w:rPr>
        <w:t>Each Obligor is acting as principal for its own account and not as agent or trustee in any capacity on behalf of any person in relation to this Agreement and each Confirmatory Security Document.</w:t>
      </w:r>
    </w:p>
    <w:p>
      <w:pPr>
        <w:spacing w:after="0" w:line="318" w:lineRule="exact"/>
        <w:rPr>
          <w:rFonts w:ascii="Arial" w:cs="Arial" w:eastAsia="Arial" w:hAnsi="Arial"/>
          <w:sz w:val="18"/>
          <w:szCs w:val="18"/>
          <w:color w:val="auto"/>
        </w:rPr>
      </w:pPr>
    </w:p>
    <w:p>
      <w:pPr>
        <w:ind w:left="532" w:hanging="532"/>
        <w:spacing w:after="0"/>
        <w:tabs>
          <w:tab w:leader="none" w:pos="532" w:val="left"/>
        </w:tabs>
        <w:numPr>
          <w:ilvl w:val="0"/>
          <w:numId w:val="793"/>
        </w:numPr>
        <w:rPr>
          <w:rFonts w:ascii="Arial" w:cs="Arial" w:eastAsia="Arial" w:hAnsi="Arial"/>
          <w:sz w:val="18"/>
          <w:szCs w:val="18"/>
          <w:color w:val="auto"/>
        </w:rPr>
      </w:pPr>
      <w:r>
        <w:rPr>
          <w:rFonts w:ascii="Arial" w:cs="Arial" w:eastAsia="Arial" w:hAnsi="Arial"/>
          <w:sz w:val="18"/>
          <w:szCs w:val="18"/>
          <w:color w:val="auto"/>
        </w:rPr>
        <w:t>Binding obligations</w:t>
      </w:r>
    </w:p>
    <w:p>
      <w:pPr>
        <w:spacing w:after="0" w:line="117" w:lineRule="exact"/>
        <w:rPr>
          <w:rFonts w:ascii="Arial" w:cs="Arial" w:eastAsia="Arial" w:hAnsi="Arial"/>
          <w:sz w:val="18"/>
          <w:szCs w:val="18"/>
          <w:color w:val="auto"/>
        </w:rPr>
      </w:pPr>
    </w:p>
    <w:p>
      <w:pPr>
        <w:ind w:left="552" w:right="400"/>
        <w:spacing w:after="0" w:line="277" w:lineRule="auto"/>
        <w:rPr>
          <w:rFonts w:ascii="Arial" w:cs="Arial" w:eastAsia="Arial" w:hAnsi="Arial"/>
          <w:sz w:val="18"/>
          <w:szCs w:val="18"/>
          <w:color w:val="auto"/>
        </w:rPr>
      </w:pPr>
      <w:r>
        <w:rPr>
          <w:rFonts w:ascii="Arial" w:cs="Arial" w:eastAsia="Arial" w:hAnsi="Arial"/>
          <w:sz w:val="18"/>
          <w:szCs w:val="18"/>
          <w:color w:val="auto"/>
        </w:rPr>
        <w:t>Subject to the Legal Reservations, the obligations expressed to be assumed by each Obligor in this Agreement and each Confirmatory Security Document are legal, valid, binding and enforceable obligations.</w:t>
      </w:r>
    </w:p>
    <w:p>
      <w:pPr>
        <w:spacing w:after="0" w:line="318" w:lineRule="exact"/>
        <w:rPr>
          <w:rFonts w:ascii="Arial" w:cs="Arial" w:eastAsia="Arial" w:hAnsi="Arial"/>
          <w:sz w:val="18"/>
          <w:szCs w:val="18"/>
          <w:color w:val="auto"/>
        </w:rPr>
      </w:pPr>
    </w:p>
    <w:p>
      <w:pPr>
        <w:ind w:left="532" w:hanging="532"/>
        <w:spacing w:after="0"/>
        <w:tabs>
          <w:tab w:leader="none" w:pos="532" w:val="left"/>
        </w:tabs>
        <w:numPr>
          <w:ilvl w:val="0"/>
          <w:numId w:val="793"/>
        </w:numPr>
        <w:rPr>
          <w:rFonts w:ascii="Arial" w:cs="Arial" w:eastAsia="Arial" w:hAnsi="Arial"/>
          <w:sz w:val="18"/>
          <w:szCs w:val="18"/>
          <w:color w:val="auto"/>
        </w:rPr>
      </w:pPr>
      <w:r>
        <w:rPr>
          <w:rFonts w:ascii="Arial" w:cs="Arial" w:eastAsia="Arial" w:hAnsi="Arial"/>
          <w:sz w:val="18"/>
          <w:szCs w:val="18"/>
          <w:color w:val="auto"/>
        </w:rPr>
        <w:t>Non-conflict with other obligations</w:t>
      </w:r>
    </w:p>
    <w:p>
      <w:pPr>
        <w:spacing w:after="0" w:line="117" w:lineRule="exact"/>
        <w:rPr>
          <w:rFonts w:ascii="Arial" w:cs="Arial" w:eastAsia="Arial" w:hAnsi="Arial"/>
          <w:sz w:val="18"/>
          <w:szCs w:val="18"/>
          <w:color w:val="auto"/>
        </w:rPr>
      </w:pPr>
    </w:p>
    <w:p>
      <w:pPr>
        <w:ind w:left="552" w:right="60"/>
        <w:spacing w:after="0" w:line="277" w:lineRule="auto"/>
        <w:rPr>
          <w:rFonts w:ascii="Arial" w:cs="Arial" w:eastAsia="Arial" w:hAnsi="Arial"/>
          <w:sz w:val="18"/>
          <w:szCs w:val="18"/>
          <w:color w:val="auto"/>
        </w:rPr>
      </w:pPr>
      <w:r>
        <w:rPr>
          <w:rFonts w:ascii="Arial" w:cs="Arial" w:eastAsia="Arial" w:hAnsi="Arial"/>
          <w:sz w:val="18"/>
          <w:szCs w:val="18"/>
          <w:color w:val="auto"/>
        </w:rPr>
        <w:t>The entry into and performance by each Obligor of, and the transactions contemplated by, this Agreement and each Confirmatory Security Document do not and will not conflict with:</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793"/>
        </w:numPr>
        <w:rPr>
          <w:rFonts w:ascii="Arial" w:cs="Arial" w:eastAsia="Arial" w:hAnsi="Arial"/>
          <w:sz w:val="18"/>
          <w:szCs w:val="18"/>
          <w:color w:val="auto"/>
        </w:rPr>
      </w:pPr>
      <w:r>
        <w:rPr>
          <w:rFonts w:ascii="Arial" w:cs="Arial" w:eastAsia="Arial" w:hAnsi="Arial"/>
          <w:sz w:val="18"/>
          <w:szCs w:val="18"/>
          <w:color w:val="auto"/>
        </w:rPr>
        <w:t>any law or regulation applicable to such Obligor;</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793"/>
        </w:numPr>
        <w:rPr>
          <w:rFonts w:ascii="Arial" w:cs="Arial" w:eastAsia="Arial" w:hAnsi="Arial"/>
          <w:sz w:val="18"/>
          <w:szCs w:val="18"/>
          <w:color w:val="auto"/>
        </w:rPr>
      </w:pPr>
      <w:r>
        <w:rPr>
          <w:rFonts w:ascii="Arial" w:cs="Arial" w:eastAsia="Arial" w:hAnsi="Arial"/>
          <w:sz w:val="18"/>
          <w:szCs w:val="18"/>
          <w:color w:val="auto"/>
        </w:rPr>
        <w:t>its Constitutional Documents; or</w:t>
      </w:r>
    </w:p>
    <w:p>
      <w:pPr>
        <w:spacing w:after="0" w:line="130" w:lineRule="exact"/>
        <w:rPr>
          <w:rFonts w:ascii="Arial" w:cs="Arial" w:eastAsia="Arial" w:hAnsi="Arial"/>
          <w:sz w:val="18"/>
          <w:szCs w:val="18"/>
          <w:color w:val="auto"/>
        </w:rPr>
      </w:pPr>
    </w:p>
    <w:p>
      <w:pPr>
        <w:ind w:left="992" w:right="240" w:hanging="439"/>
        <w:spacing w:after="0" w:line="263" w:lineRule="auto"/>
        <w:tabs>
          <w:tab w:leader="none" w:pos="992" w:val="left"/>
        </w:tabs>
        <w:numPr>
          <w:ilvl w:val="1"/>
          <w:numId w:val="793"/>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of its assets or constitute a default or termination event (however described) under any such agreement or instrument, except where a Material Adverse Effect does not or would not be reasonably expected to occur).</w:t>
      </w:r>
    </w:p>
    <w:p>
      <w:pPr>
        <w:spacing w:after="0" w:line="332" w:lineRule="exact"/>
        <w:rPr>
          <w:rFonts w:ascii="Arial" w:cs="Arial" w:eastAsia="Arial" w:hAnsi="Arial"/>
          <w:sz w:val="18"/>
          <w:szCs w:val="18"/>
          <w:color w:val="auto"/>
        </w:rPr>
      </w:pPr>
    </w:p>
    <w:p>
      <w:pPr>
        <w:ind w:left="532" w:hanging="532"/>
        <w:spacing w:after="0"/>
        <w:tabs>
          <w:tab w:leader="none" w:pos="532" w:val="left"/>
        </w:tabs>
        <w:numPr>
          <w:ilvl w:val="0"/>
          <w:numId w:val="793"/>
        </w:numPr>
        <w:rPr>
          <w:rFonts w:ascii="Arial" w:cs="Arial" w:eastAsia="Arial" w:hAnsi="Arial"/>
          <w:sz w:val="18"/>
          <w:szCs w:val="18"/>
          <w:color w:val="auto"/>
        </w:rPr>
      </w:pPr>
      <w:r>
        <w:rPr>
          <w:rFonts w:ascii="Arial" w:cs="Arial" w:eastAsia="Arial" w:hAnsi="Arial"/>
          <w:sz w:val="18"/>
          <w:szCs w:val="18"/>
          <w:color w:val="auto"/>
        </w:rPr>
        <w:t>Power and authority</w:t>
      </w:r>
    </w:p>
    <w:p>
      <w:pPr>
        <w:spacing w:after="0" w:line="117" w:lineRule="exact"/>
        <w:rPr>
          <w:rFonts w:ascii="Arial" w:cs="Arial" w:eastAsia="Arial" w:hAnsi="Arial"/>
          <w:sz w:val="18"/>
          <w:szCs w:val="18"/>
          <w:color w:val="auto"/>
        </w:rPr>
      </w:pPr>
    </w:p>
    <w:p>
      <w:pPr>
        <w:ind w:left="552" w:right="460"/>
        <w:spacing w:after="0" w:line="263" w:lineRule="auto"/>
        <w:rPr>
          <w:rFonts w:ascii="Arial" w:cs="Arial" w:eastAsia="Arial" w:hAnsi="Arial"/>
          <w:sz w:val="18"/>
          <w:szCs w:val="18"/>
          <w:color w:val="auto"/>
        </w:rPr>
      </w:pPr>
      <w:r>
        <w:rPr>
          <w:rFonts w:ascii="Arial" w:cs="Arial" w:eastAsia="Arial" w:hAnsi="Arial"/>
          <w:sz w:val="18"/>
          <w:szCs w:val="18"/>
          <w:color w:val="auto"/>
        </w:rPr>
        <w:t>Each Obligor has the power to enter into, perform and deliver, and has taken all necessary corporate action to authorise its entry into, performance and delivery of, this Agreement and each Confirmatory Security Document to which it is or will be a party and the transactions contemplated therein.</w:t>
      </w:r>
    </w:p>
    <w:p>
      <w:pPr>
        <w:spacing w:after="0" w:line="332" w:lineRule="exact"/>
        <w:rPr>
          <w:rFonts w:ascii="Arial" w:cs="Arial" w:eastAsia="Arial" w:hAnsi="Arial"/>
          <w:sz w:val="18"/>
          <w:szCs w:val="18"/>
          <w:color w:val="auto"/>
        </w:rPr>
      </w:pPr>
    </w:p>
    <w:p>
      <w:pPr>
        <w:ind w:left="532" w:hanging="532"/>
        <w:spacing w:after="0"/>
        <w:tabs>
          <w:tab w:leader="none" w:pos="532" w:val="left"/>
        </w:tabs>
        <w:numPr>
          <w:ilvl w:val="0"/>
          <w:numId w:val="793"/>
        </w:numPr>
        <w:rPr>
          <w:rFonts w:ascii="Arial" w:cs="Arial" w:eastAsia="Arial" w:hAnsi="Arial"/>
          <w:sz w:val="18"/>
          <w:szCs w:val="18"/>
          <w:color w:val="auto"/>
        </w:rPr>
      </w:pPr>
      <w:r>
        <w:rPr>
          <w:rFonts w:ascii="Arial" w:cs="Arial" w:eastAsia="Arial" w:hAnsi="Arial"/>
          <w:sz w:val="18"/>
          <w:szCs w:val="18"/>
          <w:color w:val="auto"/>
        </w:rPr>
        <w:t>Validity and admissibility in evidence</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793"/>
        </w:numPr>
        <w:rPr>
          <w:rFonts w:ascii="Arial" w:cs="Arial" w:eastAsia="Arial" w:hAnsi="Arial"/>
          <w:sz w:val="18"/>
          <w:szCs w:val="18"/>
          <w:color w:val="auto"/>
        </w:rPr>
      </w:pPr>
      <w:r>
        <w:rPr>
          <w:rFonts w:ascii="Arial" w:cs="Arial" w:eastAsia="Arial" w:hAnsi="Arial"/>
          <w:sz w:val="18"/>
          <w:szCs w:val="18"/>
          <w:color w:val="auto"/>
        </w:rPr>
        <w:t>All Authorisations required:</w:t>
      </w:r>
    </w:p>
    <w:p>
      <w:pPr>
        <w:spacing w:after="0" w:line="130" w:lineRule="exact"/>
        <w:rPr>
          <w:rFonts w:ascii="Arial" w:cs="Arial" w:eastAsia="Arial" w:hAnsi="Arial"/>
          <w:sz w:val="18"/>
          <w:szCs w:val="18"/>
          <w:color w:val="auto"/>
        </w:rPr>
      </w:pPr>
    </w:p>
    <w:p>
      <w:pPr>
        <w:ind w:left="1532" w:right="300" w:hanging="533"/>
        <w:spacing w:after="0" w:line="277" w:lineRule="auto"/>
        <w:tabs>
          <w:tab w:leader="none" w:pos="1532" w:val="left"/>
        </w:tabs>
        <w:numPr>
          <w:ilvl w:val="2"/>
          <w:numId w:val="793"/>
        </w:numPr>
        <w:rPr>
          <w:rFonts w:ascii="Arial" w:cs="Arial" w:eastAsia="Arial" w:hAnsi="Arial"/>
          <w:sz w:val="18"/>
          <w:szCs w:val="18"/>
          <w:color w:val="auto"/>
        </w:rPr>
      </w:pPr>
      <w:r>
        <w:rPr>
          <w:rFonts w:ascii="Arial" w:cs="Arial" w:eastAsia="Arial" w:hAnsi="Arial"/>
          <w:sz w:val="18"/>
          <w:szCs w:val="18"/>
          <w:color w:val="auto"/>
        </w:rPr>
        <w:t>to enable each Obligor lawfully to enter into, exercise its rights and comply with its obligations under this Agreement and each Confirmatory Security Document to which it is or will be a party; and</w:t>
      </w:r>
    </w:p>
    <w:p>
      <w:pPr>
        <w:spacing w:after="0" w:line="75" w:lineRule="exact"/>
        <w:rPr>
          <w:rFonts w:ascii="Arial" w:cs="Arial" w:eastAsia="Arial" w:hAnsi="Arial"/>
          <w:sz w:val="18"/>
          <w:szCs w:val="18"/>
          <w:color w:val="auto"/>
        </w:rPr>
      </w:pPr>
    </w:p>
    <w:p>
      <w:pPr>
        <w:ind w:left="1532" w:right="60" w:hanging="533"/>
        <w:spacing w:after="0" w:line="277" w:lineRule="auto"/>
        <w:tabs>
          <w:tab w:leader="none" w:pos="1532" w:val="left"/>
        </w:tabs>
        <w:numPr>
          <w:ilvl w:val="2"/>
          <w:numId w:val="793"/>
        </w:numPr>
        <w:rPr>
          <w:rFonts w:ascii="Arial" w:cs="Arial" w:eastAsia="Arial" w:hAnsi="Arial"/>
          <w:sz w:val="18"/>
          <w:szCs w:val="18"/>
          <w:color w:val="auto"/>
        </w:rPr>
      </w:pPr>
      <w:r>
        <w:rPr>
          <w:rFonts w:ascii="Arial" w:cs="Arial" w:eastAsia="Arial" w:hAnsi="Arial"/>
          <w:sz w:val="18"/>
          <w:szCs w:val="18"/>
          <w:color w:val="auto"/>
        </w:rPr>
        <w:t>to make this Agreement and each Confirmatory Security Document to which it is or will be a party admissible in evidence in its Relevant Jurisdictions,</w:t>
      </w:r>
    </w:p>
    <w:p>
      <w:pPr>
        <w:spacing w:after="0" w:line="62" w:lineRule="exact"/>
        <w:rPr>
          <w:sz w:val="20"/>
          <w:szCs w:val="20"/>
          <w:color w:val="auto"/>
        </w:rPr>
      </w:pPr>
    </w:p>
    <w:p>
      <w:pPr>
        <w:ind w:left="992"/>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131" w:lineRule="exact"/>
        <w:rPr>
          <w:sz w:val="20"/>
          <w:szCs w:val="20"/>
          <w:color w:val="auto"/>
        </w:rPr>
      </w:pPr>
    </w:p>
    <w:p>
      <w:pPr>
        <w:ind w:left="992" w:right="140" w:hanging="439"/>
        <w:spacing w:after="0" w:line="308" w:lineRule="auto"/>
        <w:tabs>
          <w:tab w:leader="none" w:pos="992" w:val="left"/>
        </w:tabs>
        <w:numPr>
          <w:ilvl w:val="0"/>
          <w:numId w:val="794"/>
        </w:numPr>
        <w:rPr>
          <w:rFonts w:ascii="Arial" w:cs="Arial" w:eastAsia="Arial" w:hAnsi="Arial"/>
          <w:sz w:val="17"/>
          <w:szCs w:val="17"/>
          <w:color w:val="auto"/>
        </w:rPr>
      </w:pPr>
      <w:r>
        <w:rPr>
          <w:rFonts w:ascii="Arial" w:cs="Arial" w:eastAsia="Arial" w:hAnsi="Arial"/>
          <w:sz w:val="17"/>
          <w:szCs w:val="17"/>
          <w:color w:val="auto"/>
        </w:rPr>
        <w:t>All Authorisations necessary for it to carry out its business, where failure of obtaining such Authorisations has or would reasonably be expected to have a Material Adverse Effect, have been obtained or effected and are in full force and effect.</w:t>
      </w:r>
    </w:p>
    <w:p>
      <w:pPr>
        <w:spacing w:after="0" w:line="79" w:lineRule="exact"/>
        <w:rPr>
          <w:sz w:val="20"/>
          <w:szCs w:val="20"/>
          <w:color w:val="auto"/>
        </w:rPr>
      </w:pPr>
    </w:p>
    <w:tbl>
      <w:tblPr>
        <w:tblLayout w:type="fixed"/>
        <w:tblInd w:w="5092" w:type="dxa"/>
        <w:tblCellMar>
          <w:top w:w="0" w:type="dxa"/>
          <w:left w:w="0" w:type="dxa"/>
          <w:bottom w:w="0" w:type="dxa"/>
          <w:right w:w="0" w:type="dxa"/>
        </w:tblCellMar>
      </w:tblPr>
      <w:tr>
        <w:trPr>
          <w:trHeight w:val="216"/>
        </w:trPr>
        <w:tc>
          <w:tcPr>
            <w:tcW w:w="1300" w:type="dxa"/>
            <w:vAlign w:val="bottom"/>
          </w:tcPr>
          <w:p>
            <w:pPr>
              <w:jc w:val="right"/>
              <w:ind w:right="1147"/>
              <w:spacing w:after="0"/>
              <w:rPr>
                <w:sz w:val="20"/>
                <w:szCs w:val="20"/>
                <w:color w:val="auto"/>
              </w:rPr>
            </w:pPr>
            <w:r>
              <w:rPr>
                <w:rFonts w:ascii="Arial" w:cs="Arial" w:eastAsia="Arial" w:hAnsi="Arial"/>
                <w:sz w:val="15"/>
                <w:szCs w:val="15"/>
                <w:color w:val="auto"/>
                <w:w w:val="71"/>
              </w:rPr>
              <w:t>4</w:t>
            </w:r>
          </w:p>
        </w:tc>
        <w:tc>
          <w:tcPr>
            <w:tcW w:w="420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0592"/>
          </w:cols>
          <w:pgMar w:left="868" w:top="275" w:right="439" w:bottom="1440" w:gutter="0" w:footer="0" w:header="0"/>
        </w:sectPr>
      </w:pPr>
    </w:p>
    <w:bookmarkStart w:id="609" w:name="page610"/>
    <w:bookmarkEnd w:id="609"/>
    <w:p>
      <w:pPr>
        <w:ind w:left="980" w:right="7560" w:hanging="552"/>
        <w:spacing w:after="0" w:line="431" w:lineRule="auto"/>
        <w:tabs>
          <w:tab w:leader="none" w:pos="961" w:val="left"/>
        </w:tabs>
        <w:numPr>
          <w:ilvl w:val="0"/>
          <w:numId w:val="7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and enforcement Subject to the Legal Reservations:</w:t>
      </w:r>
    </w:p>
    <w:p>
      <w:pPr>
        <w:ind w:left="1420" w:right="60" w:hanging="439"/>
        <w:spacing w:after="0" w:line="263" w:lineRule="auto"/>
        <w:tabs>
          <w:tab w:leader="none" w:pos="1420" w:val="left"/>
        </w:tabs>
        <w:numPr>
          <w:ilvl w:val="1"/>
          <w:numId w:val="795"/>
        </w:numPr>
        <w:rPr>
          <w:rFonts w:ascii="Arial" w:cs="Arial" w:eastAsia="Arial" w:hAnsi="Arial"/>
          <w:sz w:val="18"/>
          <w:szCs w:val="18"/>
          <w:color w:val="auto"/>
        </w:rPr>
      </w:pPr>
      <w:r>
        <w:rPr>
          <w:rFonts w:ascii="Arial" w:cs="Arial" w:eastAsia="Arial" w:hAnsi="Arial"/>
          <w:sz w:val="18"/>
          <w:szCs w:val="18"/>
          <w:color w:val="auto"/>
        </w:rPr>
        <w:t>the choice of English law as the governing law of this Agreement and, in the case of each Confirmatory Security Document, English law, Hong Kong law or Macau SAR law (as the case may be) will be recognised and enforced in each Obligor’s Relevant Jurisdiction; and</w:t>
      </w:r>
    </w:p>
    <w:p>
      <w:pPr>
        <w:spacing w:after="0" w:line="89" w:lineRule="exact"/>
        <w:rPr>
          <w:rFonts w:ascii="Arial" w:cs="Arial" w:eastAsia="Arial" w:hAnsi="Arial"/>
          <w:sz w:val="18"/>
          <w:szCs w:val="18"/>
          <w:color w:val="auto"/>
        </w:rPr>
      </w:pPr>
    </w:p>
    <w:p>
      <w:pPr>
        <w:ind w:left="1420" w:right="260" w:hanging="439"/>
        <w:spacing w:after="0" w:line="277" w:lineRule="auto"/>
        <w:tabs>
          <w:tab w:leader="none" w:pos="1420" w:val="left"/>
        </w:tabs>
        <w:numPr>
          <w:ilvl w:val="1"/>
          <w:numId w:val="795"/>
        </w:numPr>
        <w:rPr>
          <w:rFonts w:ascii="Arial" w:cs="Arial" w:eastAsia="Arial" w:hAnsi="Arial"/>
          <w:sz w:val="18"/>
          <w:szCs w:val="18"/>
          <w:color w:val="auto"/>
        </w:rPr>
      </w:pPr>
      <w:r>
        <w:rPr>
          <w:rFonts w:ascii="Arial" w:cs="Arial" w:eastAsia="Arial" w:hAnsi="Arial"/>
          <w:sz w:val="18"/>
          <w:szCs w:val="18"/>
          <w:color w:val="auto"/>
        </w:rPr>
        <w:t>any judgment obtained in relation to this Agreement or any Confirmatory Security Document in England, the Hong Kong SAR or the Macau SAR (as the case may be) will be recognised and enforced in its Relevant Jurisdictions.</w:t>
      </w:r>
    </w:p>
    <w:p>
      <w:pPr>
        <w:spacing w:after="0" w:line="318" w:lineRule="exact"/>
        <w:rPr>
          <w:rFonts w:ascii="Arial" w:cs="Arial" w:eastAsia="Arial" w:hAnsi="Arial"/>
          <w:sz w:val="18"/>
          <w:szCs w:val="18"/>
          <w:color w:val="auto"/>
        </w:rPr>
      </w:pPr>
    </w:p>
    <w:p>
      <w:pPr>
        <w:ind w:left="960" w:hanging="532"/>
        <w:spacing w:after="0"/>
        <w:tabs>
          <w:tab w:leader="none" w:pos="96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No filing or stamp taxes</w:t>
      </w:r>
    </w:p>
    <w:p>
      <w:pPr>
        <w:spacing w:after="0" w:line="117" w:lineRule="exact"/>
        <w:rPr>
          <w:rFonts w:ascii="Arial" w:cs="Arial" w:eastAsia="Arial" w:hAnsi="Arial"/>
          <w:sz w:val="18"/>
          <w:szCs w:val="18"/>
          <w:color w:val="auto"/>
        </w:rPr>
      </w:pPr>
    </w:p>
    <w:p>
      <w:pPr>
        <w:ind w:left="980" w:right="40"/>
        <w:spacing w:after="0" w:line="255" w:lineRule="auto"/>
        <w:rPr>
          <w:rFonts w:ascii="Arial" w:cs="Arial" w:eastAsia="Arial" w:hAnsi="Arial"/>
          <w:sz w:val="18"/>
          <w:szCs w:val="18"/>
          <w:color w:val="auto"/>
        </w:rPr>
      </w:pPr>
      <w:r>
        <w:rPr>
          <w:rFonts w:ascii="Arial" w:cs="Arial" w:eastAsia="Arial" w:hAnsi="Arial"/>
          <w:sz w:val="18"/>
          <w:szCs w:val="18"/>
          <w:color w:val="auto"/>
        </w:rPr>
        <w:t>Subject to the Legal Reservations, under the laws of each Obligor’s Relevant Jurisdictions it is not necessary that this Agreement or any Confirmatory Security Document be filed, recorded or enrolled with any court or other authority in that jurisdiction or that any stamp, registration, notarial or similar Taxes or fees be paid on or in relation to this Agreement or any Confirmatory Security Document or the transactions contemplated therein (save for any stamp, registration, notarial or similar Tax which is referred to in any legal opinion of legal counsel in the Macau SAR delivered to the Agent under this Agreement), which will be made or paid promptly after the date of this Agreement).</w:t>
      </w:r>
    </w:p>
    <w:p>
      <w:pPr>
        <w:spacing w:after="0" w:line="340" w:lineRule="exact"/>
        <w:rPr>
          <w:rFonts w:ascii="Arial" w:cs="Arial" w:eastAsia="Arial" w:hAnsi="Arial"/>
          <w:sz w:val="18"/>
          <w:szCs w:val="18"/>
          <w:color w:val="auto"/>
        </w:rPr>
      </w:pPr>
    </w:p>
    <w:p>
      <w:pPr>
        <w:ind w:left="960" w:hanging="532"/>
        <w:spacing w:after="0"/>
        <w:tabs>
          <w:tab w:leader="none" w:pos="96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Deduction of Tax</w:t>
      </w:r>
    </w:p>
    <w:p>
      <w:pPr>
        <w:spacing w:after="0" w:line="117" w:lineRule="exact"/>
        <w:rPr>
          <w:rFonts w:ascii="Arial" w:cs="Arial" w:eastAsia="Arial" w:hAnsi="Arial"/>
          <w:sz w:val="18"/>
          <w:szCs w:val="18"/>
          <w:color w:val="auto"/>
        </w:rPr>
      </w:pPr>
    </w:p>
    <w:p>
      <w:pPr>
        <w:ind w:left="980" w:right="200"/>
        <w:spacing w:after="0" w:line="263" w:lineRule="auto"/>
        <w:rPr>
          <w:rFonts w:ascii="Arial" w:cs="Arial" w:eastAsia="Arial" w:hAnsi="Arial"/>
          <w:sz w:val="18"/>
          <w:szCs w:val="18"/>
          <w:color w:val="auto"/>
        </w:rPr>
      </w:pPr>
      <w:r>
        <w:rPr>
          <w:rFonts w:ascii="Arial" w:cs="Arial" w:eastAsia="Arial" w:hAnsi="Arial"/>
          <w:sz w:val="18"/>
          <w:szCs w:val="18"/>
          <w:color w:val="auto"/>
        </w:rPr>
        <w:t>No Obligor is required under the laws of its Relevant Jurisdiction or at its address specified in the Facilities Agreement or the Amended and Restated Facilities Agreement to make any deduction for or on account of Tax from any payment it may make under this Agreement or any Confirmatory Security Document.</w:t>
      </w:r>
    </w:p>
    <w:p>
      <w:pPr>
        <w:spacing w:after="0" w:line="332" w:lineRule="exact"/>
        <w:rPr>
          <w:rFonts w:ascii="Arial" w:cs="Arial" w:eastAsia="Arial" w:hAnsi="Arial"/>
          <w:sz w:val="18"/>
          <w:szCs w:val="18"/>
          <w:color w:val="auto"/>
        </w:rPr>
      </w:pPr>
    </w:p>
    <w:p>
      <w:pPr>
        <w:ind w:left="960" w:hanging="532"/>
        <w:spacing w:after="0"/>
        <w:tabs>
          <w:tab w:leader="none" w:pos="96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Group Structure Chart</w:t>
      </w:r>
    </w:p>
    <w:p>
      <w:pPr>
        <w:spacing w:after="0" w:line="117" w:lineRule="exact"/>
        <w:rPr>
          <w:rFonts w:ascii="Arial" w:cs="Arial" w:eastAsia="Arial" w:hAnsi="Arial"/>
          <w:sz w:val="18"/>
          <w:szCs w:val="18"/>
          <w:color w:val="auto"/>
        </w:rPr>
      </w:pPr>
    </w:p>
    <w:p>
      <w:pPr>
        <w:ind w:left="980" w:right="600"/>
        <w:spacing w:after="0" w:line="277" w:lineRule="auto"/>
        <w:rPr>
          <w:rFonts w:ascii="Arial" w:cs="Arial" w:eastAsia="Arial" w:hAnsi="Arial"/>
          <w:sz w:val="18"/>
          <w:szCs w:val="18"/>
          <w:color w:val="auto"/>
        </w:rPr>
      </w:pPr>
      <w:r>
        <w:rPr>
          <w:rFonts w:ascii="Arial" w:cs="Arial" w:eastAsia="Arial" w:hAnsi="Arial"/>
          <w:sz w:val="18"/>
          <w:szCs w:val="18"/>
          <w:color w:val="auto"/>
        </w:rPr>
        <w:t>As at the date of this Agreement the Group Structure Chart delivered to the Agent pursuant to this Agreement is true, complete and accurate and shows each person that is a Subsidiary of an Obligor.</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Repetition</w:t>
      </w:r>
    </w:p>
    <w:p>
      <w:pPr>
        <w:spacing w:after="0" w:line="121" w:lineRule="exact"/>
        <w:rPr>
          <w:sz w:val="20"/>
          <w:szCs w:val="20"/>
          <w:color w:val="auto"/>
        </w:rPr>
      </w:pPr>
    </w:p>
    <w:p>
      <w:pPr>
        <w:ind w:left="440" w:right="140"/>
        <w:spacing w:after="0" w:line="255" w:lineRule="auto"/>
        <w:rPr>
          <w:sz w:val="20"/>
          <w:szCs w:val="20"/>
          <w:color w:val="auto"/>
        </w:rPr>
      </w:pPr>
      <w:r>
        <w:rPr>
          <w:rFonts w:ascii="Arial" w:cs="Arial" w:eastAsia="Arial" w:hAnsi="Arial"/>
          <w:sz w:val="18"/>
          <w:szCs w:val="18"/>
          <w:color w:val="auto"/>
        </w:rPr>
        <w:t>The representations and warranties set out in clause 21 (</w:t>
      </w:r>
      <w:r>
        <w:rPr>
          <w:rFonts w:ascii="Arial" w:cs="Arial" w:eastAsia="Arial" w:hAnsi="Arial"/>
          <w:sz w:val="18"/>
          <w:szCs w:val="18"/>
          <w:i w:val="1"/>
          <w:iCs w:val="1"/>
          <w:color w:val="auto"/>
        </w:rPr>
        <w:t>Representations</w:t>
      </w:r>
      <w:r>
        <w:rPr>
          <w:rFonts w:ascii="Arial" w:cs="Arial" w:eastAsia="Arial" w:hAnsi="Arial"/>
          <w:sz w:val="18"/>
          <w:szCs w:val="18"/>
          <w:color w:val="auto"/>
        </w:rPr>
        <w:t>) of the Amended and Restated Facilities Agreement are deemed to be made by each Obligor by reference to the facts and circumstances then existing on the date of this Agreement and on the Effective Date and, in each case, as if any reference therein to any Finance Document in respect of which any amendment, acknowledgement, confirmation, consolidation, novation, restatement, replacement or supplement is expressed to be made by any Amendment Transaction Document included, to the extent relevant, such Amendment Transaction Document and the Finance Document as so amended, acknowledged, confirmed, consolidated, novated, restated, replaced or supplemented.</w:t>
      </w:r>
    </w:p>
    <w:p>
      <w:pPr>
        <w:spacing w:after="0" w:line="125"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1300" w:type="dxa"/>
            <w:vAlign w:val="bottom"/>
          </w:tcPr>
          <w:p>
            <w:pPr>
              <w:jc w:val="right"/>
              <w:ind w:right="1147"/>
              <w:spacing w:after="0"/>
              <w:rPr>
                <w:sz w:val="20"/>
                <w:szCs w:val="20"/>
                <w:color w:val="auto"/>
              </w:rPr>
            </w:pPr>
            <w:r>
              <w:rPr>
                <w:rFonts w:ascii="Arial" w:cs="Arial" w:eastAsia="Arial" w:hAnsi="Arial"/>
                <w:sz w:val="15"/>
                <w:szCs w:val="15"/>
                <w:color w:val="auto"/>
                <w:w w:val="71"/>
              </w:rPr>
              <w:t>5</w:t>
            </w:r>
          </w:p>
        </w:tc>
        <w:tc>
          <w:tcPr>
            <w:tcW w:w="420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0"/>
          </w:cols>
          <w:pgMar w:left="440" w:top="274" w:right="439" w:bottom="1440" w:gutter="0" w:footer="0" w:header="0"/>
        </w:sectPr>
      </w:pPr>
    </w:p>
    <w:bookmarkStart w:id="610" w:name="page611"/>
    <w:bookmarkEnd w:id="610"/>
    <w:p>
      <w:pPr>
        <w:ind w:left="4" w:right="8020" w:hanging="4"/>
        <w:spacing w:after="0" w:line="434" w:lineRule="auto"/>
        <w:tabs>
          <w:tab w:leader="none" w:pos="436" w:val="left"/>
        </w:tabs>
        <w:numPr>
          <w:ilvl w:val="0"/>
          <w:numId w:val="79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Continuity and further assurance 4.1 Continuing obligations</w:t>
      </w:r>
    </w:p>
    <w:p>
      <w:pPr>
        <w:ind w:left="444" w:right="40"/>
        <w:spacing w:after="0" w:line="290" w:lineRule="auto"/>
        <w:rPr>
          <w:sz w:val="20"/>
          <w:szCs w:val="20"/>
          <w:color w:val="auto"/>
        </w:rPr>
      </w:pPr>
      <w:r>
        <w:rPr>
          <w:rFonts w:ascii="Arial" w:cs="Arial" w:eastAsia="Arial" w:hAnsi="Arial"/>
          <w:sz w:val="16"/>
          <w:szCs w:val="16"/>
          <w:color w:val="auto"/>
        </w:rPr>
        <w:t>The Obligors agree and acknowledge that the provisions of the Facilities Agreement (including, without limitation, the guarantees, undertakings and indemnities provided under clause 20 (</w:t>
      </w:r>
      <w:r>
        <w:rPr>
          <w:rFonts w:ascii="Arial" w:cs="Arial" w:eastAsia="Arial" w:hAnsi="Arial"/>
          <w:sz w:val="16"/>
          <w:szCs w:val="16"/>
          <w:i w:val="1"/>
          <w:iCs w:val="1"/>
          <w:color w:val="auto"/>
        </w:rPr>
        <w:t>Guarantee and indemnity</w:t>
      </w:r>
      <w:r>
        <w:rPr>
          <w:rFonts w:ascii="Arial" w:cs="Arial" w:eastAsia="Arial" w:hAnsi="Arial"/>
          <w:sz w:val="16"/>
          <w:szCs w:val="16"/>
          <w:color w:val="auto"/>
        </w:rPr>
        <w:t>) thereof) and the other Finance Documents shall, save as amended by this Agreement, continue in full force and effect and extend to the liabilities and obligations of the Borrower and each of the Obligors under the Amended and Restated Facilities Agreement and the other Finance Documents (as amended from time to time), including as varied, amended, supplemented or extended by this Agreement and apply equally to the obligations of the Borrower under Clause 5 (</w:t>
      </w:r>
      <w:r>
        <w:rPr>
          <w:rFonts w:ascii="Arial" w:cs="Arial" w:eastAsia="Arial" w:hAnsi="Arial"/>
          <w:sz w:val="16"/>
          <w:szCs w:val="16"/>
          <w:i w:val="1"/>
          <w:iCs w:val="1"/>
          <w:color w:val="auto"/>
        </w:rPr>
        <w:t>Costs and expenses</w:t>
      </w:r>
      <w:r>
        <w:rPr>
          <w:rFonts w:ascii="Arial" w:cs="Arial" w:eastAsia="Arial" w:hAnsi="Arial"/>
          <w:sz w:val="16"/>
          <w:szCs w:val="16"/>
          <w:color w:val="auto"/>
        </w:rPr>
        <w:t>) as if set out in full in this Agreement. In particular, nothing in this Agreement shall affect the rights of the Secured Parties in respect of the occurrence of any Default which is continuing or which arises on or after the date of this Agreement (other than any Default which has occurred or may occur as a result of the entry into of this Agreement or the entry into, and performance of, the transactions contemplated by any of the foregoing).</w:t>
      </w:r>
    </w:p>
    <w:p>
      <w:pPr>
        <w:spacing w:after="0" w:line="31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Further assurance</w:t>
      </w:r>
    </w:p>
    <w:p>
      <w:pPr>
        <w:spacing w:after="0" w:line="121" w:lineRule="exact"/>
        <w:rPr>
          <w:sz w:val="20"/>
          <w:szCs w:val="20"/>
          <w:color w:val="auto"/>
        </w:rPr>
      </w:pPr>
    </w:p>
    <w:p>
      <w:pPr>
        <w:ind w:left="444" w:right="60"/>
        <w:spacing w:after="0" w:line="277" w:lineRule="auto"/>
        <w:rPr>
          <w:sz w:val="20"/>
          <w:szCs w:val="20"/>
          <w:color w:val="auto"/>
        </w:rPr>
      </w:pPr>
      <w:r>
        <w:rPr>
          <w:rFonts w:ascii="Arial" w:cs="Arial" w:eastAsia="Arial" w:hAnsi="Arial"/>
          <w:sz w:val="18"/>
          <w:szCs w:val="18"/>
          <w:color w:val="auto"/>
        </w:rPr>
        <w:t>Each Obligor shall, upon the written request of the Agent and at its own expense, do all such acts and things reasonably necessary to give effect to the amendments effected or to be effected pursuant to this Agreement.</w:t>
      </w:r>
    </w:p>
    <w:p>
      <w:pPr>
        <w:spacing w:after="0" w:line="315" w:lineRule="exact"/>
        <w:rPr>
          <w:sz w:val="20"/>
          <w:szCs w:val="20"/>
          <w:color w:val="auto"/>
        </w:rPr>
      </w:pPr>
    </w:p>
    <w:p>
      <w:pPr>
        <w:ind w:left="424" w:hanging="424"/>
        <w:spacing w:after="0"/>
        <w:tabs>
          <w:tab w:leader="none" w:pos="424" w:val="left"/>
        </w:tabs>
        <w:numPr>
          <w:ilvl w:val="0"/>
          <w:numId w:val="797"/>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34" w:lineRule="exact"/>
        <w:rPr>
          <w:rFonts w:ascii="Arial" w:cs="Arial" w:eastAsia="Arial" w:hAnsi="Arial"/>
          <w:sz w:val="18"/>
          <w:szCs w:val="18"/>
          <w:b w:val="1"/>
          <w:bCs w:val="1"/>
          <w:color w:val="auto"/>
        </w:rPr>
      </w:pPr>
    </w:p>
    <w:p>
      <w:pPr>
        <w:ind w:left="964" w:right="40" w:hanging="532"/>
        <w:spacing w:after="0" w:line="275" w:lineRule="auto"/>
        <w:tabs>
          <w:tab w:leader="none" w:pos="964" w:val="left"/>
        </w:tabs>
        <w:numPr>
          <w:ilvl w:val="1"/>
          <w:numId w:val="797"/>
        </w:numPr>
        <w:rPr>
          <w:rFonts w:ascii="Arial" w:cs="Arial" w:eastAsia="Arial" w:hAnsi="Arial"/>
          <w:sz w:val="17"/>
          <w:szCs w:val="17"/>
          <w:color w:val="auto"/>
        </w:rPr>
      </w:pPr>
      <w:r>
        <w:rPr>
          <w:rFonts w:ascii="Arial" w:cs="Arial" w:eastAsia="Arial" w:hAnsi="Arial"/>
          <w:sz w:val="17"/>
          <w:szCs w:val="17"/>
          <w:color w:val="auto"/>
        </w:rPr>
        <w:t>Notwithstanding clause 19 (</w:t>
      </w:r>
      <w:r>
        <w:rPr>
          <w:rFonts w:ascii="Arial" w:cs="Arial" w:eastAsia="Arial" w:hAnsi="Arial"/>
          <w:sz w:val="17"/>
          <w:szCs w:val="17"/>
          <w:i w:val="1"/>
          <w:iCs w:val="1"/>
          <w:color w:val="auto"/>
        </w:rPr>
        <w:t>Costs and expenses</w:t>
      </w:r>
      <w:r>
        <w:rPr>
          <w:rFonts w:ascii="Arial" w:cs="Arial" w:eastAsia="Arial" w:hAnsi="Arial"/>
          <w:sz w:val="17"/>
          <w:szCs w:val="17"/>
          <w:color w:val="auto"/>
        </w:rPr>
        <w:t>) of the Facilities Agreement, the Borrower shall, within five (5) Business Days of demand, pay (or shall procure that another member of the Group will pay) to the Agent all costs and expenses (together with any Indirect Tax) including without limitation (but subject to any agreed caps) the fees and expenses of the Agent’s legal advisers reasonably incurred in connection with the negotiation, preparation, execution and performance of this Agreement (and the documents listed in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and the transactions contemplated in this Agreement.</w:t>
      </w:r>
    </w:p>
    <w:p>
      <w:pPr>
        <w:spacing w:after="0" w:line="81" w:lineRule="exact"/>
        <w:rPr>
          <w:rFonts w:ascii="Arial" w:cs="Arial" w:eastAsia="Arial" w:hAnsi="Arial"/>
          <w:sz w:val="17"/>
          <w:szCs w:val="17"/>
          <w:color w:val="auto"/>
        </w:rPr>
      </w:pPr>
    </w:p>
    <w:p>
      <w:pPr>
        <w:ind w:left="964" w:right="280" w:hanging="532"/>
        <w:spacing w:after="0" w:line="257" w:lineRule="auto"/>
        <w:tabs>
          <w:tab w:leader="none" w:pos="964" w:val="left"/>
        </w:tabs>
        <w:numPr>
          <w:ilvl w:val="1"/>
          <w:numId w:val="797"/>
        </w:numPr>
        <w:rPr>
          <w:rFonts w:ascii="Arial" w:cs="Arial" w:eastAsia="Arial" w:hAnsi="Arial"/>
          <w:sz w:val="18"/>
          <w:szCs w:val="18"/>
          <w:color w:val="auto"/>
        </w:rPr>
      </w:pPr>
      <w:r>
        <w:rPr>
          <w:rFonts w:ascii="Arial" w:cs="Arial" w:eastAsia="Arial" w:hAnsi="Arial"/>
          <w:sz w:val="18"/>
          <w:szCs w:val="18"/>
          <w:color w:val="auto"/>
        </w:rPr>
        <w:t>The Borrower shall pay (or shall procure that another member of the Group will pay) all stamp, registration and other taxes and notarisation expenses to which this Agreement (and the documents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is or may at any time be subject and shall from time to time within, five (5) Business Days of demand of the Agent, indemnify the Agent, the Common Security Agent and the Lenders against any liabilities, costs, claims and expenses resulting from any failure to pay or delay in paying any such amounts.</w:t>
      </w:r>
    </w:p>
    <w:p>
      <w:pPr>
        <w:spacing w:after="0" w:line="332" w:lineRule="exact"/>
        <w:rPr>
          <w:rFonts w:ascii="Arial" w:cs="Arial" w:eastAsia="Arial" w:hAnsi="Arial"/>
          <w:sz w:val="18"/>
          <w:szCs w:val="18"/>
          <w:color w:val="auto"/>
        </w:rPr>
      </w:pPr>
    </w:p>
    <w:p>
      <w:pPr>
        <w:ind w:left="424" w:hanging="424"/>
        <w:spacing w:after="0"/>
        <w:tabs>
          <w:tab w:leader="none" w:pos="424" w:val="left"/>
        </w:tabs>
        <w:numPr>
          <w:ilvl w:val="0"/>
          <w:numId w:val="797"/>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Jurisdiction of English courts</w:t>
      </w:r>
    </w:p>
    <w:p>
      <w:pPr>
        <w:spacing w:after="0" w:line="135" w:lineRule="exact"/>
        <w:rPr>
          <w:sz w:val="20"/>
          <w:szCs w:val="20"/>
          <w:color w:val="auto"/>
        </w:rPr>
      </w:pPr>
    </w:p>
    <w:p>
      <w:pPr>
        <w:ind w:left="964" w:right="20" w:hanging="532"/>
        <w:spacing w:after="0" w:line="263" w:lineRule="auto"/>
        <w:tabs>
          <w:tab w:leader="none" w:pos="964" w:val="left"/>
        </w:tabs>
        <w:numPr>
          <w:ilvl w:val="0"/>
          <w:numId w:val="798"/>
        </w:numPr>
        <w:rPr>
          <w:rFonts w:ascii="Arial" w:cs="Arial" w:eastAsia="Arial" w:hAnsi="Arial"/>
          <w:sz w:val="18"/>
          <w:szCs w:val="18"/>
          <w:color w:val="auto"/>
        </w:rPr>
      </w:pPr>
      <w:r>
        <w:rPr>
          <w:rFonts w:ascii="Arial" w:cs="Arial" w:eastAsia="Arial" w:hAnsi="Arial"/>
          <w:sz w:val="18"/>
          <w:szCs w:val="18"/>
          <w:color w:val="auto"/>
        </w:rPr>
        <w:t>The courts of England have non-exclusive jurisdiction to settle any dispute arising out of or in connection with this Agreement (including a dispute regarding the existence, validity or termination of this Agreement or any non-contractual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64" w:right="20" w:hanging="532"/>
        <w:spacing w:after="0" w:line="277" w:lineRule="auto"/>
        <w:tabs>
          <w:tab w:leader="none" w:pos="964" w:val="left"/>
        </w:tabs>
        <w:numPr>
          <w:ilvl w:val="0"/>
          <w:numId w:val="798"/>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75" w:lineRule="exact"/>
        <w:rPr>
          <w:rFonts w:ascii="Arial" w:cs="Arial" w:eastAsia="Arial" w:hAnsi="Arial"/>
          <w:sz w:val="18"/>
          <w:szCs w:val="18"/>
          <w:color w:val="auto"/>
        </w:rPr>
      </w:pPr>
    </w:p>
    <w:p>
      <w:pPr>
        <w:ind w:left="964" w:right="280" w:hanging="532"/>
        <w:spacing w:after="0" w:line="279" w:lineRule="auto"/>
        <w:tabs>
          <w:tab w:leader="none" w:pos="964" w:val="left"/>
        </w:tabs>
        <w:numPr>
          <w:ilvl w:val="0"/>
          <w:numId w:val="798"/>
        </w:numPr>
        <w:rPr>
          <w:rFonts w:ascii="Arial" w:cs="Arial" w:eastAsia="Arial" w:hAnsi="Arial"/>
          <w:sz w:val="17"/>
          <w:szCs w:val="17"/>
          <w:color w:val="auto"/>
        </w:rPr>
      </w:pPr>
      <w:r>
        <w:rPr>
          <w:rFonts w:ascii="Arial" w:cs="Arial" w:eastAsia="Arial" w:hAnsi="Arial"/>
          <w:sz w:val="17"/>
          <w:szCs w:val="17"/>
          <w:color w:val="auto"/>
        </w:rPr>
        <w:t>This Clause 6.1 is for the benefit of the Finance Parties and Secured Parties (in each case that are party to this Agreement), only and no other Party. As a result, no Finance Party or Secured Party that is party to this Agreement shall be prevented from taking proceedings relating to a Dispute in any other courts with jurisdiction. To the extent allowed by law, the Finance Parties and Secured Parties party to this Agreement may take concurrent proceedings in any number of jurisdictions.</w:t>
      </w:r>
    </w:p>
    <w:p>
      <w:pPr>
        <w:spacing w:after="0" w:line="104"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300" w:type="dxa"/>
            <w:vAlign w:val="bottom"/>
          </w:tcPr>
          <w:p>
            <w:pPr>
              <w:jc w:val="right"/>
              <w:ind w:right="1147"/>
              <w:spacing w:after="0"/>
              <w:rPr>
                <w:sz w:val="20"/>
                <w:szCs w:val="20"/>
                <w:color w:val="auto"/>
              </w:rPr>
            </w:pPr>
            <w:r>
              <w:rPr>
                <w:rFonts w:ascii="Arial" w:cs="Arial" w:eastAsia="Arial" w:hAnsi="Arial"/>
                <w:sz w:val="15"/>
                <w:szCs w:val="15"/>
                <w:color w:val="auto"/>
                <w:w w:val="71"/>
              </w:rPr>
              <w:t>6</w:t>
            </w:r>
          </w:p>
        </w:tc>
        <w:tc>
          <w:tcPr>
            <w:tcW w:w="420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4"/>
          </w:cols>
          <w:pgMar w:left="436" w:top="271" w:right="439" w:bottom="1440" w:gutter="0" w:footer="0" w:header="0"/>
        </w:sectPr>
      </w:pPr>
    </w:p>
    <w:bookmarkStart w:id="611" w:name="page612"/>
    <w:bookmarkEnd w:id="611"/>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w:t>
      </w:r>
      <w:r>
        <w:rPr>
          <w:sz w:val="20"/>
          <w:szCs w:val="20"/>
          <w:color w:val="auto"/>
        </w:rPr>
        <w:tab/>
      </w:r>
      <w:r>
        <w:rPr>
          <w:rFonts w:ascii="Arial" w:cs="Arial" w:eastAsia="Arial" w:hAnsi="Arial"/>
          <w:sz w:val="15"/>
          <w:szCs w:val="15"/>
          <w:b w:val="1"/>
          <w:bCs w:val="1"/>
          <w:color w:val="auto"/>
        </w:rPr>
        <w:t>Service of process</w:t>
      </w:r>
    </w:p>
    <w:p>
      <w:pPr>
        <w:spacing w:after="0" w:line="135" w:lineRule="exact"/>
        <w:rPr>
          <w:sz w:val="20"/>
          <w:szCs w:val="20"/>
          <w:color w:val="auto"/>
        </w:rPr>
      </w:pPr>
    </w:p>
    <w:p>
      <w:pPr>
        <w:ind w:left="964" w:hanging="532"/>
        <w:spacing w:after="0"/>
        <w:tabs>
          <w:tab w:leader="none" w:pos="964" w:val="left"/>
        </w:tabs>
        <w:numPr>
          <w:ilvl w:val="0"/>
          <w:numId w:val="799"/>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each Obligor:</w:t>
      </w:r>
    </w:p>
    <w:p>
      <w:pPr>
        <w:spacing w:after="0" w:line="130" w:lineRule="exact"/>
        <w:rPr>
          <w:rFonts w:ascii="Arial" w:cs="Arial" w:eastAsia="Arial" w:hAnsi="Arial"/>
          <w:sz w:val="18"/>
          <w:szCs w:val="18"/>
          <w:color w:val="auto"/>
        </w:rPr>
      </w:pPr>
    </w:p>
    <w:p>
      <w:pPr>
        <w:ind w:left="1424" w:right="320" w:hanging="439"/>
        <w:spacing w:after="0" w:line="277" w:lineRule="auto"/>
        <w:tabs>
          <w:tab w:leader="none" w:pos="1424" w:val="left"/>
        </w:tabs>
        <w:numPr>
          <w:ilvl w:val="1"/>
          <w:numId w:val="799"/>
        </w:numPr>
        <w:rPr>
          <w:rFonts w:ascii="Arial" w:cs="Arial" w:eastAsia="Arial" w:hAnsi="Arial"/>
          <w:sz w:val="18"/>
          <w:szCs w:val="18"/>
          <w:color w:val="auto"/>
        </w:rPr>
      </w:pPr>
      <w:r>
        <w:rPr>
          <w:rFonts w:ascii="Arial" w:cs="Arial" w:eastAsia="Arial" w:hAnsi="Arial"/>
          <w:sz w:val="18"/>
          <w:szCs w:val="18"/>
          <w:color w:val="auto"/>
        </w:rPr>
        <w:t>irrevocably appoints Law Debenture Corporate Services Limited as its agent for service of process in relation to any proceedings before the English Courts in connection with any Finance Document governed by English law; and</w:t>
      </w:r>
    </w:p>
    <w:p>
      <w:pPr>
        <w:spacing w:after="0" w:line="75" w:lineRule="exact"/>
        <w:rPr>
          <w:rFonts w:ascii="Arial" w:cs="Arial" w:eastAsia="Arial" w:hAnsi="Arial"/>
          <w:sz w:val="18"/>
          <w:szCs w:val="18"/>
          <w:color w:val="auto"/>
        </w:rPr>
      </w:pPr>
    </w:p>
    <w:p>
      <w:pPr>
        <w:ind w:left="1424" w:right="740" w:hanging="439"/>
        <w:spacing w:after="0" w:line="277" w:lineRule="auto"/>
        <w:tabs>
          <w:tab w:leader="none" w:pos="1424" w:val="left"/>
        </w:tabs>
        <w:numPr>
          <w:ilvl w:val="1"/>
          <w:numId w:val="799"/>
        </w:numPr>
        <w:rPr>
          <w:rFonts w:ascii="Arial" w:cs="Arial" w:eastAsia="Arial" w:hAnsi="Arial"/>
          <w:sz w:val="18"/>
          <w:szCs w:val="18"/>
          <w:color w:val="auto"/>
        </w:rPr>
      </w:pPr>
      <w:r>
        <w:rPr>
          <w:rFonts w:ascii="Arial" w:cs="Arial" w:eastAsia="Arial" w:hAnsi="Arial"/>
          <w:sz w:val="18"/>
          <w:szCs w:val="18"/>
          <w:color w:val="auto"/>
        </w:rPr>
        <w:t>agrees that failure by an agent for service of process to notify the Obligor of the process will not invalidate the proceedings concerned.</w:t>
      </w:r>
    </w:p>
    <w:p>
      <w:pPr>
        <w:spacing w:after="0" w:line="75" w:lineRule="exact"/>
        <w:rPr>
          <w:rFonts w:ascii="Arial" w:cs="Arial" w:eastAsia="Arial" w:hAnsi="Arial"/>
          <w:sz w:val="18"/>
          <w:szCs w:val="18"/>
          <w:color w:val="auto"/>
        </w:rPr>
      </w:pPr>
    </w:p>
    <w:p>
      <w:pPr>
        <w:ind w:left="964" w:right="140" w:hanging="532"/>
        <w:spacing w:after="0" w:line="286" w:lineRule="auto"/>
        <w:tabs>
          <w:tab w:leader="none" w:pos="964" w:val="left"/>
        </w:tabs>
        <w:numPr>
          <w:ilvl w:val="0"/>
          <w:numId w:val="799"/>
        </w:numPr>
        <w:rPr>
          <w:rFonts w:ascii="Arial" w:cs="Arial" w:eastAsia="Arial" w:hAnsi="Arial"/>
          <w:sz w:val="17"/>
          <w:szCs w:val="17"/>
          <w:color w:val="auto"/>
        </w:rPr>
      </w:pPr>
      <w:r>
        <w:rPr>
          <w:rFonts w:ascii="Arial" w:cs="Arial" w:eastAsia="Arial" w:hAnsi="Arial"/>
          <w:sz w:val="17"/>
          <w:szCs w:val="17"/>
          <w:color w:val="auto"/>
        </w:rPr>
        <w:t>If any person appointed as an agent for service of process is unable for any reason to act as agent of service of process, the Parent (on behalf of all the Obligors) must immediately (and in any event within three (3) Business Days of such event taking place) appoint another agent on terms acceptable to the Agent. Failing this, the Agent may appoint another agent for this purpose.</w:t>
      </w:r>
    </w:p>
    <w:p>
      <w:pPr>
        <w:spacing w:after="0" w:line="31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Waiver of Jury Trial</w:t>
      </w:r>
    </w:p>
    <w:p>
      <w:pPr>
        <w:spacing w:after="0" w:line="121" w:lineRule="exact"/>
        <w:rPr>
          <w:sz w:val="20"/>
          <w:szCs w:val="20"/>
          <w:color w:val="auto"/>
        </w:rPr>
      </w:pPr>
    </w:p>
    <w:p>
      <w:pPr>
        <w:ind w:left="444" w:right="80"/>
        <w:spacing w:after="0" w:line="254" w:lineRule="auto"/>
        <w:rPr>
          <w:sz w:val="20"/>
          <w:szCs w:val="20"/>
          <w:color w:val="auto"/>
        </w:rPr>
      </w:pPr>
      <w:r>
        <w:rPr>
          <w:rFonts w:ascii="Arial" w:cs="Arial" w:eastAsia="Arial" w:hAnsi="Arial"/>
          <w:sz w:val="18"/>
          <w:szCs w:val="18"/>
          <w:color w:val="auto"/>
        </w:rPr>
        <w:t>EACH OF THE PARTIES TO THIS AGREEMENT AGREES TO WAIVE IRREVOCABLY ITS RIGHTS TO A JURY TRIAL OF ANY CLAIM BASED UPON OR ARISING OUT OF THIS AGREEMENT OR ANY OF THE DOCUMENTS REFERRED TO IN THIS AGREEMENT OR ANY TRANSACTION CONTEMPLATED IN THIS AGREEMENT. This waiver is intended to apply to all Disputes. Each Party acknowledges that (a) this waiver is a material inducement to enter into this Agreement, (b) it has already relied on this waiver in entering into this Agreement and (c) it will continue to rely on this waiver in future dealings. Each Party represents that it has reviewed this waiver with its legal advisers and that it knowingly and voluntarily waives its jury trial fights after consultation with its legal advisers. In the event of litigation, this Agreement may be filed as a written consent to a trial by the court.</w:t>
      </w:r>
    </w:p>
    <w:p>
      <w:pPr>
        <w:spacing w:after="0" w:line="339" w:lineRule="exact"/>
        <w:rPr>
          <w:sz w:val="20"/>
          <w:szCs w:val="20"/>
          <w:color w:val="auto"/>
        </w:rPr>
      </w:pPr>
    </w:p>
    <w:p>
      <w:pPr>
        <w:ind w:left="424" w:hanging="424"/>
        <w:spacing w:after="0"/>
        <w:tabs>
          <w:tab w:leader="none" w:pos="424" w:val="left"/>
        </w:tabs>
        <w:numPr>
          <w:ilvl w:val="0"/>
          <w:numId w:val="80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Incorporation of terms</w:t>
      </w:r>
    </w:p>
    <w:p>
      <w:pPr>
        <w:spacing w:after="0" w:line="121" w:lineRule="exact"/>
        <w:rPr>
          <w:sz w:val="20"/>
          <w:szCs w:val="20"/>
          <w:color w:val="auto"/>
        </w:rPr>
      </w:pPr>
    </w:p>
    <w:p>
      <w:pPr>
        <w:ind w:left="444" w:right="80"/>
        <w:spacing w:after="0" w:line="301" w:lineRule="auto"/>
        <w:rPr>
          <w:sz w:val="20"/>
          <w:szCs w:val="20"/>
          <w:color w:val="auto"/>
        </w:rPr>
      </w:pPr>
      <w:r>
        <w:rPr>
          <w:rFonts w:ascii="Arial" w:cs="Arial" w:eastAsia="Arial" w:hAnsi="Arial"/>
          <w:sz w:val="16"/>
          <w:szCs w:val="16"/>
          <w:color w:val="auto"/>
        </w:rPr>
        <w:t>The provisions of clauses 1.3 (</w:t>
      </w:r>
      <w:r>
        <w:rPr>
          <w:rFonts w:ascii="Arial" w:cs="Arial" w:eastAsia="Arial" w:hAnsi="Arial"/>
          <w:sz w:val="16"/>
          <w:szCs w:val="16"/>
          <w:i w:val="1"/>
          <w:iCs w:val="1"/>
          <w:color w:val="auto"/>
        </w:rPr>
        <w:t>Third party rights</w:t>
      </w:r>
      <w:r>
        <w:rPr>
          <w:rFonts w:ascii="Arial" w:cs="Arial" w:eastAsia="Arial" w:hAnsi="Arial"/>
          <w:sz w:val="16"/>
          <w:szCs w:val="16"/>
          <w:color w:val="auto"/>
        </w:rPr>
        <w:t>), 33 (</w:t>
      </w:r>
      <w:r>
        <w:rPr>
          <w:rFonts w:ascii="Arial" w:cs="Arial" w:eastAsia="Arial" w:hAnsi="Arial"/>
          <w:sz w:val="16"/>
          <w:szCs w:val="16"/>
          <w:i w:val="1"/>
          <w:iCs w:val="1"/>
          <w:color w:val="auto"/>
        </w:rPr>
        <w:t>Notices</w:t>
      </w:r>
      <w:r>
        <w:rPr>
          <w:rFonts w:ascii="Arial" w:cs="Arial" w:eastAsia="Arial" w:hAnsi="Arial"/>
          <w:sz w:val="16"/>
          <w:szCs w:val="16"/>
          <w:color w:val="auto"/>
        </w:rPr>
        <w:t>), 35 (</w:t>
      </w:r>
      <w:r>
        <w:rPr>
          <w:rFonts w:ascii="Arial" w:cs="Arial" w:eastAsia="Arial" w:hAnsi="Arial"/>
          <w:sz w:val="16"/>
          <w:szCs w:val="16"/>
          <w:i w:val="1"/>
          <w:iCs w:val="1"/>
          <w:color w:val="auto"/>
        </w:rPr>
        <w:t>Partial invalidity</w:t>
      </w:r>
      <w:r>
        <w:rPr>
          <w:rFonts w:ascii="Arial" w:cs="Arial" w:eastAsia="Arial" w:hAnsi="Arial"/>
          <w:sz w:val="16"/>
          <w:szCs w:val="16"/>
          <w:color w:val="auto"/>
        </w:rPr>
        <w:t>) and 36 (</w:t>
      </w:r>
      <w:r>
        <w:rPr>
          <w:rFonts w:ascii="Arial" w:cs="Arial" w:eastAsia="Arial" w:hAnsi="Arial"/>
          <w:sz w:val="16"/>
          <w:szCs w:val="16"/>
          <w:i w:val="1"/>
          <w:iCs w:val="1"/>
          <w:color w:val="auto"/>
        </w:rPr>
        <w:t>Remedies and waivers</w:t>
      </w:r>
      <w:r>
        <w:rPr>
          <w:rFonts w:ascii="Arial" w:cs="Arial" w:eastAsia="Arial" w:hAnsi="Arial"/>
          <w:sz w:val="16"/>
          <w:szCs w:val="16"/>
          <w:color w:val="auto"/>
        </w:rPr>
        <w:t>) of the Facilities Agreement and, at and from the Effective Date, the corresponding clauses in the Amended and Restated Facilities Agreement shall be deemed incorporated into this Agreement as if set out in full herein and as if references in those clauses to “this Agreement” and “a Finance Document” are references to this Agreement and cross references to specified clauses thereof are references to the equivalent clauses set out or incorporated herein.</w:t>
      </w:r>
    </w:p>
    <w:p>
      <w:pPr>
        <w:spacing w:after="0" w:line="302" w:lineRule="exact"/>
        <w:rPr>
          <w:sz w:val="20"/>
          <w:szCs w:val="20"/>
          <w:color w:val="auto"/>
        </w:rPr>
      </w:pPr>
    </w:p>
    <w:p>
      <w:pPr>
        <w:ind w:left="424" w:hanging="424"/>
        <w:spacing w:after="0"/>
        <w:tabs>
          <w:tab w:leader="none" w:pos="424" w:val="left"/>
        </w:tabs>
        <w:numPr>
          <w:ilvl w:val="0"/>
          <w:numId w:val="80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44"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80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on the date stated at the beginning of this Agreement.</w:t>
      </w:r>
    </w:p>
    <w:p>
      <w:pPr>
        <w:sectPr>
          <w:pgSz w:w="11900" w:h="16838" w:orient="portrait"/>
          <w:cols w:equalWidth="0" w:num="1">
            <w:col w:w="11024"/>
          </w:cols>
          <w:pgMar w:left="436" w:top="270" w:right="439" w:bottom="1440" w:gutter="0" w:footer="0" w:header="0"/>
        </w:sectPr>
      </w:pPr>
    </w:p>
    <w:p>
      <w:pPr>
        <w:spacing w:after="0" w:line="162" w:lineRule="exact"/>
        <w:rPr>
          <w:sz w:val="20"/>
          <w:szCs w:val="20"/>
          <w:color w:val="auto"/>
        </w:rPr>
      </w:pPr>
    </w:p>
    <w:p>
      <w:pPr>
        <w:ind w:left="5524"/>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firstLine="804"/>
        <w:spacing w:after="0" w:line="342" w:lineRule="auto"/>
        <w:rPr>
          <w:sz w:val="20"/>
          <w:szCs w:val="20"/>
          <w:color w:val="auto"/>
        </w:rPr>
      </w:pPr>
      <w:r>
        <w:rPr>
          <w:rFonts w:ascii="Arial" w:cs="Arial" w:eastAsia="Arial" w:hAnsi="Arial"/>
          <w:sz w:val="16"/>
          <w:szCs w:val="16"/>
          <w:color w:val="auto"/>
        </w:rPr>
        <w:t>Project Asgard (2020 A&amp;R) – Amendment and Restatement Agreement</w:t>
      </w:r>
    </w:p>
    <w:p>
      <w:pPr>
        <w:sectPr>
          <w:pgSz w:w="11900" w:h="16838" w:orient="portrait"/>
          <w:cols w:equalWidth="0" w:num="2">
            <w:col w:w="7324" w:space="720"/>
            <w:col w:w="2980"/>
          </w:cols>
          <w:pgMar w:left="436" w:top="270" w:right="439" w:bottom="1440" w:gutter="0" w:footer="0" w:header="0"/>
          <w:type w:val="continuous"/>
        </w:sectPr>
      </w:pPr>
    </w:p>
    <w:bookmarkStart w:id="612" w:name="page613"/>
    <w:bookmarkEnd w:id="6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Facilities Agreement</w:t>
      </w:r>
    </w:p>
    <w:p>
      <w:pPr>
        <w:spacing w:after="0" w:line="265"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1300" w:type="dxa"/>
            <w:vAlign w:val="bottom"/>
          </w:tcPr>
          <w:p>
            <w:pPr>
              <w:jc w:val="right"/>
              <w:ind w:right="1147"/>
              <w:spacing w:after="0"/>
              <w:rPr>
                <w:sz w:val="20"/>
                <w:szCs w:val="20"/>
                <w:color w:val="auto"/>
              </w:rPr>
            </w:pPr>
            <w:r>
              <w:rPr>
                <w:rFonts w:ascii="Arial" w:cs="Arial" w:eastAsia="Arial" w:hAnsi="Arial"/>
                <w:sz w:val="15"/>
                <w:szCs w:val="15"/>
                <w:color w:val="auto"/>
                <w:w w:val="71"/>
              </w:rPr>
              <w:t>8</w:t>
            </w:r>
          </w:p>
        </w:tc>
        <w:tc>
          <w:tcPr>
            <w:tcW w:w="420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0"/>
          </w:cols>
          <w:pgMar w:left="440" w:top="271" w:right="439" w:bottom="1440" w:gutter="0" w:footer="0" w:header="0"/>
        </w:sectPr>
      </w:pPr>
    </w:p>
    <w:bookmarkStart w:id="613" w:name="page614"/>
    <w:bookmarkEnd w:id="6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169545</wp:posOffset>
            </wp:positionV>
            <wp:extent cx="1551305" cy="17145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64">
                      <a:extLst>
                        <a:ext uri="{28A0092B-C50C-407E-A947-70E740481C1C}"/>
                      </a:extLst>
                    </a:blip>
                    <a:srcRect/>
                    <a:stretch>
                      <a:fillRect/>
                    </a:stretch>
                  </pic:blipFill>
                  <pic:spPr bwMode="auto">
                    <a:xfrm>
                      <a:off x="0" y="0"/>
                      <a:ext cx="15513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Credit Facilities Agreement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originally dated 28 January 2013</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amended and amended and restated from time to time)</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 as further amended and restated pursuant to</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an amendment and restatement agreement dated 23 November 2016 and</w:t>
      </w:r>
    </w:p>
    <w:p>
      <w:pPr>
        <w:spacing w:after="0" w:line="3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 amendment and restatement agreement dated 15 March 2021</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Studio City Investments Limited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Parent</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Studio City Company Limited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07" w:lineRule="exact"/>
        <w:rPr>
          <w:sz w:val="20"/>
          <w:szCs w:val="20"/>
          <w:color w:val="auto"/>
        </w:rPr>
      </w:pPr>
    </w:p>
    <w:p>
      <w:pPr>
        <w:jc w:val="center"/>
        <w:ind w:left="1800" w:right="2820"/>
        <w:spacing w:after="0" w:line="275" w:lineRule="auto"/>
        <w:rPr>
          <w:sz w:val="20"/>
          <w:szCs w:val="20"/>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(as the immediate replacement of Deutsche Bank AG, Hong Kong Branch) as Agent</w:t>
      </w:r>
    </w:p>
    <w:p>
      <w:pPr>
        <w:spacing w:after="0" w:line="39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Bank of China Limited, Macau Branch</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Original Lender</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Industrial and Commercial Bank of China (Macau) Limited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Common Security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 others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White &amp; Case</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9th Floor Central Tower</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28 Queen’s Road Central</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020"/>
          </w:cols>
          <w:pgMar w:left="1440" w:top="274" w:right="439" w:bottom="1440" w:gutter="0" w:footer="0" w:header="0"/>
        </w:sectPr>
      </w:pPr>
    </w:p>
    <w:bookmarkStart w:id="614" w:name="page615"/>
    <w:bookmarkEnd w:id="614"/>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520" w:type="dxa"/>
            <w:vAlign w:val="bottom"/>
          </w:tcPr>
          <w:p>
            <w:pPr>
              <w:jc w:val="right"/>
              <w:ind w:right="4690"/>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4060" w:type="dxa"/>
            <w:vAlign w:val="bottom"/>
          </w:tcPr>
          <w:p>
            <w:pPr>
              <w:ind w:left="140"/>
              <w:spacing w:after="0"/>
              <w:rPr>
                <w:sz w:val="20"/>
                <w:szCs w:val="20"/>
                <w:color w:val="auto"/>
              </w:rPr>
            </w:pPr>
            <w:r>
              <w:rPr>
                <w:rFonts w:ascii="Arial" w:cs="Arial" w:eastAsia="Arial" w:hAnsi="Arial"/>
                <w:sz w:val="18"/>
                <w:szCs w:val="18"/>
                <w:color w:val="auto"/>
              </w:rPr>
              <w:t>Definitions and interpretation</w:t>
            </w: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4060" w:type="dxa"/>
            <w:vAlign w:val="bottom"/>
          </w:tcPr>
          <w:p>
            <w:pPr>
              <w:ind w:left="140"/>
              <w:spacing w:after="0"/>
              <w:rPr>
                <w:sz w:val="20"/>
                <w:szCs w:val="20"/>
                <w:color w:val="auto"/>
              </w:rPr>
            </w:pPr>
            <w:r>
              <w:rPr>
                <w:rFonts w:ascii="Arial" w:cs="Arial" w:eastAsia="Arial" w:hAnsi="Arial"/>
                <w:sz w:val="18"/>
                <w:szCs w:val="18"/>
                <w:color w:val="auto"/>
              </w:rPr>
              <w:t>The Facilities</w:t>
            </w:r>
          </w:p>
        </w:tc>
        <w:tc>
          <w:tcPr>
            <w:tcW w:w="6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4060" w:type="dxa"/>
            <w:vAlign w:val="bottom"/>
          </w:tcPr>
          <w:p>
            <w:pPr>
              <w:ind w:left="140"/>
              <w:spacing w:after="0"/>
              <w:rPr>
                <w:sz w:val="20"/>
                <w:szCs w:val="20"/>
                <w:color w:val="auto"/>
              </w:rPr>
            </w:pPr>
            <w:r>
              <w:rPr>
                <w:rFonts w:ascii="Arial" w:cs="Arial" w:eastAsia="Arial" w:hAnsi="Arial"/>
                <w:sz w:val="18"/>
                <w:szCs w:val="18"/>
                <w:color w:val="auto"/>
              </w:rPr>
              <w:t>Purpose</w:t>
            </w:r>
          </w:p>
        </w:tc>
        <w:tc>
          <w:tcPr>
            <w:tcW w:w="6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4060" w:type="dxa"/>
            <w:vAlign w:val="bottom"/>
          </w:tcPr>
          <w:p>
            <w:pPr>
              <w:ind w:left="140"/>
              <w:spacing w:after="0"/>
              <w:rPr>
                <w:sz w:val="20"/>
                <w:szCs w:val="20"/>
                <w:color w:val="auto"/>
              </w:rPr>
            </w:pPr>
            <w:r>
              <w:rPr>
                <w:rFonts w:ascii="Arial" w:cs="Arial" w:eastAsia="Arial" w:hAnsi="Arial"/>
                <w:sz w:val="18"/>
                <w:szCs w:val="18"/>
                <w:color w:val="auto"/>
              </w:rPr>
              <w:t>Conditions of utilisation</w:t>
            </w:r>
          </w:p>
        </w:tc>
        <w:tc>
          <w:tcPr>
            <w:tcW w:w="6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4060" w:type="dxa"/>
            <w:vAlign w:val="bottom"/>
          </w:tcPr>
          <w:p>
            <w:pPr>
              <w:ind w:left="140"/>
              <w:spacing w:after="0"/>
              <w:rPr>
                <w:sz w:val="20"/>
                <w:szCs w:val="20"/>
                <w:color w:val="auto"/>
              </w:rPr>
            </w:pPr>
            <w:r>
              <w:rPr>
                <w:rFonts w:ascii="Arial" w:cs="Arial" w:eastAsia="Arial" w:hAnsi="Arial"/>
                <w:sz w:val="18"/>
                <w:szCs w:val="18"/>
                <w:color w:val="auto"/>
              </w:rPr>
              <w:t>Utilisation – Revolving Facility Loans</w:t>
            </w:r>
          </w:p>
        </w:tc>
        <w:tc>
          <w:tcPr>
            <w:tcW w:w="6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4060" w:type="dxa"/>
            <w:vAlign w:val="bottom"/>
          </w:tcPr>
          <w:p>
            <w:pPr>
              <w:ind w:left="140"/>
              <w:spacing w:after="0"/>
              <w:rPr>
                <w:sz w:val="20"/>
                <w:szCs w:val="20"/>
                <w:color w:val="auto"/>
              </w:rPr>
            </w:pPr>
            <w:r>
              <w:rPr>
                <w:rFonts w:ascii="Arial" w:cs="Arial" w:eastAsia="Arial" w:hAnsi="Arial"/>
                <w:sz w:val="18"/>
                <w:szCs w:val="18"/>
                <w:color w:val="auto"/>
              </w:rPr>
              <w:t>Ancillary Facilities</w:t>
            </w:r>
          </w:p>
        </w:tc>
        <w:tc>
          <w:tcPr>
            <w:tcW w:w="6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4060" w:type="dxa"/>
            <w:vAlign w:val="bottom"/>
          </w:tcPr>
          <w:p>
            <w:pPr>
              <w:ind w:left="140"/>
              <w:spacing w:after="0"/>
              <w:rPr>
                <w:sz w:val="20"/>
                <w:szCs w:val="20"/>
                <w:color w:val="auto"/>
              </w:rPr>
            </w:pPr>
            <w:r>
              <w:rPr>
                <w:rFonts w:ascii="Arial" w:cs="Arial" w:eastAsia="Arial" w:hAnsi="Arial"/>
                <w:sz w:val="18"/>
                <w:szCs w:val="18"/>
                <w:color w:val="auto"/>
              </w:rPr>
              <w:t>Repayment</w:t>
            </w:r>
          </w:p>
        </w:tc>
        <w:tc>
          <w:tcPr>
            <w:tcW w:w="6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4060" w:type="dxa"/>
            <w:vAlign w:val="bottom"/>
          </w:tcPr>
          <w:p>
            <w:pPr>
              <w:ind w:left="140"/>
              <w:spacing w:after="0"/>
              <w:rPr>
                <w:sz w:val="20"/>
                <w:szCs w:val="20"/>
                <w:color w:val="auto"/>
              </w:rPr>
            </w:pPr>
            <w:r>
              <w:rPr>
                <w:rFonts w:ascii="Arial" w:cs="Arial" w:eastAsia="Arial" w:hAnsi="Arial"/>
                <w:sz w:val="18"/>
                <w:szCs w:val="18"/>
                <w:color w:val="auto"/>
              </w:rPr>
              <w:t>Illegality, voluntary prepayment and cancellation</w:t>
            </w:r>
          </w:p>
        </w:tc>
        <w:tc>
          <w:tcPr>
            <w:tcW w:w="6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4060" w:type="dxa"/>
            <w:vAlign w:val="bottom"/>
          </w:tcPr>
          <w:p>
            <w:pPr>
              <w:ind w:left="140"/>
              <w:spacing w:after="0"/>
              <w:rPr>
                <w:sz w:val="20"/>
                <w:szCs w:val="20"/>
                <w:color w:val="auto"/>
              </w:rPr>
            </w:pPr>
            <w:r>
              <w:rPr>
                <w:rFonts w:ascii="Arial" w:cs="Arial" w:eastAsia="Arial" w:hAnsi="Arial"/>
                <w:sz w:val="18"/>
                <w:szCs w:val="18"/>
                <w:color w:val="auto"/>
              </w:rPr>
              <w:t>Mandatory prepayment</w:t>
            </w:r>
          </w:p>
        </w:tc>
        <w:tc>
          <w:tcPr>
            <w:tcW w:w="6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4060" w:type="dxa"/>
            <w:vAlign w:val="bottom"/>
          </w:tcPr>
          <w:p>
            <w:pPr>
              <w:ind w:left="140"/>
              <w:spacing w:after="0"/>
              <w:rPr>
                <w:sz w:val="20"/>
                <w:szCs w:val="20"/>
                <w:color w:val="auto"/>
              </w:rPr>
            </w:pPr>
            <w:r>
              <w:rPr>
                <w:rFonts w:ascii="Arial" w:cs="Arial" w:eastAsia="Arial" w:hAnsi="Arial"/>
                <w:sz w:val="18"/>
                <w:szCs w:val="18"/>
                <w:color w:val="auto"/>
              </w:rPr>
              <w:t>Restrictions</w:t>
            </w:r>
          </w:p>
        </w:tc>
        <w:tc>
          <w:tcPr>
            <w:tcW w:w="6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4060" w:type="dxa"/>
            <w:vAlign w:val="bottom"/>
          </w:tcPr>
          <w:p>
            <w:pPr>
              <w:ind w:left="140"/>
              <w:spacing w:after="0"/>
              <w:rPr>
                <w:sz w:val="20"/>
                <w:szCs w:val="20"/>
                <w:color w:val="auto"/>
              </w:rPr>
            </w:pPr>
            <w:r>
              <w:rPr>
                <w:rFonts w:ascii="Arial" w:cs="Arial" w:eastAsia="Arial" w:hAnsi="Arial"/>
                <w:sz w:val="18"/>
                <w:szCs w:val="18"/>
                <w:color w:val="auto"/>
              </w:rPr>
              <w:t>Interest</w:t>
            </w:r>
          </w:p>
        </w:tc>
        <w:tc>
          <w:tcPr>
            <w:tcW w:w="6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4060" w:type="dxa"/>
            <w:vAlign w:val="bottom"/>
          </w:tcPr>
          <w:p>
            <w:pPr>
              <w:ind w:left="140"/>
              <w:spacing w:after="0"/>
              <w:rPr>
                <w:sz w:val="20"/>
                <w:szCs w:val="20"/>
                <w:color w:val="auto"/>
              </w:rPr>
            </w:pPr>
            <w:r>
              <w:rPr>
                <w:rFonts w:ascii="Arial" w:cs="Arial" w:eastAsia="Arial" w:hAnsi="Arial"/>
                <w:sz w:val="18"/>
                <w:szCs w:val="18"/>
                <w:color w:val="auto"/>
              </w:rPr>
              <w:t>Interest Periods</w:t>
            </w:r>
          </w:p>
        </w:tc>
        <w:tc>
          <w:tcPr>
            <w:tcW w:w="6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4060" w:type="dxa"/>
            <w:vAlign w:val="bottom"/>
          </w:tcPr>
          <w:p>
            <w:pPr>
              <w:ind w:left="140"/>
              <w:spacing w:after="0"/>
              <w:rPr>
                <w:sz w:val="20"/>
                <w:szCs w:val="20"/>
                <w:color w:val="auto"/>
              </w:rPr>
            </w:pPr>
            <w:r>
              <w:rPr>
                <w:rFonts w:ascii="Arial" w:cs="Arial" w:eastAsia="Arial" w:hAnsi="Arial"/>
                <w:sz w:val="18"/>
                <w:szCs w:val="18"/>
                <w:color w:val="auto"/>
              </w:rPr>
              <w:t>Changes to the calculation of interest</w:t>
            </w:r>
          </w:p>
        </w:tc>
        <w:tc>
          <w:tcPr>
            <w:tcW w:w="6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4060" w:type="dxa"/>
            <w:vAlign w:val="bottom"/>
          </w:tcPr>
          <w:p>
            <w:pPr>
              <w:ind w:left="140"/>
              <w:spacing w:after="0"/>
              <w:rPr>
                <w:sz w:val="20"/>
                <w:szCs w:val="20"/>
                <w:color w:val="auto"/>
              </w:rPr>
            </w:pPr>
            <w:r>
              <w:rPr>
                <w:rFonts w:ascii="Arial" w:cs="Arial" w:eastAsia="Arial" w:hAnsi="Arial"/>
                <w:sz w:val="18"/>
                <w:szCs w:val="18"/>
                <w:color w:val="auto"/>
              </w:rPr>
              <w:t>Fees</w:t>
            </w:r>
          </w:p>
        </w:tc>
        <w:tc>
          <w:tcPr>
            <w:tcW w:w="6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4060" w:type="dxa"/>
            <w:vAlign w:val="bottom"/>
          </w:tcPr>
          <w:p>
            <w:pPr>
              <w:ind w:left="140"/>
              <w:spacing w:after="0"/>
              <w:rPr>
                <w:sz w:val="20"/>
                <w:szCs w:val="20"/>
                <w:color w:val="auto"/>
              </w:rPr>
            </w:pPr>
            <w:r>
              <w:rPr>
                <w:rFonts w:ascii="Arial" w:cs="Arial" w:eastAsia="Arial" w:hAnsi="Arial"/>
                <w:sz w:val="18"/>
                <w:szCs w:val="18"/>
                <w:color w:val="auto"/>
              </w:rPr>
              <w:t>Tax gross-up and indemnities</w:t>
            </w:r>
          </w:p>
        </w:tc>
        <w:tc>
          <w:tcPr>
            <w:tcW w:w="6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4060" w:type="dxa"/>
            <w:vAlign w:val="bottom"/>
          </w:tcPr>
          <w:p>
            <w:pPr>
              <w:ind w:left="140"/>
              <w:spacing w:after="0"/>
              <w:rPr>
                <w:sz w:val="20"/>
                <w:szCs w:val="20"/>
                <w:color w:val="auto"/>
              </w:rPr>
            </w:pPr>
            <w:r>
              <w:rPr>
                <w:rFonts w:ascii="Arial" w:cs="Arial" w:eastAsia="Arial" w:hAnsi="Arial"/>
                <w:sz w:val="18"/>
                <w:szCs w:val="18"/>
                <w:color w:val="auto"/>
              </w:rPr>
              <w:t>Increased Costs</w:t>
            </w:r>
          </w:p>
        </w:tc>
        <w:tc>
          <w:tcPr>
            <w:tcW w:w="6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4060" w:type="dxa"/>
            <w:vAlign w:val="bottom"/>
          </w:tcPr>
          <w:p>
            <w:pPr>
              <w:ind w:left="140"/>
              <w:spacing w:after="0"/>
              <w:rPr>
                <w:sz w:val="20"/>
                <w:szCs w:val="20"/>
                <w:color w:val="auto"/>
              </w:rPr>
            </w:pPr>
            <w:r>
              <w:rPr>
                <w:rFonts w:ascii="Arial" w:cs="Arial" w:eastAsia="Arial" w:hAnsi="Arial"/>
                <w:sz w:val="18"/>
                <w:szCs w:val="18"/>
                <w:color w:val="auto"/>
              </w:rPr>
              <w:t>Other indemnities</w:t>
            </w:r>
          </w:p>
        </w:tc>
        <w:tc>
          <w:tcPr>
            <w:tcW w:w="6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4060" w:type="dxa"/>
            <w:vAlign w:val="bottom"/>
          </w:tcPr>
          <w:p>
            <w:pPr>
              <w:ind w:left="140"/>
              <w:spacing w:after="0"/>
              <w:rPr>
                <w:sz w:val="20"/>
                <w:szCs w:val="20"/>
                <w:color w:val="auto"/>
              </w:rPr>
            </w:pPr>
            <w:r>
              <w:rPr>
                <w:rFonts w:ascii="Arial" w:cs="Arial" w:eastAsia="Arial" w:hAnsi="Arial"/>
                <w:sz w:val="18"/>
                <w:szCs w:val="18"/>
                <w:color w:val="auto"/>
              </w:rPr>
              <w:t>Mitigation by the Lenders</w:t>
            </w:r>
          </w:p>
        </w:tc>
        <w:tc>
          <w:tcPr>
            <w:tcW w:w="6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19.</w:t>
            </w:r>
          </w:p>
        </w:tc>
        <w:tc>
          <w:tcPr>
            <w:tcW w:w="4060" w:type="dxa"/>
            <w:vAlign w:val="bottom"/>
          </w:tcPr>
          <w:p>
            <w:pPr>
              <w:ind w:left="140"/>
              <w:spacing w:after="0"/>
              <w:rPr>
                <w:sz w:val="20"/>
                <w:szCs w:val="20"/>
                <w:color w:val="auto"/>
              </w:rPr>
            </w:pPr>
            <w:r>
              <w:rPr>
                <w:rFonts w:ascii="Arial" w:cs="Arial" w:eastAsia="Arial" w:hAnsi="Arial"/>
                <w:sz w:val="18"/>
                <w:szCs w:val="18"/>
                <w:color w:val="auto"/>
              </w:rPr>
              <w:t>Costs and expenses</w:t>
            </w:r>
          </w:p>
        </w:tc>
        <w:tc>
          <w:tcPr>
            <w:tcW w:w="6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20.</w:t>
            </w:r>
          </w:p>
        </w:tc>
        <w:tc>
          <w:tcPr>
            <w:tcW w:w="4060" w:type="dxa"/>
            <w:vAlign w:val="bottom"/>
          </w:tcPr>
          <w:p>
            <w:pPr>
              <w:ind w:left="140"/>
              <w:spacing w:after="0"/>
              <w:rPr>
                <w:sz w:val="20"/>
                <w:szCs w:val="20"/>
                <w:color w:val="auto"/>
              </w:rPr>
            </w:pPr>
            <w:r>
              <w:rPr>
                <w:rFonts w:ascii="Arial" w:cs="Arial" w:eastAsia="Arial" w:hAnsi="Arial"/>
                <w:sz w:val="18"/>
                <w:szCs w:val="18"/>
                <w:color w:val="auto"/>
              </w:rPr>
              <w:t>Guarantee and indemnity</w:t>
            </w:r>
          </w:p>
        </w:tc>
        <w:tc>
          <w:tcPr>
            <w:tcW w:w="6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21.</w:t>
            </w:r>
          </w:p>
        </w:tc>
        <w:tc>
          <w:tcPr>
            <w:tcW w:w="4060" w:type="dxa"/>
            <w:vAlign w:val="bottom"/>
          </w:tcPr>
          <w:p>
            <w:pPr>
              <w:ind w:left="140"/>
              <w:spacing w:after="0"/>
              <w:rPr>
                <w:sz w:val="20"/>
                <w:szCs w:val="20"/>
                <w:color w:val="auto"/>
              </w:rPr>
            </w:pPr>
            <w:r>
              <w:rPr>
                <w:rFonts w:ascii="Arial" w:cs="Arial" w:eastAsia="Arial" w:hAnsi="Arial"/>
                <w:sz w:val="18"/>
                <w:szCs w:val="18"/>
                <w:color w:val="auto"/>
              </w:rPr>
              <w:t>Representations</w:t>
            </w:r>
          </w:p>
        </w:tc>
        <w:tc>
          <w:tcPr>
            <w:tcW w:w="6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22.</w:t>
            </w:r>
          </w:p>
        </w:tc>
        <w:tc>
          <w:tcPr>
            <w:tcW w:w="4060" w:type="dxa"/>
            <w:vAlign w:val="bottom"/>
          </w:tcPr>
          <w:p>
            <w:pPr>
              <w:ind w:left="140"/>
              <w:spacing w:after="0"/>
              <w:rPr>
                <w:sz w:val="20"/>
                <w:szCs w:val="20"/>
                <w:color w:val="auto"/>
              </w:rPr>
            </w:pPr>
            <w:r>
              <w:rPr>
                <w:rFonts w:ascii="Arial" w:cs="Arial" w:eastAsia="Arial" w:hAnsi="Arial"/>
                <w:sz w:val="18"/>
                <w:szCs w:val="18"/>
                <w:color w:val="auto"/>
              </w:rPr>
              <w:t>Information undertakings</w:t>
            </w:r>
          </w:p>
        </w:tc>
        <w:tc>
          <w:tcPr>
            <w:tcW w:w="6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23.</w:t>
            </w:r>
          </w:p>
        </w:tc>
        <w:tc>
          <w:tcPr>
            <w:tcW w:w="4060" w:type="dxa"/>
            <w:vAlign w:val="bottom"/>
          </w:tcPr>
          <w:p>
            <w:pPr>
              <w:ind w:left="140"/>
              <w:spacing w:after="0"/>
              <w:rPr>
                <w:sz w:val="20"/>
                <w:szCs w:val="20"/>
                <w:color w:val="auto"/>
              </w:rPr>
            </w:pPr>
            <w:r>
              <w:rPr>
                <w:rFonts w:ascii="Arial" w:cs="Arial" w:eastAsia="Arial" w:hAnsi="Arial"/>
                <w:sz w:val="18"/>
                <w:szCs w:val="18"/>
                <w:color w:val="auto"/>
              </w:rPr>
              <w:t>General undertakings</w:t>
            </w:r>
          </w:p>
        </w:tc>
        <w:tc>
          <w:tcPr>
            <w:tcW w:w="6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24.</w:t>
            </w:r>
          </w:p>
        </w:tc>
        <w:tc>
          <w:tcPr>
            <w:tcW w:w="406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65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25.</w:t>
            </w:r>
          </w:p>
        </w:tc>
        <w:tc>
          <w:tcPr>
            <w:tcW w:w="4060" w:type="dxa"/>
            <w:vAlign w:val="bottom"/>
          </w:tcPr>
          <w:p>
            <w:pPr>
              <w:ind w:left="140"/>
              <w:spacing w:after="0"/>
              <w:rPr>
                <w:sz w:val="20"/>
                <w:szCs w:val="20"/>
                <w:color w:val="auto"/>
              </w:rPr>
            </w:pPr>
            <w:r>
              <w:rPr>
                <w:rFonts w:ascii="Arial" w:cs="Arial" w:eastAsia="Arial" w:hAnsi="Arial"/>
                <w:sz w:val="18"/>
                <w:szCs w:val="18"/>
                <w:color w:val="auto"/>
              </w:rPr>
              <w:t>Changes to the Lenders</w:t>
            </w:r>
          </w:p>
        </w:tc>
        <w:tc>
          <w:tcPr>
            <w:tcW w:w="6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26.</w:t>
            </w:r>
          </w:p>
        </w:tc>
        <w:tc>
          <w:tcPr>
            <w:tcW w:w="4060" w:type="dxa"/>
            <w:vAlign w:val="bottom"/>
          </w:tcPr>
          <w:p>
            <w:pPr>
              <w:ind w:left="140"/>
              <w:spacing w:after="0"/>
              <w:rPr>
                <w:sz w:val="20"/>
                <w:szCs w:val="20"/>
                <w:color w:val="auto"/>
              </w:rPr>
            </w:pPr>
            <w:r>
              <w:rPr>
                <w:rFonts w:ascii="Arial" w:cs="Arial" w:eastAsia="Arial" w:hAnsi="Arial"/>
                <w:sz w:val="18"/>
                <w:szCs w:val="18"/>
                <w:color w:val="auto"/>
              </w:rPr>
              <w:t>Restriction on Debt Purchase Transactions</w:t>
            </w:r>
          </w:p>
        </w:tc>
        <w:tc>
          <w:tcPr>
            <w:tcW w:w="6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27.</w:t>
            </w:r>
          </w:p>
        </w:tc>
        <w:tc>
          <w:tcPr>
            <w:tcW w:w="4060" w:type="dxa"/>
            <w:vAlign w:val="bottom"/>
          </w:tcPr>
          <w:p>
            <w:pPr>
              <w:ind w:left="140"/>
              <w:spacing w:after="0"/>
              <w:rPr>
                <w:sz w:val="20"/>
                <w:szCs w:val="20"/>
                <w:color w:val="auto"/>
              </w:rPr>
            </w:pPr>
            <w:r>
              <w:rPr>
                <w:rFonts w:ascii="Arial" w:cs="Arial" w:eastAsia="Arial" w:hAnsi="Arial"/>
                <w:sz w:val="18"/>
                <w:szCs w:val="18"/>
                <w:color w:val="auto"/>
              </w:rPr>
              <w:t>Changes to the Obligors</w:t>
            </w:r>
          </w:p>
        </w:tc>
        <w:tc>
          <w:tcPr>
            <w:tcW w:w="65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28.</w:t>
            </w:r>
          </w:p>
        </w:tc>
        <w:tc>
          <w:tcPr>
            <w:tcW w:w="4060" w:type="dxa"/>
            <w:vAlign w:val="bottom"/>
          </w:tcPr>
          <w:p>
            <w:pPr>
              <w:ind w:left="140"/>
              <w:spacing w:after="0"/>
              <w:rPr>
                <w:sz w:val="20"/>
                <w:szCs w:val="20"/>
                <w:color w:val="auto"/>
              </w:rPr>
            </w:pPr>
            <w:r>
              <w:rPr>
                <w:rFonts w:ascii="Arial" w:cs="Arial" w:eastAsia="Arial" w:hAnsi="Arial"/>
                <w:sz w:val="18"/>
                <w:szCs w:val="18"/>
                <w:color w:val="auto"/>
              </w:rPr>
              <w:t>Role of the Agent and others</w:t>
            </w:r>
          </w:p>
        </w:tc>
        <w:tc>
          <w:tcPr>
            <w:tcW w:w="65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29.</w:t>
            </w:r>
          </w:p>
        </w:tc>
        <w:tc>
          <w:tcPr>
            <w:tcW w:w="4060" w:type="dxa"/>
            <w:vAlign w:val="bottom"/>
          </w:tcPr>
          <w:p>
            <w:pPr>
              <w:ind w:left="140"/>
              <w:spacing w:after="0"/>
              <w:rPr>
                <w:sz w:val="20"/>
                <w:szCs w:val="20"/>
                <w:color w:val="auto"/>
              </w:rPr>
            </w:pPr>
            <w:r>
              <w:rPr>
                <w:rFonts w:ascii="Arial" w:cs="Arial" w:eastAsia="Arial" w:hAnsi="Arial"/>
                <w:sz w:val="18"/>
                <w:szCs w:val="18"/>
                <w:color w:val="auto"/>
              </w:rPr>
              <w:t>Conduct of business by the Finance Parties</w:t>
            </w:r>
          </w:p>
        </w:tc>
        <w:tc>
          <w:tcPr>
            <w:tcW w:w="6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30.</w:t>
            </w:r>
          </w:p>
        </w:tc>
        <w:tc>
          <w:tcPr>
            <w:tcW w:w="4060" w:type="dxa"/>
            <w:vAlign w:val="bottom"/>
          </w:tcPr>
          <w:p>
            <w:pPr>
              <w:ind w:left="140"/>
              <w:spacing w:after="0"/>
              <w:rPr>
                <w:sz w:val="20"/>
                <w:szCs w:val="20"/>
                <w:color w:val="auto"/>
              </w:rPr>
            </w:pPr>
            <w:r>
              <w:rPr>
                <w:rFonts w:ascii="Arial" w:cs="Arial" w:eastAsia="Arial" w:hAnsi="Arial"/>
                <w:sz w:val="18"/>
                <w:szCs w:val="18"/>
                <w:color w:val="auto"/>
              </w:rPr>
              <w:t>Sharing among the Finance Parties</w:t>
            </w:r>
          </w:p>
        </w:tc>
        <w:tc>
          <w:tcPr>
            <w:tcW w:w="6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4060" w:type="dxa"/>
            <w:vAlign w:val="bottom"/>
          </w:tcPr>
          <w:p>
            <w:pPr>
              <w:ind w:left="140"/>
              <w:spacing w:after="0"/>
              <w:rPr>
                <w:sz w:val="20"/>
                <w:szCs w:val="20"/>
                <w:color w:val="auto"/>
              </w:rPr>
            </w:pPr>
            <w:r>
              <w:rPr>
                <w:rFonts w:ascii="Arial" w:cs="Arial" w:eastAsia="Arial" w:hAnsi="Arial"/>
                <w:sz w:val="18"/>
                <w:szCs w:val="18"/>
                <w:color w:val="auto"/>
              </w:rPr>
              <w:t>Payment mechanics</w:t>
            </w:r>
          </w:p>
        </w:tc>
        <w:tc>
          <w:tcPr>
            <w:tcW w:w="6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4060" w:type="dxa"/>
            <w:vAlign w:val="bottom"/>
          </w:tcPr>
          <w:p>
            <w:pPr>
              <w:ind w:left="140"/>
              <w:spacing w:after="0"/>
              <w:rPr>
                <w:sz w:val="20"/>
                <w:szCs w:val="20"/>
                <w:color w:val="auto"/>
              </w:rPr>
            </w:pPr>
            <w:r>
              <w:rPr>
                <w:rFonts w:ascii="Arial" w:cs="Arial" w:eastAsia="Arial" w:hAnsi="Arial"/>
                <w:sz w:val="18"/>
                <w:szCs w:val="18"/>
                <w:color w:val="auto"/>
              </w:rPr>
              <w:t>Set off</w:t>
            </w:r>
          </w:p>
        </w:tc>
        <w:tc>
          <w:tcPr>
            <w:tcW w:w="65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4060" w:type="dxa"/>
            <w:vAlign w:val="bottom"/>
          </w:tcPr>
          <w:p>
            <w:pPr>
              <w:ind w:left="140"/>
              <w:spacing w:after="0"/>
              <w:rPr>
                <w:sz w:val="20"/>
                <w:szCs w:val="20"/>
                <w:color w:val="auto"/>
              </w:rPr>
            </w:pPr>
            <w:r>
              <w:rPr>
                <w:rFonts w:ascii="Arial" w:cs="Arial" w:eastAsia="Arial" w:hAnsi="Arial"/>
                <w:sz w:val="18"/>
                <w:szCs w:val="18"/>
                <w:color w:val="auto"/>
              </w:rPr>
              <w:t>Notices</w:t>
            </w:r>
          </w:p>
        </w:tc>
        <w:tc>
          <w:tcPr>
            <w:tcW w:w="65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4060" w:type="dxa"/>
            <w:vAlign w:val="bottom"/>
          </w:tcPr>
          <w:p>
            <w:pPr>
              <w:ind w:left="140"/>
              <w:spacing w:after="0"/>
              <w:rPr>
                <w:sz w:val="20"/>
                <w:szCs w:val="20"/>
                <w:color w:val="auto"/>
              </w:rPr>
            </w:pPr>
            <w:r>
              <w:rPr>
                <w:rFonts w:ascii="Arial" w:cs="Arial" w:eastAsia="Arial" w:hAnsi="Arial"/>
                <w:sz w:val="18"/>
                <w:szCs w:val="18"/>
                <w:color w:val="auto"/>
              </w:rPr>
              <w:t>Calculations and certificates</w:t>
            </w:r>
          </w:p>
        </w:tc>
        <w:tc>
          <w:tcPr>
            <w:tcW w:w="65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35.</w:t>
            </w:r>
          </w:p>
        </w:tc>
        <w:tc>
          <w:tcPr>
            <w:tcW w:w="4060" w:type="dxa"/>
            <w:vAlign w:val="bottom"/>
          </w:tcPr>
          <w:p>
            <w:pPr>
              <w:ind w:left="140"/>
              <w:spacing w:after="0"/>
              <w:rPr>
                <w:sz w:val="20"/>
                <w:szCs w:val="20"/>
                <w:color w:val="auto"/>
              </w:rPr>
            </w:pPr>
            <w:r>
              <w:rPr>
                <w:rFonts w:ascii="Arial" w:cs="Arial" w:eastAsia="Arial" w:hAnsi="Arial"/>
                <w:sz w:val="18"/>
                <w:szCs w:val="18"/>
                <w:color w:val="auto"/>
              </w:rPr>
              <w:t>Partial invalidity</w:t>
            </w:r>
          </w:p>
        </w:tc>
        <w:tc>
          <w:tcPr>
            <w:tcW w:w="65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64"/>
        </w:trPr>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520" w:type="dxa"/>
            <w:vAlign w:val="bottom"/>
          </w:tcPr>
          <w:p>
            <w:pPr>
              <w:jc w:val="right"/>
              <w:ind w:right="5290"/>
              <w:spacing w:after="0"/>
              <w:rPr>
                <w:sz w:val="20"/>
                <w:szCs w:val="20"/>
                <w:color w:val="auto"/>
              </w:rPr>
            </w:pPr>
            <w:r>
              <w:rPr>
                <w:rFonts w:ascii="Arial" w:cs="Arial" w:eastAsia="Arial" w:hAnsi="Arial"/>
                <w:sz w:val="18"/>
                <w:szCs w:val="18"/>
                <w:color w:val="auto"/>
              </w:rPr>
              <w:t>(i)</w:t>
            </w:r>
          </w:p>
        </w:tc>
      </w:tr>
    </w:tbl>
    <w:p>
      <w:pPr>
        <w:jc w:val="right"/>
        <w:ind w:right="5290"/>
        <w:spacing w:after="0"/>
        <w:rPr>
          <w:sz w:val="20"/>
          <w:szCs w:val="20"/>
          <w:color w:val="auto"/>
        </w:rPr>
        <w:sectPr>
          <w:pgSz w:w="11900" w:h="16838" w:orient="portrait"/>
          <w:cols w:equalWidth="0" w:num="1">
            <w:col w:w="10960"/>
          </w:cols>
          <w:pgMar w:left="440" w:top="271"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15" w:name="page616"/>
    <w:bookmarkEnd w:id="615"/>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36.</w:t>
            </w:r>
          </w:p>
        </w:tc>
        <w:tc>
          <w:tcPr>
            <w:tcW w:w="10060" w:type="dxa"/>
            <w:vAlign w:val="bottom"/>
            <w:gridSpan w:val="2"/>
          </w:tcPr>
          <w:p>
            <w:pPr>
              <w:ind w:left="40"/>
              <w:spacing w:after="0"/>
              <w:rPr>
                <w:sz w:val="20"/>
                <w:szCs w:val="20"/>
                <w:color w:val="auto"/>
              </w:rPr>
            </w:pPr>
            <w:r>
              <w:rPr>
                <w:rFonts w:ascii="Arial" w:cs="Arial" w:eastAsia="Arial" w:hAnsi="Arial"/>
                <w:sz w:val="18"/>
                <w:szCs w:val="18"/>
                <w:color w:val="auto"/>
              </w:rPr>
              <w:t>Remedies and waivers</w:t>
            </w: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37.</w:t>
            </w:r>
          </w:p>
        </w:tc>
        <w:tc>
          <w:tcPr>
            <w:tcW w:w="10060" w:type="dxa"/>
            <w:vAlign w:val="bottom"/>
            <w:gridSpan w:val="2"/>
          </w:tcPr>
          <w:p>
            <w:pPr>
              <w:ind w:left="40"/>
              <w:spacing w:after="0"/>
              <w:rPr>
                <w:sz w:val="20"/>
                <w:szCs w:val="20"/>
                <w:color w:val="auto"/>
              </w:rPr>
            </w:pPr>
            <w:r>
              <w:rPr>
                <w:rFonts w:ascii="Arial" w:cs="Arial" w:eastAsia="Arial" w:hAnsi="Arial"/>
                <w:sz w:val="18"/>
                <w:szCs w:val="18"/>
                <w:color w:val="auto"/>
              </w:rPr>
              <w:t>Amendments and waivers</w:t>
            </w:r>
          </w:p>
        </w:tc>
        <w:tc>
          <w:tcPr>
            <w:tcW w:w="4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38.</w:t>
            </w:r>
          </w:p>
        </w:tc>
        <w:tc>
          <w:tcPr>
            <w:tcW w:w="10060" w:type="dxa"/>
            <w:vAlign w:val="bottom"/>
            <w:gridSpan w:val="2"/>
          </w:tcPr>
          <w:p>
            <w:pPr>
              <w:ind w:left="40"/>
              <w:spacing w:after="0"/>
              <w:rPr>
                <w:sz w:val="20"/>
                <w:szCs w:val="20"/>
                <w:color w:val="auto"/>
              </w:rPr>
            </w:pPr>
            <w:r>
              <w:rPr>
                <w:rFonts w:ascii="Arial" w:cs="Arial" w:eastAsia="Arial" w:hAnsi="Arial"/>
                <w:sz w:val="18"/>
                <w:szCs w:val="18"/>
                <w:color w:val="auto"/>
              </w:rPr>
              <w:t>Disclosure of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39.</w:t>
            </w:r>
          </w:p>
        </w:tc>
        <w:tc>
          <w:tcPr>
            <w:tcW w:w="10060" w:type="dxa"/>
            <w:vAlign w:val="bottom"/>
            <w:gridSpan w:val="2"/>
          </w:tcPr>
          <w:p>
            <w:pPr>
              <w:ind w:left="40"/>
              <w:spacing w:after="0"/>
              <w:rPr>
                <w:sz w:val="20"/>
                <w:szCs w:val="20"/>
                <w:color w:val="auto"/>
              </w:rPr>
            </w:pPr>
            <w:r>
              <w:rPr>
                <w:rFonts w:ascii="Arial" w:cs="Arial" w:eastAsia="Arial" w:hAnsi="Arial"/>
                <w:sz w:val="18"/>
                <w:szCs w:val="18"/>
                <w:color w:val="auto"/>
              </w:rPr>
              <w:t>Counterparts</w:t>
            </w: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40.</w:t>
            </w:r>
          </w:p>
        </w:tc>
        <w:tc>
          <w:tcPr>
            <w:tcW w:w="10060" w:type="dxa"/>
            <w:vAlign w:val="bottom"/>
            <w:gridSpan w:val="2"/>
          </w:tcPr>
          <w:p>
            <w:pPr>
              <w:ind w:left="40"/>
              <w:spacing w:after="0"/>
              <w:rPr>
                <w:sz w:val="20"/>
                <w:szCs w:val="20"/>
                <w:color w:val="auto"/>
              </w:rPr>
            </w:pPr>
            <w:r>
              <w:rPr>
                <w:rFonts w:ascii="Arial" w:cs="Arial" w:eastAsia="Arial" w:hAnsi="Arial"/>
                <w:sz w:val="18"/>
                <w:szCs w:val="18"/>
                <w:color w:val="auto"/>
              </w:rPr>
              <w:t>USA Patriot Act</w:t>
            </w: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gridSpan w:val="2"/>
          </w:tcPr>
          <w:p>
            <w:pPr>
              <w:ind w:left="40"/>
              <w:spacing w:after="0"/>
              <w:rPr>
                <w:sz w:val="20"/>
                <w:szCs w:val="20"/>
                <w:color w:val="auto"/>
              </w:rPr>
            </w:pPr>
            <w:r>
              <w:rPr>
                <w:rFonts w:ascii="Arial" w:cs="Arial" w:eastAsia="Arial" w:hAnsi="Arial"/>
                <w:sz w:val="18"/>
                <w:szCs w:val="18"/>
                <w:color w:val="auto"/>
              </w:rPr>
              <w:t>Governing law</w:t>
            </w: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10060" w:type="dxa"/>
            <w:vAlign w:val="bottom"/>
            <w:gridSpan w:val="2"/>
          </w:tcPr>
          <w:p>
            <w:pPr>
              <w:ind w:left="40"/>
              <w:spacing w:after="0"/>
              <w:rPr>
                <w:sz w:val="20"/>
                <w:szCs w:val="20"/>
                <w:color w:val="auto"/>
              </w:rPr>
            </w:pPr>
            <w:r>
              <w:rPr>
                <w:rFonts w:ascii="Arial" w:cs="Arial" w:eastAsia="Arial" w:hAnsi="Arial"/>
                <w:sz w:val="18"/>
                <w:szCs w:val="18"/>
                <w:color w:val="auto"/>
              </w:rPr>
              <w:t>Enforcement</w:t>
            </w: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3"/>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Schedule 1</w:t>
            </w:r>
          </w:p>
        </w:tc>
        <w:tc>
          <w:tcPr>
            <w:tcW w:w="9360" w:type="dxa"/>
            <w:vAlign w:val="bottom"/>
          </w:tcPr>
          <w:p>
            <w:pPr>
              <w:ind w:left="260"/>
              <w:spacing w:after="0"/>
              <w:rPr>
                <w:sz w:val="20"/>
                <w:szCs w:val="20"/>
                <w:color w:val="auto"/>
              </w:rPr>
            </w:pPr>
            <w:r>
              <w:rPr>
                <w:rFonts w:ascii="Arial" w:cs="Arial" w:eastAsia="Arial" w:hAnsi="Arial"/>
                <w:sz w:val="18"/>
                <w:szCs w:val="18"/>
                <w:b w:val="1"/>
                <w:bCs w:val="1"/>
                <w:color w:val="auto"/>
              </w:rPr>
              <w:t>Original Parties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5"/>
              </w:rPr>
              <w:t>Part 1</w:t>
            </w:r>
          </w:p>
        </w:tc>
        <w:tc>
          <w:tcPr>
            <w:tcW w:w="700" w:type="dxa"/>
            <w:vAlign w:val="bottom"/>
          </w:tcPr>
          <w:p>
            <w:pPr>
              <w:spacing w:after="0"/>
              <w:rPr>
                <w:sz w:val="18"/>
                <w:szCs w:val="18"/>
                <w:color w:val="auto"/>
              </w:rPr>
            </w:pPr>
          </w:p>
        </w:tc>
        <w:tc>
          <w:tcPr>
            <w:tcW w:w="9360" w:type="dxa"/>
            <w:vAlign w:val="bottom"/>
          </w:tcPr>
          <w:p>
            <w:pPr>
              <w:ind w:left="260"/>
              <w:spacing w:after="0"/>
              <w:rPr>
                <w:sz w:val="20"/>
                <w:szCs w:val="20"/>
                <w:color w:val="auto"/>
              </w:rPr>
            </w:pPr>
            <w:r>
              <w:rPr>
                <w:rFonts w:ascii="Arial" w:cs="Arial" w:eastAsia="Arial" w:hAnsi="Arial"/>
                <w:sz w:val="18"/>
                <w:szCs w:val="18"/>
                <w:color w:val="auto"/>
              </w:rPr>
              <w:t>Original Facility A Lender</w:t>
            </w: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5"/>
              </w:rPr>
              <w:t>Part 2</w:t>
            </w:r>
          </w:p>
        </w:tc>
        <w:tc>
          <w:tcPr>
            <w:tcW w:w="700" w:type="dxa"/>
            <w:vAlign w:val="bottom"/>
          </w:tcPr>
          <w:p>
            <w:pPr>
              <w:spacing w:after="0"/>
              <w:rPr>
                <w:sz w:val="18"/>
                <w:szCs w:val="18"/>
                <w:color w:val="auto"/>
              </w:rPr>
            </w:pPr>
          </w:p>
        </w:tc>
        <w:tc>
          <w:tcPr>
            <w:tcW w:w="9360" w:type="dxa"/>
            <w:vAlign w:val="bottom"/>
          </w:tcPr>
          <w:p>
            <w:pPr>
              <w:ind w:left="260"/>
              <w:spacing w:after="0"/>
              <w:rPr>
                <w:sz w:val="20"/>
                <w:szCs w:val="20"/>
                <w:color w:val="auto"/>
              </w:rPr>
            </w:pPr>
            <w:r>
              <w:rPr>
                <w:rFonts w:ascii="Arial" w:cs="Arial" w:eastAsia="Arial" w:hAnsi="Arial"/>
                <w:sz w:val="18"/>
                <w:szCs w:val="18"/>
                <w:color w:val="auto"/>
              </w:rPr>
              <w:t>Original Revolving Facility Lender</w:t>
            </w: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w w:val="95"/>
              </w:rPr>
              <w:t>Part 3</w:t>
            </w:r>
          </w:p>
        </w:tc>
        <w:tc>
          <w:tcPr>
            <w:tcW w:w="700" w:type="dxa"/>
            <w:vAlign w:val="bottom"/>
          </w:tcPr>
          <w:p>
            <w:pPr>
              <w:spacing w:after="0"/>
              <w:rPr>
                <w:sz w:val="20"/>
                <w:szCs w:val="20"/>
                <w:color w:val="auto"/>
              </w:rPr>
            </w:pPr>
          </w:p>
        </w:tc>
        <w:tc>
          <w:tcPr>
            <w:tcW w:w="9360" w:type="dxa"/>
            <w:vAlign w:val="bottom"/>
          </w:tcPr>
          <w:p>
            <w:pPr>
              <w:ind w:left="260"/>
              <w:spacing w:after="0"/>
              <w:rPr>
                <w:sz w:val="20"/>
                <w:szCs w:val="20"/>
                <w:color w:val="auto"/>
              </w:rPr>
            </w:pPr>
            <w:r>
              <w:rPr>
                <w:rFonts w:ascii="Arial" w:cs="Arial" w:eastAsia="Arial" w:hAnsi="Arial"/>
                <w:sz w:val="18"/>
                <w:szCs w:val="18"/>
                <w:color w:val="auto"/>
              </w:rPr>
              <w:t>Original Guarantors</w:t>
            </w: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Schedule 2</w:t>
            </w:r>
          </w:p>
        </w:tc>
        <w:tc>
          <w:tcPr>
            <w:tcW w:w="9360" w:type="dxa"/>
            <w:vAlign w:val="bottom"/>
          </w:tcPr>
          <w:p>
            <w:pPr>
              <w:ind w:left="260"/>
              <w:spacing w:after="0"/>
              <w:rPr>
                <w:sz w:val="20"/>
                <w:szCs w:val="20"/>
                <w:color w:val="auto"/>
              </w:rPr>
            </w:pPr>
            <w:r>
              <w:rPr>
                <w:rFonts w:ascii="Arial" w:cs="Arial" w:eastAsia="Arial" w:hAnsi="Arial"/>
                <w:sz w:val="18"/>
                <w:szCs w:val="18"/>
                <w:b w:val="1"/>
                <w:bCs w:val="1"/>
                <w:color w:val="auto"/>
              </w:rPr>
              <w:t>Conditions precedent required to be delivered by an Additional Guarantor</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310"/>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Schedule 3</w:t>
            </w:r>
          </w:p>
        </w:tc>
        <w:tc>
          <w:tcPr>
            <w:tcW w:w="9360" w:type="dxa"/>
            <w:vAlign w:val="bottom"/>
          </w:tcPr>
          <w:p>
            <w:pPr>
              <w:ind w:left="260"/>
              <w:spacing w:after="0"/>
              <w:rPr>
                <w:sz w:val="20"/>
                <w:szCs w:val="20"/>
                <w:color w:val="auto"/>
              </w:rPr>
            </w:pPr>
            <w:r>
              <w:rPr>
                <w:rFonts w:ascii="Arial" w:cs="Arial" w:eastAsia="Arial" w:hAnsi="Arial"/>
                <w:sz w:val="18"/>
                <w:szCs w:val="18"/>
                <w:b w:val="1"/>
                <w:bCs w:val="1"/>
                <w:color w:val="auto"/>
              </w:rPr>
              <w:t>Requests and notices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5"/>
              </w:rPr>
              <w:t>Part 1</w:t>
            </w:r>
          </w:p>
        </w:tc>
        <w:tc>
          <w:tcPr>
            <w:tcW w:w="700" w:type="dxa"/>
            <w:vAlign w:val="bottom"/>
          </w:tcPr>
          <w:p>
            <w:pPr>
              <w:spacing w:after="0"/>
              <w:rPr>
                <w:sz w:val="18"/>
                <w:szCs w:val="18"/>
                <w:color w:val="auto"/>
              </w:rPr>
            </w:pPr>
          </w:p>
        </w:tc>
        <w:tc>
          <w:tcPr>
            <w:tcW w:w="9360" w:type="dxa"/>
            <w:vAlign w:val="bottom"/>
          </w:tcPr>
          <w:p>
            <w:pPr>
              <w:ind w:left="260"/>
              <w:spacing w:after="0"/>
              <w:rPr>
                <w:sz w:val="20"/>
                <w:szCs w:val="20"/>
                <w:color w:val="auto"/>
              </w:rPr>
            </w:pPr>
            <w:r>
              <w:rPr>
                <w:rFonts w:ascii="Arial" w:cs="Arial" w:eastAsia="Arial" w:hAnsi="Arial"/>
                <w:sz w:val="18"/>
                <w:szCs w:val="18"/>
                <w:color w:val="auto"/>
              </w:rPr>
              <w:t>Utilisation Request Revolving Facility</w:t>
            </w:r>
          </w:p>
        </w:tc>
        <w:tc>
          <w:tcPr>
            <w:tcW w:w="4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w w:val="95"/>
              </w:rPr>
              <w:t>Part 2</w:t>
            </w:r>
          </w:p>
        </w:tc>
        <w:tc>
          <w:tcPr>
            <w:tcW w:w="700" w:type="dxa"/>
            <w:vAlign w:val="bottom"/>
          </w:tcPr>
          <w:p>
            <w:pPr>
              <w:spacing w:after="0"/>
              <w:rPr>
                <w:sz w:val="20"/>
                <w:szCs w:val="20"/>
                <w:color w:val="auto"/>
              </w:rPr>
            </w:pPr>
          </w:p>
        </w:tc>
        <w:tc>
          <w:tcPr>
            <w:tcW w:w="9360" w:type="dxa"/>
            <w:vAlign w:val="bottom"/>
          </w:tcPr>
          <w:p>
            <w:pPr>
              <w:ind w:left="260"/>
              <w:spacing w:after="0"/>
              <w:rPr>
                <w:sz w:val="20"/>
                <w:szCs w:val="20"/>
                <w:color w:val="auto"/>
              </w:rPr>
            </w:pPr>
            <w:r>
              <w:rPr>
                <w:rFonts w:ascii="Arial" w:cs="Arial" w:eastAsia="Arial" w:hAnsi="Arial"/>
                <w:sz w:val="18"/>
                <w:szCs w:val="18"/>
                <w:color w:val="auto"/>
              </w:rPr>
              <w:t>Selection Notice</w:t>
            </w: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Schedule 4</w:t>
            </w:r>
          </w:p>
        </w:tc>
        <w:tc>
          <w:tcPr>
            <w:tcW w:w="9360" w:type="dxa"/>
            <w:vAlign w:val="bottom"/>
          </w:tcPr>
          <w:p>
            <w:pPr>
              <w:ind w:left="260"/>
              <w:spacing w:after="0"/>
              <w:rPr>
                <w:sz w:val="20"/>
                <w:szCs w:val="20"/>
                <w:color w:val="auto"/>
              </w:rPr>
            </w:pPr>
            <w:r>
              <w:rPr>
                <w:rFonts w:ascii="Arial" w:cs="Arial" w:eastAsia="Arial" w:hAnsi="Arial"/>
                <w:sz w:val="18"/>
                <w:szCs w:val="18"/>
                <w:b w:val="1"/>
                <w:bCs w:val="1"/>
                <w:color w:val="auto"/>
              </w:rPr>
              <w:t>Form of Transfer Certificate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Schedule 5</w:t>
            </w:r>
          </w:p>
        </w:tc>
        <w:tc>
          <w:tcPr>
            <w:tcW w:w="9360" w:type="dxa"/>
            <w:vAlign w:val="bottom"/>
          </w:tcPr>
          <w:p>
            <w:pPr>
              <w:ind w:left="260"/>
              <w:spacing w:after="0"/>
              <w:rPr>
                <w:sz w:val="20"/>
                <w:szCs w:val="20"/>
                <w:color w:val="auto"/>
              </w:rPr>
            </w:pPr>
            <w:r>
              <w:rPr>
                <w:rFonts w:ascii="Arial" w:cs="Arial" w:eastAsia="Arial" w:hAnsi="Arial"/>
                <w:sz w:val="18"/>
                <w:szCs w:val="18"/>
                <w:b w:val="1"/>
                <w:bCs w:val="1"/>
                <w:color w:val="auto"/>
              </w:rPr>
              <w:t>Form of Assignment Agreement and Lender Accession Undertaking</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136</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Schedule 6</w:t>
            </w:r>
          </w:p>
        </w:tc>
        <w:tc>
          <w:tcPr>
            <w:tcW w:w="9360" w:type="dxa"/>
            <w:vAlign w:val="bottom"/>
          </w:tcPr>
          <w:p>
            <w:pPr>
              <w:ind w:left="260"/>
              <w:spacing w:after="0"/>
              <w:rPr>
                <w:sz w:val="20"/>
                <w:szCs w:val="20"/>
                <w:color w:val="auto"/>
              </w:rPr>
            </w:pPr>
            <w:r>
              <w:rPr>
                <w:rFonts w:ascii="Arial" w:cs="Arial" w:eastAsia="Arial" w:hAnsi="Arial"/>
                <w:sz w:val="18"/>
                <w:szCs w:val="18"/>
                <w:b w:val="1"/>
                <w:bCs w:val="1"/>
                <w:color w:val="auto"/>
              </w:rPr>
              <w:t>Form of Accession Letter</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139</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Schedule 7</w:t>
            </w:r>
          </w:p>
        </w:tc>
        <w:tc>
          <w:tcPr>
            <w:tcW w:w="9360" w:type="dxa"/>
            <w:vAlign w:val="bottom"/>
          </w:tcPr>
          <w:p>
            <w:pPr>
              <w:ind w:left="260"/>
              <w:spacing w:after="0"/>
              <w:rPr>
                <w:sz w:val="20"/>
                <w:szCs w:val="20"/>
                <w:color w:val="auto"/>
              </w:rPr>
            </w:pPr>
            <w:r>
              <w:rPr>
                <w:rFonts w:ascii="Arial" w:cs="Arial" w:eastAsia="Arial" w:hAnsi="Arial"/>
                <w:sz w:val="18"/>
                <w:szCs w:val="18"/>
                <w:b w:val="1"/>
                <w:bCs w:val="1"/>
                <w:color w:val="auto"/>
              </w:rPr>
              <w:t>Form of Resignation Letter</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143</w:t>
            </w:r>
          </w:p>
        </w:tc>
      </w:tr>
      <w:tr>
        <w:trPr>
          <w:trHeight w:val="310"/>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Schedule 8</w:t>
            </w:r>
          </w:p>
        </w:tc>
        <w:tc>
          <w:tcPr>
            <w:tcW w:w="9360" w:type="dxa"/>
            <w:vAlign w:val="bottom"/>
          </w:tcPr>
          <w:p>
            <w:pPr>
              <w:ind w:left="260"/>
              <w:spacing w:after="0"/>
              <w:rPr>
                <w:sz w:val="20"/>
                <w:szCs w:val="20"/>
                <w:color w:val="auto"/>
              </w:rPr>
            </w:pPr>
            <w:r>
              <w:rPr>
                <w:rFonts w:ascii="Arial" w:cs="Arial" w:eastAsia="Arial" w:hAnsi="Arial"/>
                <w:sz w:val="18"/>
                <w:szCs w:val="18"/>
                <w:b w:val="1"/>
                <w:bCs w:val="1"/>
                <w:color w:val="auto"/>
              </w:rPr>
              <w:t>Forms of Notifiable Debt Purchase Transaction Notice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5"/>
              </w:rPr>
              <w:t>Part 1</w:t>
            </w:r>
          </w:p>
        </w:tc>
        <w:tc>
          <w:tcPr>
            <w:tcW w:w="700" w:type="dxa"/>
            <w:vAlign w:val="bottom"/>
          </w:tcPr>
          <w:p>
            <w:pPr>
              <w:spacing w:after="0"/>
              <w:rPr>
                <w:sz w:val="18"/>
                <w:szCs w:val="18"/>
                <w:color w:val="auto"/>
              </w:rPr>
            </w:pPr>
          </w:p>
        </w:tc>
        <w:tc>
          <w:tcPr>
            <w:tcW w:w="9360" w:type="dxa"/>
            <w:vAlign w:val="bottom"/>
          </w:tcPr>
          <w:p>
            <w:pPr>
              <w:ind w:left="260"/>
              <w:spacing w:after="0"/>
              <w:rPr>
                <w:sz w:val="20"/>
                <w:szCs w:val="20"/>
                <w:color w:val="auto"/>
              </w:rPr>
            </w:pPr>
            <w:r>
              <w:rPr>
                <w:rFonts w:ascii="Arial" w:cs="Arial" w:eastAsia="Arial" w:hAnsi="Arial"/>
                <w:sz w:val="18"/>
                <w:szCs w:val="18"/>
                <w:color w:val="auto"/>
              </w:rPr>
              <w:t>Form of Notice on Entering into Notifiable Debt Purchase Transaction</w:t>
            </w:r>
          </w:p>
        </w:tc>
        <w:tc>
          <w:tcPr>
            <w:tcW w:w="4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5"/>
              </w:rPr>
              <w:t>Part 2</w:t>
            </w:r>
          </w:p>
        </w:tc>
        <w:tc>
          <w:tcPr>
            <w:tcW w:w="700" w:type="dxa"/>
            <w:vAlign w:val="bottom"/>
          </w:tcPr>
          <w:p>
            <w:pPr>
              <w:spacing w:after="0"/>
              <w:rPr>
                <w:sz w:val="18"/>
                <w:szCs w:val="18"/>
                <w:color w:val="auto"/>
              </w:rPr>
            </w:pPr>
          </w:p>
        </w:tc>
        <w:tc>
          <w:tcPr>
            <w:tcW w:w="9360" w:type="dxa"/>
            <w:vAlign w:val="bottom"/>
          </w:tcPr>
          <w:p>
            <w:pPr>
              <w:ind w:left="260"/>
              <w:spacing w:after="0"/>
              <w:rPr>
                <w:sz w:val="20"/>
                <w:szCs w:val="20"/>
                <w:color w:val="auto"/>
              </w:rPr>
            </w:pPr>
            <w:r>
              <w:rPr>
                <w:rFonts w:ascii="Arial" w:cs="Arial" w:eastAsia="Arial" w:hAnsi="Arial"/>
                <w:sz w:val="18"/>
                <w:szCs w:val="18"/>
                <w:color w:val="auto"/>
                <w:w w:val="92"/>
              </w:rPr>
              <w:t>Form of Notice on Termination of Notifiable Debt Purchase Transaction/Notifiable Debt Purchase Transaction Ceasing to be</w:t>
            </w:r>
          </w:p>
        </w:tc>
        <w:tc>
          <w:tcPr>
            <w:tcW w:w="4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440"/>
              <w:spacing w:after="0"/>
              <w:rPr>
                <w:sz w:val="20"/>
                <w:szCs w:val="20"/>
                <w:color w:val="auto"/>
              </w:rPr>
            </w:pPr>
            <w:r>
              <w:rPr>
                <w:rFonts w:ascii="Arial" w:cs="Arial" w:eastAsia="Arial" w:hAnsi="Arial"/>
                <w:sz w:val="18"/>
                <w:szCs w:val="18"/>
                <w:color w:val="auto"/>
              </w:rPr>
              <w:t>with Sponsor Affiliate</w:t>
            </w: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Schedule 9</w:t>
            </w:r>
          </w:p>
        </w:tc>
        <w:tc>
          <w:tcPr>
            <w:tcW w:w="9360" w:type="dxa"/>
            <w:vAlign w:val="bottom"/>
          </w:tcPr>
          <w:p>
            <w:pPr>
              <w:ind w:left="260"/>
              <w:spacing w:after="0"/>
              <w:rPr>
                <w:sz w:val="20"/>
                <w:szCs w:val="20"/>
                <w:color w:val="auto"/>
              </w:rPr>
            </w:pPr>
            <w:r>
              <w:rPr>
                <w:rFonts w:ascii="Arial" w:cs="Arial" w:eastAsia="Arial" w:hAnsi="Arial"/>
                <w:sz w:val="18"/>
                <w:szCs w:val="18"/>
                <w:b w:val="1"/>
                <w:bCs w:val="1"/>
                <w:color w:val="auto"/>
              </w:rPr>
              <w:t>Form of Increase Confirmation</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146</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Schedule 10</w:t>
            </w:r>
          </w:p>
        </w:tc>
        <w:tc>
          <w:tcPr>
            <w:tcW w:w="9360" w:type="dxa"/>
            <w:vAlign w:val="bottom"/>
          </w:tcPr>
          <w:p>
            <w:pPr>
              <w:ind w:left="260"/>
              <w:spacing w:after="0"/>
              <w:rPr>
                <w:sz w:val="20"/>
                <w:szCs w:val="20"/>
                <w:color w:val="auto"/>
              </w:rPr>
            </w:pPr>
            <w:r>
              <w:rPr>
                <w:rFonts w:ascii="Arial" w:cs="Arial" w:eastAsia="Arial" w:hAnsi="Arial"/>
                <w:sz w:val="18"/>
                <w:szCs w:val="18"/>
                <w:b w:val="1"/>
                <w:bCs w:val="1"/>
                <w:color w:val="auto"/>
              </w:rPr>
              <w:t>Covenants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149</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Schedule 11</w:t>
            </w:r>
          </w:p>
        </w:tc>
        <w:tc>
          <w:tcPr>
            <w:tcW w:w="9360" w:type="dxa"/>
            <w:vAlign w:val="bottom"/>
          </w:tcPr>
          <w:p>
            <w:pPr>
              <w:ind w:left="260"/>
              <w:spacing w:after="0"/>
              <w:rPr>
                <w:sz w:val="20"/>
                <w:szCs w:val="20"/>
                <w:color w:val="auto"/>
              </w:rPr>
            </w:pPr>
            <w:r>
              <w:rPr>
                <w:rFonts w:ascii="Arial" w:cs="Arial" w:eastAsia="Arial" w:hAnsi="Arial"/>
                <w:sz w:val="18"/>
                <w:szCs w:val="18"/>
                <w:b w:val="1"/>
                <w:bCs w:val="1"/>
                <w:color w:val="auto"/>
              </w:rPr>
              <w:t>Definitions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169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2" w:right="499" w:bottom="1440" w:gutter="0" w:footer="0" w:header="0"/>
        </w:sectPr>
      </w:pPr>
    </w:p>
    <w:bookmarkStart w:id="616" w:name="page617"/>
    <w:bookmarkEnd w:id="616"/>
    <w:p>
      <w:pPr>
        <w:ind w:left="4" w:right="16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w:t>
      </w:r>
      <w:r>
        <w:rPr>
          <w:rFonts w:ascii="Arial" w:cs="Arial" w:eastAsia="Arial" w:hAnsi="Arial"/>
          <w:sz w:val="16"/>
          <w:szCs w:val="16"/>
          <w:color w:val="auto"/>
        </w:rPr>
        <w:t>is originally dated 28 January 2013, was amended and amended and restated from time to time and was further amended and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on the 2016 Amendment and Restatement Effective Date and the 2021 Amendment Restatement Effective Date, respectively, and is made among:</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764" w:right="80" w:hanging="764"/>
        <w:spacing w:after="0" w:line="266" w:lineRule="auto"/>
        <w:tabs>
          <w:tab w:leader="none" w:pos="764" w:val="left"/>
        </w:tabs>
        <w:numPr>
          <w:ilvl w:val="0"/>
          <w:numId w:val="802"/>
        </w:numPr>
        <w:rPr>
          <w:rFonts w:ascii="Arial" w:cs="Arial" w:eastAsia="Arial" w:hAnsi="Arial"/>
          <w:sz w:val="18"/>
          <w:szCs w:val="18"/>
          <w:b w:val="1"/>
          <w:bCs w:val="1"/>
          <w:color w:val="auto"/>
        </w:rPr>
      </w:pPr>
      <w:r>
        <w:rPr>
          <w:rFonts w:ascii="Arial" w:cs="Arial" w:eastAsia="Arial" w:hAnsi="Arial"/>
          <w:sz w:val="18"/>
          <w:szCs w:val="18"/>
          <w:b w:val="1"/>
          <w:bCs w:val="1"/>
          <w:color w:val="auto"/>
        </w:rPr>
        <w:t>STUDIO CITY INVESTMENTS LIMITED</w:t>
      </w:r>
      <w:r>
        <w:rPr>
          <w:rFonts w:ascii="Arial" w:cs="Arial" w:eastAsia="Arial" w:hAnsi="Arial"/>
          <w:sz w:val="18"/>
          <w:szCs w:val="18"/>
          <w:color w:val="auto"/>
        </w:rPr>
        <w:t>, a BVI business company incorporated under the laws of the British Virgin Islands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1673083), whose registered office is at Ocorian Corporate Services (BVI) Limited, Jayla Place, Wickhams Cay I, Road Town, Tortola, British Virgin Islands (the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764" w:right="460" w:hanging="764"/>
        <w:spacing w:after="0" w:line="266" w:lineRule="auto"/>
        <w:tabs>
          <w:tab w:leader="none" w:pos="764" w:val="left"/>
        </w:tabs>
        <w:numPr>
          <w:ilvl w:val="0"/>
          <w:numId w:val="802"/>
        </w:numPr>
        <w:rPr>
          <w:rFonts w:ascii="Arial" w:cs="Arial" w:eastAsia="Arial" w:hAnsi="Arial"/>
          <w:sz w:val="18"/>
          <w:szCs w:val="18"/>
          <w:b w:val="1"/>
          <w:bCs w:val="1"/>
          <w:color w:val="auto"/>
        </w:rPr>
      </w:pPr>
      <w:r>
        <w:rPr>
          <w:rFonts w:ascii="Arial" w:cs="Arial" w:eastAsia="Arial" w:hAnsi="Arial"/>
          <w:sz w:val="18"/>
          <w:szCs w:val="18"/>
          <w:b w:val="1"/>
          <w:bCs w:val="1"/>
          <w:color w:val="auto"/>
        </w:rPr>
        <w:t>STUDIO CITY COMPANY LIMITED</w:t>
      </w:r>
      <w:r>
        <w:rPr>
          <w:rFonts w:ascii="Arial" w:cs="Arial" w:eastAsia="Arial" w:hAnsi="Arial"/>
          <w:sz w:val="18"/>
          <w:szCs w:val="18"/>
          <w:color w:val="auto"/>
        </w:rPr>
        <w:t>, a BVI business company incorporated under the laws of the British Virgin Islands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1673603), whose registered office is at Ocorian Corporate Services (BVI) Limited, Jayla Place, Wickhams Cay I, Road Town, Tortola, British Virgin Islands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764" w:hanging="764"/>
        <w:spacing w:after="0"/>
        <w:tabs>
          <w:tab w:leader="none" w:pos="764" w:val="left"/>
        </w:tabs>
        <w:numPr>
          <w:ilvl w:val="0"/>
          <w:numId w:val="8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PERSONS </w:t>
      </w:r>
      <w:r>
        <w:rPr>
          <w:rFonts w:ascii="Arial" w:cs="Arial" w:eastAsia="Arial" w:hAnsi="Arial"/>
          <w:sz w:val="18"/>
          <w:szCs w:val="18"/>
          <w:color w:val="auto"/>
        </w:rPr>
        <w:t>listed in Part 3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as guarantors (the “</w:t>
      </w:r>
      <w:r>
        <w:rPr>
          <w:rFonts w:ascii="Arial" w:cs="Arial" w:eastAsia="Arial" w:hAnsi="Arial"/>
          <w:sz w:val="18"/>
          <w:szCs w:val="18"/>
          <w:b w:val="1"/>
          <w:bCs w:val="1"/>
          <w:color w:val="auto"/>
        </w:rPr>
        <w:t>Original Guarantors</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764" w:right="140" w:hanging="764"/>
        <w:spacing w:after="0" w:line="282" w:lineRule="auto"/>
        <w:tabs>
          <w:tab w:leader="none" w:pos="764" w:val="left"/>
        </w:tabs>
        <w:numPr>
          <w:ilvl w:val="0"/>
          <w:numId w:val="8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FINANCIAL INSTITUTION </w:t>
      </w:r>
      <w:r>
        <w:rPr>
          <w:rFonts w:ascii="Arial" w:cs="Arial" w:eastAsia="Arial" w:hAnsi="Arial"/>
          <w:sz w:val="18"/>
          <w:szCs w:val="18"/>
          <w:color w:val="auto"/>
        </w:rPr>
        <w:t>listed in Part 1 and in Part 2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as the Original Facility A Lender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Revolving Facility Lender (the “</w:t>
      </w:r>
      <w:r>
        <w:rPr>
          <w:rFonts w:ascii="Arial" w:cs="Arial" w:eastAsia="Arial" w:hAnsi="Arial"/>
          <w:sz w:val="18"/>
          <w:szCs w:val="18"/>
          <w:b w:val="1"/>
          <w:bCs w:val="1"/>
          <w:color w:val="auto"/>
        </w:rPr>
        <w:t>Original Lender</w:t>
      </w:r>
      <w:r>
        <w:rPr>
          <w:rFonts w:ascii="Arial" w:cs="Arial" w:eastAsia="Arial" w:hAnsi="Arial"/>
          <w:sz w:val="18"/>
          <w:szCs w:val="18"/>
          <w:color w:val="auto"/>
        </w:rPr>
        <w:t>”);</w:t>
      </w:r>
    </w:p>
    <w:p>
      <w:pPr>
        <w:spacing w:after="0" w:line="67" w:lineRule="exact"/>
        <w:rPr>
          <w:rFonts w:ascii="Arial" w:cs="Arial" w:eastAsia="Arial" w:hAnsi="Arial"/>
          <w:sz w:val="18"/>
          <w:szCs w:val="18"/>
          <w:b w:val="1"/>
          <w:bCs w:val="1"/>
          <w:color w:val="auto"/>
        </w:rPr>
      </w:pPr>
    </w:p>
    <w:p>
      <w:pPr>
        <w:ind w:left="764" w:right="400" w:hanging="764"/>
        <w:spacing w:after="0" w:line="282" w:lineRule="auto"/>
        <w:tabs>
          <w:tab w:leader="none" w:pos="764" w:val="left"/>
        </w:tabs>
        <w:numPr>
          <w:ilvl w:val="0"/>
          <w:numId w:val="8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(having immediately replaced Deutsche Bank AG, Hong Kong Branch) as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agent of the other Finance Parties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67" w:lineRule="exact"/>
        <w:rPr>
          <w:rFonts w:ascii="Arial" w:cs="Arial" w:eastAsia="Arial" w:hAnsi="Arial"/>
          <w:sz w:val="18"/>
          <w:szCs w:val="18"/>
          <w:b w:val="1"/>
          <w:bCs w:val="1"/>
          <w:color w:val="auto"/>
        </w:rPr>
      </w:pPr>
    </w:p>
    <w:p>
      <w:pPr>
        <w:ind w:left="764" w:right="60" w:hanging="764"/>
        <w:spacing w:after="0" w:line="282" w:lineRule="auto"/>
        <w:tabs>
          <w:tab w:leader="none" w:pos="764" w:val="left"/>
        </w:tabs>
        <w:numPr>
          <w:ilvl w:val="0"/>
          <w:numId w:val="8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INDUSTRIAL AND COMMERCIAL BANK OF CHINA (MACAU) LIMITED </w:t>
      </w:r>
      <w:r>
        <w:rPr>
          <w:rFonts w:ascii="Arial" w:cs="Arial" w:eastAsia="Arial" w:hAnsi="Arial"/>
          <w:sz w:val="18"/>
          <w:szCs w:val="18"/>
          <w:color w:val="auto"/>
        </w:rPr>
        <w:t>as security agent and trustee for the Secured Parties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Common Security Agent</w:t>
      </w:r>
      <w:r>
        <w:rPr>
          <w:rFonts w:ascii="Arial" w:cs="Arial" w:eastAsia="Arial" w:hAnsi="Arial"/>
          <w:sz w:val="18"/>
          <w:szCs w:val="18"/>
          <w:color w:val="auto"/>
        </w:rPr>
        <w:t>”); and</w:t>
      </w:r>
    </w:p>
    <w:p>
      <w:pPr>
        <w:spacing w:after="0" w:line="67" w:lineRule="exact"/>
        <w:rPr>
          <w:rFonts w:ascii="Arial" w:cs="Arial" w:eastAsia="Arial" w:hAnsi="Arial"/>
          <w:sz w:val="18"/>
          <w:szCs w:val="18"/>
          <w:b w:val="1"/>
          <w:bCs w:val="1"/>
          <w:color w:val="auto"/>
        </w:rPr>
      </w:pPr>
    </w:p>
    <w:p>
      <w:pPr>
        <w:ind w:left="764" w:right="420" w:hanging="764"/>
        <w:spacing w:after="0" w:line="282" w:lineRule="auto"/>
        <w:tabs>
          <w:tab w:leader="none" w:pos="764" w:val="left"/>
        </w:tabs>
        <w:numPr>
          <w:ilvl w:val="0"/>
          <w:numId w:val="8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INDUSTRIAL AND COMMERCIAL BANK OF CHINA (MACAU) LIMITED </w:t>
      </w:r>
      <w:r>
        <w:rPr>
          <w:rFonts w:ascii="Arial" w:cs="Arial" w:eastAsia="Arial" w:hAnsi="Arial"/>
          <w:sz w:val="18"/>
          <w:szCs w:val="18"/>
          <w:color w:val="auto"/>
        </w:rPr>
        <w:t>as agent for the Common Security Agent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of Attorney (the “</w:t>
      </w:r>
      <w:r>
        <w:rPr>
          <w:rFonts w:ascii="Arial" w:cs="Arial" w:eastAsia="Arial" w:hAnsi="Arial"/>
          <w:sz w:val="18"/>
          <w:szCs w:val="18"/>
          <w:b w:val="1"/>
          <w:bCs w:val="1"/>
          <w:color w:val="auto"/>
        </w:rPr>
        <w:t>POA Agent</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ind w:left="764" w:hanging="764"/>
        <w:spacing w:after="0"/>
        <w:tabs>
          <w:tab w:leader="none" w:pos="764"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In this Agreement, having regard in particular to paragraphs (k) and (l) of Clause 1.2 (</w:t>
      </w:r>
      <w:r>
        <w:rPr>
          <w:rFonts w:ascii="Arial" w:cs="Arial" w:eastAsia="Arial" w:hAnsi="Arial"/>
          <w:sz w:val="18"/>
          <w:szCs w:val="18"/>
          <w:i w:val="1"/>
          <w:iCs w:val="1"/>
          <w:color w:val="auto"/>
        </w:rPr>
        <w:t>Construction</w:t>
      </w:r>
      <w:r>
        <w:rPr>
          <w:rFonts w:ascii="Arial" w:cs="Arial" w:eastAsia="Arial" w:hAnsi="Arial"/>
          <w:sz w:val="18"/>
          <w:szCs w:val="18"/>
          <w:color w:val="auto"/>
        </w:rPr>
        <w:t>):</w:t>
      </w:r>
    </w:p>
    <w:p>
      <w:pPr>
        <w:spacing w:after="0" w:line="113" w:lineRule="exact"/>
        <w:rPr>
          <w:sz w:val="20"/>
          <w:szCs w:val="20"/>
          <w:color w:val="auto"/>
        </w:rPr>
      </w:pPr>
    </w:p>
    <w:p>
      <w:pPr>
        <w:ind w:left="764" w:right="1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2016 Amendment and Restatement Agreement</w:t>
      </w:r>
      <w:r>
        <w:rPr>
          <w:rFonts w:ascii="Arial" w:cs="Arial" w:eastAsia="Arial" w:hAnsi="Arial"/>
          <w:sz w:val="16"/>
          <w:szCs w:val="16"/>
          <w:color w:val="auto"/>
        </w:rPr>
        <w:t>” means the amendment and restatement agreement dated 23 November 2016 between, among others, the Borrower, the Original Guarantors, the Agent and the Common Security Agent (as Security Agent, as it was then known).</w:t>
      </w:r>
    </w:p>
    <w:p>
      <w:pPr>
        <w:spacing w:after="0" w:line="8" w:lineRule="exact"/>
        <w:rPr>
          <w:sz w:val="20"/>
          <w:szCs w:val="20"/>
          <w:color w:val="auto"/>
        </w:rPr>
      </w:pPr>
    </w:p>
    <w:p>
      <w:pPr>
        <w:ind w:left="764"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Amendment and Restatement Effective Date</w:t>
      </w:r>
      <w:r>
        <w:rPr>
          <w:rFonts w:ascii="Arial" w:cs="Arial" w:eastAsia="Arial" w:hAnsi="Arial"/>
          <w:sz w:val="18"/>
          <w:szCs w:val="18"/>
          <w:color w:val="auto"/>
        </w:rPr>
        <w:t>” means the “Effective Date” as defined in the 2016 Amendment and Restatement Agreement.</w:t>
      </w:r>
    </w:p>
    <w:p>
      <w:pPr>
        <w:spacing w:after="0" w:line="54" w:lineRule="exact"/>
        <w:rPr>
          <w:sz w:val="20"/>
          <w:szCs w:val="20"/>
          <w:color w:val="auto"/>
        </w:rPr>
      </w:pPr>
    </w:p>
    <w:p>
      <w:pPr>
        <w:ind w:left="764"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2021 Amendment and Restatement Agreement</w:t>
      </w:r>
      <w:r>
        <w:rPr>
          <w:rFonts w:ascii="Arial" w:cs="Arial" w:eastAsia="Arial" w:hAnsi="Arial"/>
          <w:sz w:val="18"/>
          <w:szCs w:val="18"/>
          <w:color w:val="auto"/>
        </w:rPr>
        <w:t>” means the amendment and restatement agreement dated 15 March 2021 between, among others, the Borrower, the Original Guarantors, the Agent and the Common Security Agent.</w:t>
      </w:r>
    </w:p>
    <w:p>
      <w:pPr>
        <w:spacing w:after="0" w:line="98" w:lineRule="exact"/>
        <w:rPr>
          <w:sz w:val="20"/>
          <w:szCs w:val="20"/>
          <w:color w:val="auto"/>
        </w:rPr>
      </w:pPr>
    </w:p>
    <w:p>
      <w:pPr>
        <w:jc w:val="both"/>
        <w:ind w:left="5524"/>
        <w:spacing w:after="0"/>
        <w:tabs>
          <w:tab w:leader="none" w:pos="8844"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1" w:right="439" w:bottom="1440" w:gutter="0" w:footer="0" w:header="0"/>
        </w:sectPr>
      </w:pPr>
    </w:p>
    <w:bookmarkStart w:id="617" w:name="page618"/>
    <w:bookmarkEnd w:id="617"/>
    <w:p>
      <w:pPr>
        <w:ind w:right="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2021 Amendment and Restatement Effective Date</w:t>
      </w:r>
      <w:r>
        <w:rPr>
          <w:rFonts w:ascii="Arial" w:cs="Arial" w:eastAsia="Arial" w:hAnsi="Arial"/>
          <w:sz w:val="18"/>
          <w:szCs w:val="18"/>
          <w:color w:val="auto"/>
        </w:rPr>
        <w:t>” means the “Effective Date” as defined in the 2021 Amendment and Restatement Agreement.</w:t>
      </w:r>
    </w:p>
    <w:p>
      <w:pPr>
        <w:spacing w:after="0" w:line="5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 Event</w:t>
      </w:r>
      <w:r>
        <w:rPr>
          <w:rFonts w:ascii="Arial" w:cs="Arial" w:eastAsia="Arial" w:hAnsi="Arial"/>
          <w:sz w:val="18"/>
          <w:szCs w:val="18"/>
          <w:color w:val="auto"/>
        </w:rPr>
        <w:t>” means an Event of Default in respect of which the Agent has taken any action pursuant to paragraphs (b) or (c) of Clause 24.19 (</w:t>
      </w:r>
      <w:r>
        <w:rPr>
          <w:rFonts w:ascii="Arial" w:cs="Arial" w:eastAsia="Arial" w:hAnsi="Arial"/>
          <w:sz w:val="18"/>
          <w:szCs w:val="18"/>
          <w:i w:val="1"/>
          <w:iCs w:val="1"/>
          <w:color w:val="auto"/>
        </w:rPr>
        <w:t>Acceleration</w:t>
      </w:r>
      <w:r>
        <w:rPr>
          <w:rFonts w:ascii="Arial" w:cs="Arial" w:eastAsia="Arial" w:hAnsi="Arial"/>
          <w:sz w:val="18"/>
          <w:szCs w:val="18"/>
          <w:color w:val="auto"/>
        </w:rPr>
        <w:t>) in respect of the full principal amount of each of the Utilisation(s) then outstanding in respect of the Revolving 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Bank</w:t>
      </w:r>
      <w:r>
        <w:rPr>
          <w:rFonts w:ascii="Arial" w:cs="Arial" w:eastAsia="Arial" w:hAnsi="Arial"/>
          <w:sz w:val="18"/>
          <w:szCs w:val="18"/>
          <w:color w:val="auto"/>
        </w:rPr>
        <w:t>” means:</w:t>
      </w:r>
    </w:p>
    <w:p>
      <w:pPr>
        <w:spacing w:after="0" w:line="135" w:lineRule="exact"/>
        <w:rPr>
          <w:sz w:val="20"/>
          <w:szCs w:val="20"/>
          <w:color w:val="auto"/>
        </w:rPr>
      </w:pPr>
    </w:p>
    <w:p>
      <w:pPr>
        <w:ind w:left="540" w:right="100" w:hanging="535"/>
        <w:spacing w:after="0" w:line="263" w:lineRule="auto"/>
        <w:tabs>
          <w:tab w:leader="none" w:pos="54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a bank or financial institution which has a rating for its long-term unsecured and non credit-enhanced debt obligations of A- or higher by Standard &amp; Poor’s or Fitch or A3 or higher by Moody’s or a comparable rating from an internationally recognised credit rating agency;</w:t>
      </w:r>
    </w:p>
    <w:p>
      <w:pPr>
        <w:spacing w:after="0" w:line="89" w:lineRule="exact"/>
        <w:rPr>
          <w:rFonts w:ascii="Arial" w:cs="Arial" w:eastAsia="Arial" w:hAnsi="Arial"/>
          <w:sz w:val="18"/>
          <w:szCs w:val="18"/>
          <w:color w:val="auto"/>
        </w:rPr>
      </w:pPr>
    </w:p>
    <w:p>
      <w:pPr>
        <w:jc w:val="both"/>
        <w:ind w:left="540" w:right="280" w:hanging="535"/>
        <w:spacing w:after="0" w:line="259" w:lineRule="auto"/>
        <w:tabs>
          <w:tab w:leader="none" w:pos="54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each of Bank of China Limited, Macau Branch, Banco Nacional Ultramarino, S.A., China Construction Bank (Macau) Corporation Limited, Banco Comercial Português, S.A., Macau Branch, Banco Comercial de Macau, S.A., Tai Fung Bank Limited, Wing Lung Bank Limited, Macau Branch, The Bank of East Asia Limited, Macau Branch, Bank of Communications Co., Ltd. Macau Branch, First Commercial Bank, Macau, Ta Chong Bank;</w:t>
      </w:r>
    </w:p>
    <w:p>
      <w:pPr>
        <w:spacing w:after="0" w:line="92" w:lineRule="exact"/>
        <w:rPr>
          <w:rFonts w:ascii="Arial" w:cs="Arial" w:eastAsia="Arial" w:hAnsi="Arial"/>
          <w:sz w:val="18"/>
          <w:szCs w:val="18"/>
          <w:color w:val="auto"/>
        </w:rPr>
      </w:pPr>
    </w:p>
    <w:p>
      <w:pPr>
        <w:ind w:left="540" w:hanging="535"/>
        <w:spacing w:after="0"/>
        <w:tabs>
          <w:tab w:leader="none" w:pos="54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any Finance Party or an Affiliate of any Finance Party; or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Agent.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Letter</w:t>
      </w:r>
      <w:r>
        <w:rPr>
          <w:rFonts w:ascii="Arial" w:cs="Arial" w:eastAsia="Arial" w:hAnsi="Arial"/>
          <w:sz w:val="18"/>
          <w:szCs w:val="18"/>
          <w:color w:val="auto"/>
        </w:rPr>
        <w:t>” means a document substantially in the form set out in Schedule 6 (</w:t>
      </w:r>
      <w:r>
        <w:rPr>
          <w:rFonts w:ascii="Arial" w:cs="Arial" w:eastAsia="Arial" w:hAnsi="Arial"/>
          <w:sz w:val="18"/>
          <w:szCs w:val="18"/>
          <w:i w:val="1"/>
          <w:iCs w:val="1"/>
          <w:color w:val="auto"/>
        </w:rPr>
        <w:t>Form of Accession Letter</w:t>
      </w:r>
      <w:r>
        <w:rPr>
          <w:rFonts w:ascii="Arial" w:cs="Arial" w:eastAsia="Arial" w:hAnsi="Arial"/>
          <w:sz w:val="18"/>
          <w:szCs w:val="18"/>
          <w:color w:val="auto"/>
        </w:rPr>
        <w:t>).</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 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Guarantor</w:t>
      </w:r>
      <w:r>
        <w:rPr>
          <w:rFonts w:ascii="Arial" w:cs="Arial" w:eastAsia="Arial" w:hAnsi="Arial"/>
          <w:sz w:val="17"/>
          <w:szCs w:val="17"/>
          <w:color w:val="auto"/>
        </w:rPr>
        <w:t>” means a company which becomes a Guarantor in accordance with Clause 27 (</w:t>
      </w:r>
      <w:r>
        <w:rPr>
          <w:rFonts w:ascii="Arial" w:cs="Arial" w:eastAsia="Arial" w:hAnsi="Arial"/>
          <w:sz w:val="17"/>
          <w:szCs w:val="17"/>
          <w:i w:val="1"/>
          <w:iCs w:val="1"/>
          <w:color w:val="auto"/>
        </w:rPr>
        <w:t>Changes to the Obligors</w:t>
      </w:r>
      <w:r>
        <w:rPr>
          <w:rFonts w:ascii="Arial" w:cs="Arial" w:eastAsia="Arial" w:hAnsi="Arial"/>
          <w:sz w:val="17"/>
          <w:szCs w:val="17"/>
          <w:color w:val="auto"/>
        </w:rPr>
        <w:t>).</w:t>
      </w:r>
    </w:p>
    <w:p>
      <w:pPr>
        <w:spacing w:after="0" w:line="129"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High Yield Note Documents</w:t>
      </w:r>
      <w:r>
        <w:rPr>
          <w:rFonts w:ascii="Arial" w:cs="Arial" w:eastAsia="Arial" w:hAnsi="Arial"/>
          <w:sz w:val="16"/>
          <w:szCs w:val="16"/>
          <w:color w:val="auto"/>
        </w:rPr>
        <w:t>” means any indenture recording Additional High Yield Notes and each other document or instrument which relates to any Additional High Yield Notes or, as the case may be, Additional High Yield Note Refinancing Indebtedness.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High Yield Note Refinancing</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High Yield Note Refinancing Indebtedness</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High Yield Notes</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any other person which, directly or indirectly, is in control of, is controlled by, or is under common control with, such person. For purposes of this definition, “</w:t>
      </w:r>
      <w:r>
        <w:rPr>
          <w:rFonts w:ascii="Arial" w:cs="Arial" w:eastAsia="Arial" w:hAnsi="Arial"/>
          <w:sz w:val="18"/>
          <w:szCs w:val="18"/>
          <w:b w:val="1"/>
          <w:bCs w:val="1"/>
          <w:color w:val="auto"/>
        </w:rPr>
        <w:t>control</w:t>
      </w:r>
      <w:r>
        <w:rPr>
          <w:rFonts w:ascii="Arial" w:cs="Arial" w:eastAsia="Arial" w:hAnsi="Arial"/>
          <w:sz w:val="18"/>
          <w:szCs w:val="18"/>
          <w:color w:val="auto"/>
        </w:rPr>
        <w:t>” means, in relation to a person, the power, directly or indirectly, to (a) vote 20 per cent. or more of the shares or other securities having ordinary voting power for the election of the board of directors (or persons performing similar functions) of such person or (b) direct or cause the direction of the management and policies of such person, whether by contract or otherwise.</w:t>
      </w:r>
    </w:p>
    <w:p>
      <w:pPr>
        <w:spacing w:after="0" w:line="7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xml:space="preserve">” means the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purpose of any Continuing Document (only) the reserved meaning (if any) given to this term in connection with that Continuing Document pursuant to paragraph (l) of Clause 1.2 (</w:t>
      </w:r>
      <w:r>
        <w:rPr>
          <w:rFonts w:ascii="Arial" w:cs="Arial" w:eastAsia="Arial" w:hAnsi="Arial"/>
          <w:sz w:val="18"/>
          <w:szCs w:val="18"/>
          <w:i w:val="1"/>
          <w:iCs w:val="1"/>
          <w:color w:val="auto"/>
        </w:rPr>
        <w:t>Construction</w:t>
      </w:r>
      <w:r>
        <w:rPr>
          <w:rFonts w:ascii="Arial" w:cs="Arial" w:eastAsia="Arial" w:hAnsi="Arial"/>
          <w:sz w:val="18"/>
          <w:szCs w:val="18"/>
          <w:color w:val="auto"/>
        </w:rPr>
        <w:t>) and the Intercreditor Agreement shall apply.</w:t>
      </w:r>
    </w:p>
    <w:p>
      <w:pPr>
        <w:spacing w:after="0" w:line="112" w:lineRule="exact"/>
        <w:rPr>
          <w:sz w:val="20"/>
          <w:szCs w:val="20"/>
          <w:color w:val="auto"/>
        </w:rPr>
      </w:pPr>
    </w:p>
    <w:p>
      <w:pPr>
        <w:jc w:val="both"/>
        <w:ind w:left="4760"/>
        <w:spacing w:after="0"/>
        <w:tabs>
          <w:tab w:leader="none" w:pos="80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0" w:right="439" w:bottom="1440" w:gutter="0" w:footer="0" w:header="0"/>
        </w:sectPr>
      </w:pPr>
    </w:p>
    <w:bookmarkStart w:id="618" w:name="page619"/>
    <w:bookmarkEnd w:id="618"/>
    <w:p>
      <w:pPr>
        <w:ind w:right="3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Agent’s Spot Rate of Exchange</w:t>
      </w:r>
      <w:r>
        <w:rPr>
          <w:rFonts w:ascii="Arial" w:cs="Arial" w:eastAsia="Arial" w:hAnsi="Arial"/>
          <w:sz w:val="18"/>
          <w:szCs w:val="18"/>
          <w:color w:val="auto"/>
        </w:rPr>
        <w:t>” means the Agent’s spot rate of exchange for the purchase of one currency with HK dollars in the Hong Kong foreign exchange market at or about 11:00 a.m. on a particular day.</w:t>
      </w:r>
    </w:p>
    <w:p>
      <w:pPr>
        <w:spacing w:after="0" w:line="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Land Concession</w:t>
      </w:r>
      <w:r>
        <w:rPr>
          <w:rFonts w:ascii="Arial" w:cs="Arial" w:eastAsia="Arial" w:hAnsi="Arial"/>
          <w:sz w:val="18"/>
          <w:szCs w:val="18"/>
          <w:color w:val="auto"/>
        </w:rPr>
        <w:t>” means the land concession of a plot of land with an area of 130,789 sq. meters located in the reclaimed land zone between Taipa and Coloane Island, designated as Lotes G300, G310 and G400 registered with the Macau Real Estate Registry under no. 23059, granted by way of lease by the Macau SAR to Propco pursuant to Dispatch no. 100/2001 of the Secretary for Transport and Public Works dated 9 October 2001 and published in the Macau Official Gazette no. 42, II Series on 17 October 2001, as amended in accordance with Dispatch no. 31/2012 of the Secretary for Public Works dated 19 July 2012 and published in the Macau Official Gazette No. 30. II Series on 25 July 2012, as further amended in accordance with Dispatch no. 92/2015 of the Secretary for Public Works dated 10 September 2015 and published in the Macau Official Gazette no. 38, II Series on 23 September 2015, and as may be further amended and supplemented from time to time).</w:t>
      </w:r>
    </w:p>
    <w:p>
      <w:pPr>
        <w:spacing w:after="0" w:line="84"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Commencement Date</w:t>
      </w:r>
      <w:r>
        <w:rPr>
          <w:rFonts w:ascii="Arial" w:cs="Arial" w:eastAsia="Arial" w:hAnsi="Arial"/>
          <w:sz w:val="18"/>
          <w:szCs w:val="18"/>
          <w:color w:val="auto"/>
        </w:rPr>
        <w:t>” means, in relation to an Ancillary Facility, the date on which that Ancillary Facility is first made available, which date shall be a Business Day within the Availability Period for the Revolving Facility.</w:t>
      </w:r>
    </w:p>
    <w:p>
      <w:pPr>
        <w:spacing w:after="0" w:line="54"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Commitment</w:t>
      </w:r>
      <w:r>
        <w:rPr>
          <w:rFonts w:ascii="Arial" w:cs="Arial" w:eastAsia="Arial" w:hAnsi="Arial"/>
          <w:sz w:val="18"/>
          <w:szCs w:val="18"/>
          <w:color w:val="auto"/>
        </w:rPr>
        <w:t>” means, in relation to an Ancillary Lender and an Ancillary Facility, the maximum amount which that Ancillary Lender has agreed (whether or not subject to satisfaction of conditions precedent) to make available from time to time under an Ancillary Facility and which has been authorised as such under Clause 6 (</w:t>
      </w:r>
      <w:r>
        <w:rPr>
          <w:rFonts w:ascii="Arial" w:cs="Arial" w:eastAsia="Arial" w:hAnsi="Arial"/>
          <w:sz w:val="18"/>
          <w:szCs w:val="18"/>
          <w:i w:val="1"/>
          <w:iCs w:val="1"/>
          <w:color w:val="auto"/>
        </w:rPr>
        <w:t>Ancillary Facilities</w:t>
      </w:r>
      <w:r>
        <w:rPr>
          <w:rFonts w:ascii="Arial" w:cs="Arial" w:eastAsia="Arial" w:hAnsi="Arial"/>
          <w:sz w:val="18"/>
          <w:szCs w:val="18"/>
          <w:color w:val="auto"/>
        </w:rPr>
        <w:t>), to the extent that amount is not cancelled or reduced under this Agreement or the Ancillary Documents relating to that Ancillary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Document</w:t>
      </w:r>
      <w:r>
        <w:rPr>
          <w:rFonts w:ascii="Arial" w:cs="Arial" w:eastAsia="Arial" w:hAnsi="Arial"/>
          <w:sz w:val="18"/>
          <w:szCs w:val="18"/>
          <w:color w:val="auto"/>
        </w:rPr>
        <w:t>” means each document relating to or evidencing the terms of an Ancillary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Ancillary Facility</w:t>
      </w:r>
      <w:r>
        <w:rPr>
          <w:rFonts w:ascii="Arial" w:cs="Arial" w:eastAsia="Arial" w:hAnsi="Arial"/>
          <w:sz w:val="17"/>
          <w:szCs w:val="17"/>
          <w:color w:val="auto"/>
        </w:rPr>
        <w:t>” means any ancillary facility made available by an Ancillary Lender in accordance with Clause 6 (</w:t>
      </w:r>
      <w:r>
        <w:rPr>
          <w:rFonts w:ascii="Arial" w:cs="Arial" w:eastAsia="Arial" w:hAnsi="Arial"/>
          <w:sz w:val="17"/>
          <w:szCs w:val="17"/>
          <w:i w:val="1"/>
          <w:iCs w:val="1"/>
          <w:color w:val="auto"/>
        </w:rPr>
        <w:t>Ancillary Facilities</w:t>
      </w:r>
      <w:r>
        <w:rPr>
          <w:rFonts w:ascii="Arial" w:cs="Arial" w:eastAsia="Arial" w:hAnsi="Arial"/>
          <w:sz w:val="17"/>
          <w:szCs w:val="17"/>
          <w:color w:val="auto"/>
        </w:rPr>
        <w:t>).</w:t>
      </w:r>
    </w:p>
    <w:p>
      <w:pPr>
        <w:spacing w:after="0" w:line="12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Lender</w:t>
      </w:r>
      <w:r>
        <w:rPr>
          <w:rFonts w:ascii="Arial" w:cs="Arial" w:eastAsia="Arial" w:hAnsi="Arial"/>
          <w:sz w:val="18"/>
          <w:szCs w:val="18"/>
          <w:color w:val="auto"/>
        </w:rPr>
        <w:t>” means each Lender (or Affiliate of a Lender) which makes available an Ancillary Facility in accordance with Clause 6 (</w:t>
      </w:r>
      <w:r>
        <w:rPr>
          <w:rFonts w:ascii="Arial" w:cs="Arial" w:eastAsia="Arial" w:hAnsi="Arial"/>
          <w:sz w:val="18"/>
          <w:szCs w:val="18"/>
          <w:i w:val="1"/>
          <w:iCs w:val="1"/>
          <w:color w:val="auto"/>
        </w:rPr>
        <w:t>Ancillary Facilities</w:t>
      </w:r>
      <w:r>
        <w:rPr>
          <w:rFonts w:ascii="Arial" w:cs="Arial" w:eastAsia="Arial" w:hAnsi="Arial"/>
          <w:sz w:val="18"/>
          <w:szCs w:val="18"/>
          <w:color w:val="auto"/>
        </w:rPr>
        <w:t>).</w:t>
      </w:r>
    </w:p>
    <w:p>
      <w:pPr>
        <w:spacing w:after="0" w:line="54" w:lineRule="exact"/>
        <w:rPr>
          <w:sz w:val="20"/>
          <w:szCs w:val="20"/>
          <w:color w:val="auto"/>
        </w:rPr>
      </w:pPr>
    </w:p>
    <w:p>
      <w:pPr>
        <w:jc w:val="both"/>
        <w:ind w:right="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Ancillary Outstandings</w:t>
      </w:r>
      <w:r>
        <w:rPr>
          <w:rFonts w:ascii="Arial" w:cs="Arial" w:eastAsia="Arial" w:hAnsi="Arial"/>
          <w:sz w:val="16"/>
          <w:szCs w:val="16"/>
          <w:color w:val="auto"/>
        </w:rPr>
        <w:t>” means, at any time, in relation to an Ancillary Lender and an Ancillary Facility then in force the aggregate of the equivalents (as calculated by that Ancillary Lender) in the Base Currency of the following amounts outstanding under that Ancillary Facility:</w:t>
      </w:r>
    </w:p>
    <w:p>
      <w:pPr>
        <w:spacing w:after="0" w:line="25" w:lineRule="exact"/>
        <w:rPr>
          <w:sz w:val="20"/>
          <w:szCs w:val="20"/>
          <w:color w:val="auto"/>
        </w:rPr>
      </w:pPr>
    </w:p>
    <w:p>
      <w:pPr>
        <w:ind w:left="540" w:hanging="535"/>
        <w:spacing w:after="0"/>
        <w:tabs>
          <w:tab w:leader="none" w:pos="540" w:val="left"/>
        </w:tabs>
        <w:numPr>
          <w:ilvl w:val="0"/>
          <w:numId w:val="805"/>
        </w:numPr>
        <w:rPr>
          <w:rFonts w:ascii="Arial" w:cs="Arial" w:eastAsia="Arial" w:hAnsi="Arial"/>
          <w:sz w:val="17"/>
          <w:szCs w:val="17"/>
          <w:color w:val="auto"/>
        </w:rPr>
      </w:pPr>
      <w:r>
        <w:rPr>
          <w:rFonts w:ascii="Arial" w:cs="Arial" w:eastAsia="Arial" w:hAnsi="Arial"/>
          <w:sz w:val="17"/>
          <w:szCs w:val="17"/>
          <w:color w:val="auto"/>
        </w:rPr>
        <w:t>the principal amount under each overdraft facility and on-demand short term loan facility (net of any Available Credit Balance);</w:t>
      </w:r>
    </w:p>
    <w:p>
      <w:pPr>
        <w:spacing w:after="0" w:line="142" w:lineRule="exact"/>
        <w:rPr>
          <w:rFonts w:ascii="Arial" w:cs="Arial" w:eastAsia="Arial" w:hAnsi="Arial"/>
          <w:sz w:val="17"/>
          <w:szCs w:val="17"/>
          <w:color w:val="auto"/>
        </w:rPr>
      </w:pPr>
    </w:p>
    <w:p>
      <w:pPr>
        <w:ind w:left="540" w:hanging="535"/>
        <w:spacing w:after="0"/>
        <w:tabs>
          <w:tab w:leader="none" w:pos="54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the face amount of each guarantee, bond and letter of credit under that Ancillary Facility; and</w:t>
      </w:r>
    </w:p>
    <w:p>
      <w:pPr>
        <w:spacing w:after="0" w:line="130" w:lineRule="exact"/>
        <w:rPr>
          <w:rFonts w:ascii="Arial" w:cs="Arial" w:eastAsia="Arial" w:hAnsi="Arial"/>
          <w:sz w:val="18"/>
          <w:szCs w:val="18"/>
          <w:color w:val="auto"/>
        </w:rPr>
      </w:pPr>
    </w:p>
    <w:p>
      <w:pPr>
        <w:ind w:left="540" w:right="340" w:hanging="535"/>
        <w:spacing w:after="0" w:line="277" w:lineRule="auto"/>
        <w:tabs>
          <w:tab w:leader="none" w:pos="54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the amount fairly representing the aggregate exposure (excluding interest and similar charges) of that Ancillary Lender under each other type of accommodation provided under that Ancillary Facility,</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each case as determined by such Ancillary Lender, acting reasonably in accordance with its normal banking practice and in accordance with the relevant Ancillary Document.</w:t>
      </w:r>
    </w:p>
    <w:p>
      <w:pPr>
        <w:spacing w:after="0" w:line="103" w:lineRule="exact"/>
        <w:rPr>
          <w:sz w:val="20"/>
          <w:szCs w:val="20"/>
          <w:color w:val="auto"/>
        </w:rPr>
      </w:pPr>
    </w:p>
    <w:p>
      <w:pPr>
        <w:jc w:val="both"/>
        <w:ind w:left="4760"/>
        <w:spacing w:after="0"/>
        <w:tabs>
          <w:tab w:leader="none" w:pos="80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1" w:right="439" w:bottom="1440" w:gutter="0" w:footer="0" w:header="0"/>
        </w:sectPr>
      </w:pPr>
    </w:p>
    <w:bookmarkStart w:id="619" w:name="page620"/>
    <w:bookmarkEnd w:id="6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Anti-Terrorism Law</w:t>
      </w:r>
      <w:r>
        <w:rPr>
          <w:rFonts w:ascii="Arial" w:cs="Arial" w:eastAsia="Arial" w:hAnsi="Arial"/>
          <w:sz w:val="18"/>
          <w:szCs w:val="18"/>
          <w:color w:val="auto"/>
        </w:rPr>
        <w:t>” means each of:</w:t>
      </w:r>
    </w:p>
    <w:p>
      <w:pPr>
        <w:spacing w:after="0" w:line="135" w:lineRule="exact"/>
        <w:rPr>
          <w:sz w:val="20"/>
          <w:szCs w:val="20"/>
          <w:color w:val="auto"/>
        </w:rPr>
      </w:pPr>
    </w:p>
    <w:p>
      <w:pPr>
        <w:ind w:left="540" w:hanging="535"/>
        <w:spacing w:after="0"/>
        <w:tabs>
          <w:tab w:leader="none" w:pos="54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the Executive Order;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the USA Patriot Act;</w:t>
      </w:r>
    </w:p>
    <w:p>
      <w:pPr>
        <w:spacing w:after="0" w:line="130" w:lineRule="exact"/>
        <w:rPr>
          <w:rFonts w:ascii="Arial" w:cs="Arial" w:eastAsia="Arial" w:hAnsi="Arial"/>
          <w:sz w:val="18"/>
          <w:szCs w:val="18"/>
          <w:color w:val="auto"/>
        </w:rPr>
      </w:pPr>
    </w:p>
    <w:p>
      <w:pPr>
        <w:ind w:left="540" w:right="420" w:hanging="535"/>
        <w:spacing w:after="0" w:line="277" w:lineRule="auto"/>
        <w:tabs>
          <w:tab w:leader="none" w:pos="54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the Money Laundering Control Act of 1986, Public Law 99-570 and any related or similar rules, regulations or guidelines issued, administered or enforced by any governmental agency;</w:t>
      </w:r>
    </w:p>
    <w:p>
      <w:pPr>
        <w:spacing w:after="0" w:line="75" w:lineRule="exact"/>
        <w:rPr>
          <w:rFonts w:ascii="Arial" w:cs="Arial" w:eastAsia="Arial" w:hAnsi="Arial"/>
          <w:sz w:val="18"/>
          <w:szCs w:val="18"/>
          <w:color w:val="auto"/>
        </w:rPr>
      </w:pPr>
    </w:p>
    <w:p>
      <w:pPr>
        <w:ind w:left="540" w:right="160" w:hanging="535"/>
        <w:spacing w:after="0" w:line="277" w:lineRule="auto"/>
        <w:tabs>
          <w:tab w:leader="none" w:pos="54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the International Emergency Economic Powers Act, 50 U.S.C. §§ 1701 et seq, the Trading with the Enemy Act, 50 U.S.C. App. §§ 1 et seq, any executive order or regulation promulgated thereunder and administered by OFAC;</w:t>
      </w:r>
    </w:p>
    <w:p>
      <w:pPr>
        <w:spacing w:after="0" w:line="75" w:lineRule="exact"/>
        <w:rPr>
          <w:rFonts w:ascii="Arial" w:cs="Arial" w:eastAsia="Arial" w:hAnsi="Arial"/>
          <w:sz w:val="18"/>
          <w:szCs w:val="18"/>
          <w:color w:val="auto"/>
        </w:rPr>
      </w:pPr>
    </w:p>
    <w:p>
      <w:pPr>
        <w:ind w:left="540" w:hanging="535"/>
        <w:spacing w:after="0"/>
        <w:tabs>
          <w:tab w:leader="none" w:pos="54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the U.S. Foreign Corrupt Practices Act of 1977;</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the Iran Sanctions Act of 1996 and the Comprehensive Iran Sanctions, Accountability and Divestment Act of 2010; and</w:t>
      </w:r>
    </w:p>
    <w:p>
      <w:pPr>
        <w:spacing w:after="0" w:line="130" w:lineRule="exact"/>
        <w:rPr>
          <w:rFonts w:ascii="Arial" w:cs="Arial" w:eastAsia="Arial" w:hAnsi="Arial"/>
          <w:sz w:val="18"/>
          <w:szCs w:val="18"/>
          <w:color w:val="auto"/>
        </w:rPr>
      </w:pPr>
    </w:p>
    <w:p>
      <w:pPr>
        <w:ind w:left="540" w:right="140" w:hanging="535"/>
        <w:spacing w:after="0" w:line="301" w:lineRule="auto"/>
        <w:tabs>
          <w:tab w:leader="none" w:pos="540" w:val="left"/>
        </w:tabs>
        <w:numPr>
          <w:ilvl w:val="0"/>
          <w:numId w:val="806"/>
        </w:numPr>
        <w:rPr>
          <w:rFonts w:ascii="Arial" w:cs="Arial" w:eastAsia="Arial" w:hAnsi="Arial"/>
          <w:sz w:val="16"/>
          <w:szCs w:val="16"/>
          <w:color w:val="auto"/>
        </w:rPr>
      </w:pPr>
      <w:r>
        <w:rPr>
          <w:rFonts w:ascii="Arial" w:cs="Arial" w:eastAsia="Arial" w:hAnsi="Arial"/>
          <w:sz w:val="16"/>
          <w:szCs w:val="16"/>
          <w:color w:val="auto"/>
        </w:rPr>
        <w:t>any similar sanctions, restrictions or embargoes enacted or imposed by Australian Department of Foreign Affairs and Trade, Reserve Bank of Australia, the United Nations, the European Union, the State Secretariat for Economic Affairs of Switzerland, OFAC, HM Treasury of the United Kingdom, the Hong Kong Monetary Authority, the Monetary Authority of Singapore, the Macau Monetary Authority or any other body notified in writing by the Agent (acting on behalf of any Lender) to the Borrower from time to time.</w:t>
      </w:r>
    </w:p>
    <w:p>
      <w:pPr>
        <w:spacing w:after="0" w:line="45"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 Agreement and Lender Accession Undertaking</w:t>
      </w:r>
      <w:r>
        <w:rPr>
          <w:rFonts w:ascii="Arial" w:cs="Arial" w:eastAsia="Arial" w:hAnsi="Arial"/>
          <w:sz w:val="16"/>
          <w:szCs w:val="16"/>
          <w:color w:val="auto"/>
        </w:rPr>
        <w:t>” means an agreement substantially in the form set out in Schedule 5 (</w:t>
      </w:r>
      <w:r>
        <w:rPr>
          <w:rFonts w:ascii="Arial" w:cs="Arial" w:eastAsia="Arial" w:hAnsi="Arial"/>
          <w:sz w:val="16"/>
          <w:szCs w:val="16"/>
          <w:i w:val="1"/>
          <w:iCs w:val="1"/>
          <w:color w:val="auto"/>
        </w:rPr>
        <w:t>Form</w:t>
      </w:r>
      <w:r>
        <w:rPr>
          <w:rFonts w:ascii="Arial" w:cs="Arial" w:eastAsia="Arial" w:hAnsi="Arial"/>
          <w:sz w:val="16"/>
          <w:szCs w:val="16"/>
          <w:color w:val="auto"/>
        </w:rPr>
        <w:t xml:space="preserve"> </w:t>
      </w:r>
      <w:r>
        <w:rPr>
          <w:rFonts w:ascii="Arial" w:cs="Arial" w:eastAsia="Arial" w:hAnsi="Arial"/>
          <w:sz w:val="16"/>
          <w:szCs w:val="16"/>
          <w:i w:val="1"/>
          <w:iCs w:val="1"/>
          <w:color w:val="auto"/>
        </w:rPr>
        <w:t>of Assignment Agreement and Lender Accession Undertaking</w:t>
      </w:r>
      <w:r>
        <w:rPr>
          <w:rFonts w:ascii="Arial" w:cs="Arial" w:eastAsia="Arial" w:hAnsi="Arial"/>
          <w:sz w:val="16"/>
          <w:szCs w:val="16"/>
          <w:color w:val="auto"/>
        </w:rPr>
        <w:t>) or any other form agreed between the relevant assignor and assignee.</w:t>
      </w:r>
    </w:p>
    <w:p>
      <w:pPr>
        <w:spacing w:after="0" w:line="8"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Auditors</w:t>
      </w:r>
      <w:r>
        <w:rPr>
          <w:rFonts w:ascii="Arial" w:cs="Arial" w:eastAsia="Arial" w:hAnsi="Arial"/>
          <w:sz w:val="16"/>
          <w:szCs w:val="16"/>
          <w:color w:val="auto"/>
        </w:rPr>
        <w:t>” means (a) any one of PricewaterhouseCoopers, Ernst &amp; Young, KPMG and Deloitte &amp; Touche, (b) any Affiliate of any auditor referred to in (a) or any entity resulting from amalgamation of any auditor referred to in (a) or (c) any firm of independent public accountants with at established national repute, in each case that has the necessary skills and experience to audit a group of companies such as the Group.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in relation to the Revolving Facility, the period from and including 1 January 2017 up to and including the date falling one Month prior to the Final Repayment Date for the Revolving Facility. The Availability Period in respect of the commitments originally drawn on under this Agreement to fund the advance establishing the Facility A Loan concluded prior to the 2016 Amendment and Restatement Effective Date.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in relation to the Revolving Facility, a Lender’s Commitment under that Facility minus:</w:t>
      </w:r>
    </w:p>
    <w:p>
      <w:pPr>
        <w:spacing w:after="0" w:line="135" w:lineRule="exact"/>
        <w:rPr>
          <w:sz w:val="20"/>
          <w:szCs w:val="20"/>
          <w:color w:val="auto"/>
        </w:rPr>
      </w:pPr>
    </w:p>
    <w:p>
      <w:pPr>
        <w:ind w:left="540" w:right="220" w:hanging="535"/>
        <w:spacing w:after="0" w:line="277" w:lineRule="auto"/>
        <w:tabs>
          <w:tab w:leader="none" w:pos="540" w:val="left"/>
        </w:tabs>
        <w:numPr>
          <w:ilvl w:val="0"/>
          <w:numId w:val="807"/>
        </w:numPr>
        <w:rPr>
          <w:rFonts w:ascii="Arial" w:cs="Arial" w:eastAsia="Arial" w:hAnsi="Arial"/>
          <w:sz w:val="18"/>
          <w:szCs w:val="18"/>
          <w:color w:val="auto"/>
        </w:rPr>
      </w:pPr>
      <w:r>
        <w:rPr>
          <w:rFonts w:ascii="Arial" w:cs="Arial" w:eastAsia="Arial" w:hAnsi="Arial"/>
          <w:sz w:val="18"/>
          <w:szCs w:val="18"/>
          <w:color w:val="auto"/>
        </w:rPr>
        <w:t>the amount of its participation in any outstanding Utilisations under that Facility and the aggregate amount of its (and its Affiliate’s) Ancillary Commitments; and</w:t>
      </w:r>
    </w:p>
    <w:p>
      <w:pPr>
        <w:spacing w:after="0" w:line="75" w:lineRule="exact"/>
        <w:rPr>
          <w:rFonts w:ascii="Arial" w:cs="Arial" w:eastAsia="Arial" w:hAnsi="Arial"/>
          <w:sz w:val="18"/>
          <w:szCs w:val="18"/>
          <w:color w:val="auto"/>
        </w:rPr>
      </w:pPr>
    </w:p>
    <w:p>
      <w:pPr>
        <w:ind w:left="540" w:right="120" w:hanging="535"/>
        <w:spacing w:after="0" w:line="286" w:lineRule="auto"/>
        <w:tabs>
          <w:tab w:leader="none" w:pos="540" w:val="left"/>
        </w:tabs>
        <w:numPr>
          <w:ilvl w:val="0"/>
          <w:numId w:val="807"/>
        </w:numPr>
        <w:rPr>
          <w:rFonts w:ascii="Arial" w:cs="Arial" w:eastAsia="Arial" w:hAnsi="Arial"/>
          <w:sz w:val="17"/>
          <w:szCs w:val="17"/>
          <w:color w:val="auto"/>
        </w:rPr>
      </w:pPr>
      <w:r>
        <w:rPr>
          <w:rFonts w:ascii="Arial" w:cs="Arial" w:eastAsia="Arial" w:hAnsi="Arial"/>
          <w:sz w:val="17"/>
          <w:szCs w:val="17"/>
          <w:color w:val="auto"/>
        </w:rPr>
        <w:t>in relation to any proposed Utilisation, the amount of its participation in any other Utilisations that are due to be made under that Facility on or before the proposed Utilisation Date and the amount of its (and its Affiliate’s) Ancillary Commitment in relation to any new Ancillary Facility that is due to be made available on or before the proposed Utilisation Date.</w:t>
      </w:r>
    </w:p>
    <w:p>
      <w:pPr>
        <w:spacing w:after="0" w:line="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purposes of calculating a Lender’s Available Commitment in relation to any proposed Utilisation under the Revolving Facility, that Lender’s participation in any Revolving Facility Loans that are due to be repaid or prepaid on or before the proposed Utilisation Date and that Lender’s (and its Affiliate’s) Ancillary Commitments to the extent that they are due to be reduced or cancelled on or before the proposed Utilisation Date shall not be deducted from a Lender’s Commitment under that Facility.</w:t>
      </w:r>
    </w:p>
    <w:p>
      <w:pPr>
        <w:spacing w:after="0" w:line="104" w:lineRule="exact"/>
        <w:rPr>
          <w:sz w:val="20"/>
          <w:szCs w:val="20"/>
          <w:color w:val="auto"/>
        </w:rPr>
      </w:pPr>
    </w:p>
    <w:p>
      <w:pPr>
        <w:jc w:val="both"/>
        <w:ind w:left="4760"/>
        <w:spacing w:after="0"/>
        <w:tabs>
          <w:tab w:leader="none" w:pos="80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0" w:right="439" w:bottom="1440" w:gutter="0" w:footer="0" w:header="0"/>
        </w:sectPr>
      </w:pPr>
    </w:p>
    <w:bookmarkStart w:id="620" w:name="page621"/>
    <w:bookmarkEnd w:id="620"/>
    <w:p>
      <w:pPr>
        <w:ind w:right="3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Available Credit Balance</w:t>
      </w:r>
      <w:r>
        <w:rPr>
          <w:rFonts w:ascii="Arial" w:cs="Arial" w:eastAsia="Arial" w:hAnsi="Arial"/>
          <w:sz w:val="18"/>
          <w:szCs w:val="18"/>
          <w:color w:val="auto"/>
        </w:rPr>
        <w:t>” means, in relation to an Ancillary Facility, credit balances on any account of the Borrower with the Ancillary Lender making available that Ancillary Facility to the extent that those credit balances are freely available to be set off by that Ancillary Lender against liabilities owed to it by the Borrower.</w:t>
      </w:r>
    </w:p>
    <w:p>
      <w:pPr>
        <w:spacing w:after="0" w:line="6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in relation to a Facility, the aggregate for the time being of each Lender’s Available Commitment in respect of that Facility. The Available Facility in respect of Facility A is nil.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Currency</w:t>
      </w:r>
      <w:r>
        <w:rPr>
          <w:rFonts w:ascii="Arial" w:cs="Arial" w:eastAsia="Arial" w:hAnsi="Arial"/>
          <w:sz w:val="18"/>
          <w:szCs w:val="18"/>
          <w:color w:val="auto"/>
        </w:rPr>
        <w:t>” means Hong Kong dollars.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Bondco</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Bondco Loan</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Bondco Loan Agreement</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135" w:lineRule="exact"/>
        <w:rPr>
          <w:sz w:val="20"/>
          <w:szCs w:val="20"/>
          <w:color w:val="auto"/>
        </w:rPr>
      </w:pPr>
    </w:p>
    <w:p>
      <w:pPr>
        <w:ind w:left="540" w:right="180" w:hanging="535"/>
        <w:spacing w:after="0" w:line="263" w:lineRule="auto"/>
        <w:tabs>
          <w:tab w:leader="none" w:pos="54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the interest excluding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exceeds:</w:t>
      </w:r>
    </w:p>
    <w:p>
      <w:pPr>
        <w:spacing w:after="0" w:line="131" w:lineRule="exact"/>
        <w:rPr>
          <w:sz w:val="20"/>
          <w:szCs w:val="20"/>
          <w:color w:val="auto"/>
        </w:rPr>
      </w:pPr>
    </w:p>
    <w:p>
      <w:pPr>
        <w:ind w:left="540" w:right="40" w:hanging="535"/>
        <w:spacing w:after="0" w:line="263" w:lineRule="auto"/>
        <w:tabs>
          <w:tab w:leader="none" w:pos="54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Relevant Interbank Market for a period starting on the Business Day following receipt or recovery and ending on the last day of the current Interest Period.</w:t>
      </w:r>
    </w:p>
    <w:p>
      <w:pPr>
        <w:spacing w:after="0" w:line="7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the Macau SAR, the Hong Kong SAR and London.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Cancellation Notice</w:t>
      </w:r>
      <w:r>
        <w:rPr>
          <w:rFonts w:ascii="Arial" w:cs="Arial" w:eastAsia="Arial" w:hAnsi="Arial"/>
          <w:sz w:val="18"/>
          <w:szCs w:val="18"/>
          <w:color w:val="auto"/>
        </w:rPr>
        <w:t>” has the meaning given to that term in paragraph (b) of Clause 37.5 (</w:t>
      </w:r>
      <w:r>
        <w:rPr>
          <w:rFonts w:ascii="Arial" w:cs="Arial" w:eastAsia="Arial" w:hAnsi="Arial"/>
          <w:sz w:val="18"/>
          <w:szCs w:val="18"/>
          <w:i w:val="1"/>
          <w:iCs w:val="1"/>
          <w:color w:val="auto"/>
        </w:rPr>
        <w:t>Replaceable Lenders</w:t>
      </w:r>
      <w:r>
        <w:rPr>
          <w:rFonts w:ascii="Arial" w:cs="Arial" w:eastAsia="Arial" w:hAnsi="Arial"/>
          <w:sz w:val="18"/>
          <w:szCs w:val="18"/>
          <w:color w:val="auto"/>
        </w:rPr>
        <w:t>).</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means, at any time, cash on hand or cash at bank credited to an account in the name of an Obligor with an Acceptable Bank and in each case to which an Obligor is alone (or with one or more other Obligors) beneficially entitled and for so long as:</w:t>
      </w:r>
    </w:p>
    <w:p>
      <w:pPr>
        <w:spacing w:after="0" w:line="49" w:lineRule="exact"/>
        <w:rPr>
          <w:sz w:val="20"/>
          <w:szCs w:val="20"/>
          <w:color w:val="auto"/>
        </w:rPr>
      </w:pPr>
    </w:p>
    <w:p>
      <w:pPr>
        <w:ind w:left="540" w:hanging="535"/>
        <w:spacing w:after="0"/>
        <w:tabs>
          <w:tab w:leader="none" w:pos="54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that cash is repayable on demand;</w:t>
      </w:r>
    </w:p>
    <w:p>
      <w:pPr>
        <w:spacing w:after="0" w:line="130" w:lineRule="exact"/>
        <w:rPr>
          <w:rFonts w:ascii="Arial" w:cs="Arial" w:eastAsia="Arial" w:hAnsi="Arial"/>
          <w:sz w:val="18"/>
          <w:szCs w:val="18"/>
          <w:color w:val="auto"/>
        </w:rPr>
      </w:pPr>
    </w:p>
    <w:p>
      <w:pPr>
        <w:ind w:left="540" w:right="120" w:hanging="535"/>
        <w:spacing w:after="0" w:line="277" w:lineRule="auto"/>
        <w:tabs>
          <w:tab w:leader="none" w:pos="54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repayment of that cash is not contingent on the prior discharge of any other indebtedness of any member of the Group or of any other person whatsoever or on the satisfaction of any other condition;</w:t>
      </w:r>
    </w:p>
    <w:p>
      <w:pPr>
        <w:spacing w:after="0" w:line="75" w:lineRule="exact"/>
        <w:rPr>
          <w:rFonts w:ascii="Arial" w:cs="Arial" w:eastAsia="Arial" w:hAnsi="Arial"/>
          <w:sz w:val="18"/>
          <w:szCs w:val="18"/>
          <w:color w:val="auto"/>
        </w:rPr>
      </w:pPr>
    </w:p>
    <w:p>
      <w:pPr>
        <w:ind w:left="540" w:right="100" w:hanging="535"/>
        <w:spacing w:after="0" w:line="277" w:lineRule="auto"/>
        <w:tabs>
          <w:tab w:leader="none" w:pos="54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there is no Security over that cash except Transaction Security falling within paragraphs (8), (9), (10), (14)(i), (14)(ii), (21), (23), (26) and (27) of the definition of “Permitted Liens” in Schedule 11 (</w:t>
      </w:r>
      <w:r>
        <w:rPr>
          <w:rFonts w:ascii="Arial" w:cs="Arial" w:eastAsia="Arial" w:hAnsi="Arial"/>
          <w:sz w:val="18"/>
          <w:szCs w:val="18"/>
          <w:i w:val="1"/>
          <w:iCs w:val="1"/>
          <w:color w:val="auto"/>
        </w:rPr>
        <w:t>Definitions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540" w:hanging="535"/>
        <w:spacing w:after="0"/>
        <w:tabs>
          <w:tab w:leader="none" w:pos="540" w:val="left"/>
        </w:tabs>
        <w:numPr>
          <w:ilvl w:val="0"/>
          <w:numId w:val="810"/>
        </w:numPr>
        <w:rPr>
          <w:rFonts w:ascii="Arial" w:cs="Arial" w:eastAsia="Arial" w:hAnsi="Arial"/>
          <w:sz w:val="17"/>
          <w:szCs w:val="17"/>
          <w:color w:val="auto"/>
        </w:rPr>
      </w:pPr>
      <w:r>
        <w:rPr>
          <w:rFonts w:ascii="Arial" w:cs="Arial" w:eastAsia="Arial" w:hAnsi="Arial"/>
          <w:sz w:val="17"/>
          <w:szCs w:val="17"/>
          <w:color w:val="auto"/>
        </w:rPr>
        <w:t>subject to (a) above, such cash is freely and immediately available to be applied in repayment or prepayment of the Facilities.</w:t>
      </w:r>
    </w:p>
    <w:p>
      <w:pPr>
        <w:spacing w:after="0" w:line="169" w:lineRule="exact"/>
        <w:rPr>
          <w:sz w:val="20"/>
          <w:szCs w:val="20"/>
          <w:color w:val="auto"/>
        </w:rPr>
      </w:pPr>
    </w:p>
    <w:p>
      <w:pPr>
        <w:jc w:val="both"/>
        <w:ind w:left="4760"/>
        <w:spacing w:after="0"/>
        <w:tabs>
          <w:tab w:leader="none" w:pos="80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1" w:right="439" w:bottom="1440" w:gutter="0" w:footer="0" w:header="0"/>
        </w:sectPr>
      </w:pPr>
    </w:p>
    <w:bookmarkStart w:id="621" w:name="page622"/>
    <w:bookmarkEnd w:id="6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Cash Equivalent Investments</w:t>
      </w:r>
      <w:r>
        <w:rPr>
          <w:rFonts w:ascii="Arial" w:cs="Arial" w:eastAsia="Arial" w:hAnsi="Arial"/>
          <w:sz w:val="18"/>
          <w:szCs w:val="18"/>
          <w:color w:val="auto"/>
        </w:rPr>
        <w:t>” means at any time:</w:t>
      </w:r>
    </w:p>
    <w:p>
      <w:pPr>
        <w:spacing w:after="0" w:line="135" w:lineRule="exact"/>
        <w:rPr>
          <w:sz w:val="20"/>
          <w:szCs w:val="20"/>
          <w:color w:val="auto"/>
        </w:rPr>
      </w:pPr>
    </w:p>
    <w:p>
      <w:pPr>
        <w:ind w:left="540" w:hanging="535"/>
        <w:spacing w:after="0"/>
        <w:tabs>
          <w:tab w:leader="none" w:pos="54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certificates of deposit maturing within one year after the relevant date of calculation and issued by an Acceptable Bank;</w:t>
      </w:r>
    </w:p>
    <w:p>
      <w:pPr>
        <w:spacing w:after="0" w:line="130" w:lineRule="exact"/>
        <w:rPr>
          <w:rFonts w:ascii="Arial" w:cs="Arial" w:eastAsia="Arial" w:hAnsi="Arial"/>
          <w:sz w:val="18"/>
          <w:szCs w:val="18"/>
          <w:color w:val="auto"/>
        </w:rPr>
      </w:pPr>
    </w:p>
    <w:p>
      <w:pPr>
        <w:ind w:left="540" w:right="220" w:hanging="535"/>
        <w:spacing w:after="0" w:line="259" w:lineRule="auto"/>
        <w:tabs>
          <w:tab w:leader="none" w:pos="54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any investment in marketable debt obligations issued or guaranteed by the government of the United States of America, Hong Kong SAR, Japan, the United Kingdom, Australia, any member state of the European Union or by an instrumentality or agency of any of them having an equivalent credit rating, maturing within one year after the relevant date of calculation and not convertible or exchangeable to any other security;</w:t>
      </w:r>
    </w:p>
    <w:p>
      <w:pPr>
        <w:spacing w:after="0" w:line="92" w:lineRule="exact"/>
        <w:rPr>
          <w:rFonts w:ascii="Arial" w:cs="Arial" w:eastAsia="Arial" w:hAnsi="Arial"/>
          <w:sz w:val="18"/>
          <w:szCs w:val="18"/>
          <w:color w:val="auto"/>
        </w:rPr>
      </w:pPr>
    </w:p>
    <w:p>
      <w:pPr>
        <w:ind w:left="540" w:hanging="535"/>
        <w:spacing w:after="0"/>
        <w:tabs>
          <w:tab w:leader="none" w:pos="54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commercial paper not convertible or exchangeable to any other security:</w:t>
      </w:r>
    </w:p>
    <w:p>
      <w:pPr>
        <w:spacing w:after="0" w:line="130" w:lineRule="exact"/>
        <w:rPr>
          <w:rFonts w:ascii="Arial" w:cs="Arial" w:eastAsia="Arial" w:hAnsi="Arial"/>
          <w:sz w:val="18"/>
          <w:szCs w:val="18"/>
          <w:color w:val="auto"/>
        </w:rPr>
      </w:pPr>
    </w:p>
    <w:p>
      <w:pPr>
        <w:ind w:left="1200" w:hanging="655"/>
        <w:spacing w:after="0"/>
        <w:tabs>
          <w:tab w:leader="none" w:pos="1200" w:val="left"/>
        </w:tabs>
        <w:numPr>
          <w:ilvl w:val="1"/>
          <w:numId w:val="811"/>
        </w:numPr>
        <w:rPr>
          <w:rFonts w:ascii="Arial" w:cs="Arial" w:eastAsia="Arial" w:hAnsi="Arial"/>
          <w:sz w:val="18"/>
          <w:szCs w:val="18"/>
          <w:color w:val="auto"/>
        </w:rPr>
      </w:pPr>
      <w:r>
        <w:rPr>
          <w:rFonts w:ascii="Arial" w:cs="Arial" w:eastAsia="Arial" w:hAnsi="Arial"/>
          <w:sz w:val="18"/>
          <w:szCs w:val="18"/>
          <w:color w:val="auto"/>
        </w:rPr>
        <w:t>for which a recognised trading market exists;</w:t>
      </w:r>
    </w:p>
    <w:p>
      <w:pPr>
        <w:spacing w:after="0" w:line="130" w:lineRule="exact"/>
        <w:rPr>
          <w:rFonts w:ascii="Arial" w:cs="Arial" w:eastAsia="Arial" w:hAnsi="Arial"/>
          <w:sz w:val="18"/>
          <w:szCs w:val="18"/>
          <w:color w:val="auto"/>
        </w:rPr>
      </w:pPr>
    </w:p>
    <w:p>
      <w:pPr>
        <w:ind w:left="1200" w:right="700" w:hanging="655"/>
        <w:spacing w:after="0" w:line="277" w:lineRule="auto"/>
        <w:tabs>
          <w:tab w:leader="none" w:pos="1200" w:val="left"/>
        </w:tabs>
        <w:numPr>
          <w:ilvl w:val="1"/>
          <w:numId w:val="811"/>
        </w:numPr>
        <w:rPr>
          <w:rFonts w:ascii="Arial" w:cs="Arial" w:eastAsia="Arial" w:hAnsi="Arial"/>
          <w:sz w:val="18"/>
          <w:szCs w:val="18"/>
          <w:color w:val="auto"/>
        </w:rPr>
      </w:pPr>
      <w:r>
        <w:rPr>
          <w:rFonts w:ascii="Arial" w:cs="Arial" w:eastAsia="Arial" w:hAnsi="Arial"/>
          <w:sz w:val="18"/>
          <w:szCs w:val="18"/>
          <w:color w:val="auto"/>
        </w:rPr>
        <w:t>issued by an issuer incorporated in the United States of America, the United Kingdom, any member of the European Economic Area or any Participating Member State;</w:t>
      </w:r>
    </w:p>
    <w:p>
      <w:pPr>
        <w:spacing w:after="0" w:line="75" w:lineRule="exact"/>
        <w:rPr>
          <w:rFonts w:ascii="Arial" w:cs="Arial" w:eastAsia="Arial" w:hAnsi="Arial"/>
          <w:sz w:val="18"/>
          <w:szCs w:val="18"/>
          <w:color w:val="auto"/>
        </w:rPr>
      </w:pPr>
    </w:p>
    <w:p>
      <w:pPr>
        <w:ind w:left="1200" w:hanging="655"/>
        <w:spacing w:after="0"/>
        <w:tabs>
          <w:tab w:leader="none" w:pos="1200" w:val="left"/>
        </w:tabs>
        <w:numPr>
          <w:ilvl w:val="1"/>
          <w:numId w:val="811"/>
        </w:numPr>
        <w:rPr>
          <w:rFonts w:ascii="Arial" w:cs="Arial" w:eastAsia="Arial" w:hAnsi="Arial"/>
          <w:sz w:val="18"/>
          <w:szCs w:val="18"/>
          <w:color w:val="auto"/>
        </w:rPr>
      </w:pPr>
      <w:r>
        <w:rPr>
          <w:rFonts w:ascii="Arial" w:cs="Arial" w:eastAsia="Arial" w:hAnsi="Arial"/>
          <w:sz w:val="18"/>
          <w:szCs w:val="18"/>
          <w:color w:val="auto"/>
        </w:rPr>
        <w:t>which matures within one year after the relevant date of calculation; and</w:t>
      </w:r>
    </w:p>
    <w:p>
      <w:pPr>
        <w:spacing w:after="0" w:line="130" w:lineRule="exact"/>
        <w:rPr>
          <w:rFonts w:ascii="Arial" w:cs="Arial" w:eastAsia="Arial" w:hAnsi="Arial"/>
          <w:sz w:val="18"/>
          <w:szCs w:val="18"/>
          <w:color w:val="auto"/>
        </w:rPr>
      </w:pPr>
    </w:p>
    <w:p>
      <w:pPr>
        <w:ind w:left="1200" w:right="180" w:hanging="655"/>
        <w:spacing w:after="0" w:line="263" w:lineRule="auto"/>
        <w:tabs>
          <w:tab w:leader="none" w:pos="1200" w:val="left"/>
        </w:tabs>
        <w:numPr>
          <w:ilvl w:val="1"/>
          <w:numId w:val="811"/>
        </w:numPr>
        <w:rPr>
          <w:rFonts w:ascii="Arial" w:cs="Arial" w:eastAsia="Arial" w:hAnsi="Arial"/>
          <w:sz w:val="18"/>
          <w:szCs w:val="18"/>
          <w:color w:val="auto"/>
        </w:rPr>
      </w:pPr>
      <w:r>
        <w:rPr>
          <w:rFonts w:ascii="Arial" w:cs="Arial" w:eastAsia="Arial" w:hAnsi="Arial"/>
          <w:sz w:val="18"/>
          <w:szCs w:val="18"/>
          <w:color w:val="auto"/>
        </w:rPr>
        <w:t>which has a credit rating of either A-1 or higher by Standard &amp; Poor’s or F1 or higher by Fitch or P-1 by Moody’s, if no rating is available in respect of the commercial paper, the issuer of which has, in respect of its long-term unsecured and non credit-enhanced debt obligations, an equivalent rating;</w:t>
      </w:r>
    </w:p>
    <w:p>
      <w:pPr>
        <w:spacing w:after="0" w:line="89" w:lineRule="exact"/>
        <w:rPr>
          <w:rFonts w:ascii="Arial" w:cs="Arial" w:eastAsia="Arial" w:hAnsi="Arial"/>
          <w:sz w:val="18"/>
          <w:szCs w:val="18"/>
          <w:color w:val="auto"/>
        </w:rPr>
      </w:pPr>
    </w:p>
    <w:p>
      <w:pPr>
        <w:ind w:left="540" w:right="140" w:hanging="535"/>
        <w:spacing w:after="0" w:line="263" w:lineRule="auto"/>
        <w:tabs>
          <w:tab w:leader="none" w:pos="54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any investment accessible within 30 days in money market funds which (i) have a credit rating of either A-1 or higher by Standard &amp; Poor’s or F1 or higher by Fitch or P-1 by Moody’s and (ii) which invest substantially all their assets in securities of the types described in paragraphs (a) to (c) above; or</w:t>
      </w:r>
    </w:p>
    <w:p>
      <w:pPr>
        <w:spacing w:after="0" w:line="89" w:lineRule="exact"/>
        <w:rPr>
          <w:rFonts w:ascii="Arial" w:cs="Arial" w:eastAsia="Arial" w:hAnsi="Arial"/>
          <w:sz w:val="18"/>
          <w:szCs w:val="18"/>
          <w:color w:val="auto"/>
        </w:rPr>
      </w:pPr>
    </w:p>
    <w:p>
      <w:pPr>
        <w:ind w:left="540" w:hanging="535"/>
        <w:spacing w:after="0"/>
        <w:tabs>
          <w:tab w:leader="none" w:pos="54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any other debt security approved by the Majority Lenders,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each case, to which any member of the Group is beneficially entitled at that time and which is not issued or guaranteed by any member of the Group or subject to any Security (other than Security arising under the Transaction Security Documents).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has the meaning given to that term in Schedule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Charged Property</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 Revolving Facility Commitment.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any of the following:</w:t>
      </w:r>
    </w:p>
    <w:p>
      <w:pPr>
        <w:spacing w:after="0" w:line="135" w:lineRule="exact"/>
        <w:rPr>
          <w:sz w:val="20"/>
          <w:szCs w:val="20"/>
          <w:color w:val="auto"/>
        </w:rPr>
      </w:pPr>
    </w:p>
    <w:p>
      <w:pPr>
        <w:ind w:left="540" w:hanging="535"/>
        <w:spacing w:after="0"/>
        <w:tabs>
          <w:tab w:leader="none" w:pos="54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Genting Berhad;</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Caesars Entertainment Corporation;</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any gaming concessionaire or sub-concessionaire in the Macau SAR (other than Melco Resorts Macau);</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any Subsidiary or Affiliate of any of the above;</w:t>
      </w:r>
    </w:p>
    <w:p>
      <w:pPr>
        <w:spacing w:after="0" w:line="126" w:lineRule="exact"/>
        <w:rPr>
          <w:rFonts w:ascii="Arial" w:cs="Arial" w:eastAsia="Arial" w:hAnsi="Arial"/>
          <w:sz w:val="18"/>
          <w:szCs w:val="18"/>
          <w:color w:val="auto"/>
        </w:rPr>
      </w:pPr>
    </w:p>
    <w:p>
      <w:pPr>
        <w:ind w:left="540" w:hanging="535"/>
        <w:spacing w:after="0"/>
        <w:tabs>
          <w:tab w:leader="none" w:pos="54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any trust, fund or other entity controlled (as defined in the definition of “</w:t>
      </w:r>
      <w:r>
        <w:rPr>
          <w:rFonts w:ascii="Arial" w:cs="Arial" w:eastAsia="Arial" w:hAnsi="Arial"/>
          <w:sz w:val="18"/>
          <w:szCs w:val="18"/>
          <w:b w:val="1"/>
          <w:bCs w:val="1"/>
          <w:color w:val="auto"/>
        </w:rPr>
        <w:t>Affiliate</w:t>
      </w:r>
      <w:r>
        <w:rPr>
          <w:rFonts w:ascii="Arial" w:cs="Arial" w:eastAsia="Arial" w:hAnsi="Arial"/>
          <w:sz w:val="18"/>
          <w:szCs w:val="18"/>
          <w:color w:val="auto"/>
        </w:rPr>
        <w:t>” herein) by any of the above; and</w:t>
      </w:r>
    </w:p>
    <w:p>
      <w:pPr>
        <w:spacing w:after="0" w:line="162" w:lineRule="exact"/>
        <w:rPr>
          <w:sz w:val="20"/>
          <w:szCs w:val="20"/>
          <w:color w:val="auto"/>
        </w:rPr>
      </w:pPr>
    </w:p>
    <w:p>
      <w:pPr>
        <w:jc w:val="both"/>
        <w:ind w:left="4760"/>
        <w:spacing w:after="0"/>
        <w:tabs>
          <w:tab w:leader="none" w:pos="80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0" w:right="439" w:bottom="1440" w:gutter="0" w:footer="0" w:header="0"/>
        </w:sectPr>
      </w:pPr>
    </w:p>
    <w:bookmarkStart w:id="622" w:name="page623"/>
    <w:bookmarkEnd w:id="622"/>
    <w:p>
      <w:pPr>
        <w:ind w:left="540" w:right="40" w:hanging="535"/>
        <w:spacing w:after="0" w:line="277" w:lineRule="auto"/>
        <w:tabs>
          <w:tab w:leader="none" w:pos="540" w:val="left"/>
        </w:tabs>
        <w:numPr>
          <w:ilvl w:val="0"/>
          <w:numId w:val="8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entity which is agreed between the relevant Lender and the Borrower to be a “Competitor” in accordance with the requirements of Clause 25.2 (</w:t>
      </w:r>
      <w:r>
        <w:rPr>
          <w:rFonts w:ascii="Arial" w:cs="Arial" w:eastAsia="Arial" w:hAnsi="Arial"/>
          <w:sz w:val="18"/>
          <w:szCs w:val="18"/>
          <w:i w:val="1"/>
          <w:iCs w:val="1"/>
          <w:color w:val="auto"/>
        </w:rPr>
        <w:t>Conditions of assignment or transfer</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Support Release Date</w:t>
      </w:r>
      <w:r>
        <w:rPr>
          <w:rFonts w:ascii="Arial" w:cs="Arial" w:eastAsia="Arial" w:hAnsi="Arial"/>
          <w:sz w:val="18"/>
          <w:szCs w:val="18"/>
          <w:color w:val="auto"/>
        </w:rPr>
        <w:t>” means, for the purpose of any Continuing Document, 30 November 2015.</w:t>
      </w:r>
    </w:p>
    <w:p>
      <w:pPr>
        <w:spacing w:after="0" w:line="11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relating to the Parent, the Borrower, any Obligor, any Grantor, the Site, the Property, the Services and Right to Use Agreement, the Reimbursement Agreement, the Finance Documents or a Facility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74" w:lineRule="exact"/>
        <w:rPr>
          <w:sz w:val="20"/>
          <w:szCs w:val="20"/>
          <w:color w:val="auto"/>
        </w:rPr>
      </w:pPr>
    </w:p>
    <w:p>
      <w:pPr>
        <w:ind w:left="540" w:hanging="535"/>
        <w:spacing w:after="0"/>
        <w:tabs>
          <w:tab w:leader="none" w:pos="54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130" w:lineRule="exact"/>
        <w:rPr>
          <w:rFonts w:ascii="Arial" w:cs="Arial" w:eastAsia="Arial" w:hAnsi="Arial"/>
          <w:sz w:val="18"/>
          <w:szCs w:val="18"/>
          <w:color w:val="auto"/>
        </w:rPr>
      </w:pPr>
    </w:p>
    <w:p>
      <w:pPr>
        <w:ind w:left="540" w:right="200" w:hanging="535"/>
        <w:spacing w:after="0" w:line="277" w:lineRule="auto"/>
        <w:tabs>
          <w:tab w:leader="none" w:pos="54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member of the Group or any of its advisers,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76" w:lineRule="exact"/>
        <w:rPr>
          <w:sz w:val="20"/>
          <w:szCs w:val="20"/>
          <w:color w:val="auto"/>
        </w:rPr>
      </w:pPr>
    </w:p>
    <w:p>
      <w:pPr>
        <w:ind w:left="1200" w:right="360" w:hanging="655"/>
        <w:spacing w:after="0" w:line="277" w:lineRule="auto"/>
        <w:tabs>
          <w:tab w:leader="none" w:pos="120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38 (</w:t>
      </w:r>
      <w:r>
        <w:rPr>
          <w:rFonts w:ascii="Arial" w:cs="Arial" w:eastAsia="Arial" w:hAnsi="Arial"/>
          <w:sz w:val="18"/>
          <w:szCs w:val="18"/>
          <w:i w:val="1"/>
          <w:iCs w:val="1"/>
          <w:color w:val="auto"/>
        </w:rPr>
        <w:t>Disclosure of information</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200" w:hanging="655"/>
        <w:spacing w:after="0"/>
        <w:tabs>
          <w:tab w:leader="none" w:pos="1200" w:val="left"/>
        </w:tabs>
        <w:numPr>
          <w:ilvl w:val="0"/>
          <w:numId w:val="815"/>
        </w:numPr>
        <w:rPr>
          <w:rFonts w:ascii="Arial" w:cs="Arial" w:eastAsia="Arial" w:hAnsi="Arial"/>
          <w:sz w:val="17"/>
          <w:szCs w:val="17"/>
          <w:color w:val="auto"/>
        </w:rPr>
      </w:pPr>
      <w:r>
        <w:rPr>
          <w:rFonts w:ascii="Arial" w:cs="Arial" w:eastAsia="Arial" w:hAnsi="Arial"/>
          <w:sz w:val="17"/>
          <w:szCs w:val="17"/>
          <w:color w:val="auto"/>
        </w:rPr>
        <w:t>is identified in writing at the time of delivery as non-confidential by any member of the Group or any of its advisers; or</w:t>
      </w:r>
    </w:p>
    <w:p>
      <w:pPr>
        <w:spacing w:after="0" w:line="142" w:lineRule="exact"/>
        <w:rPr>
          <w:rFonts w:ascii="Arial" w:cs="Arial" w:eastAsia="Arial" w:hAnsi="Arial"/>
          <w:sz w:val="17"/>
          <w:szCs w:val="17"/>
          <w:color w:val="auto"/>
        </w:rPr>
      </w:pPr>
    </w:p>
    <w:p>
      <w:pPr>
        <w:ind w:left="1200" w:right="140" w:hanging="655"/>
        <w:spacing w:after="0" w:line="259" w:lineRule="auto"/>
        <w:tabs>
          <w:tab w:leader="none" w:pos="120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as far as that Finance Party is aware, has not been obtained in breach of, and is not otherwise subject to, any obligation of confidentiality.</w:t>
      </w:r>
    </w:p>
    <w:p>
      <w:pPr>
        <w:spacing w:after="0" w:line="7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LMA or in any other form agreed between the Borrower and the Agent.</w:t>
      </w:r>
    </w:p>
    <w:p>
      <w:pPr>
        <w:spacing w:after="0" w:line="5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Conflicted Lender</w:t>
      </w:r>
      <w:r>
        <w:rPr>
          <w:rFonts w:ascii="Arial" w:cs="Arial" w:eastAsia="Arial" w:hAnsi="Arial"/>
          <w:sz w:val="18"/>
          <w:szCs w:val="18"/>
          <w:color w:val="auto"/>
        </w:rPr>
        <w:t>” means any Lender (which term, for the purposes of this definition shall include any Affiliate of that Lender) which is or is acting on behalf of (including in its capacity as the grantor of a participation or any other agreement pursuant to which such rights may pass) any of the following:</w:t>
      </w:r>
    </w:p>
    <w:p>
      <w:pPr>
        <w:spacing w:after="0" w:line="85" w:lineRule="exact"/>
        <w:rPr>
          <w:sz w:val="20"/>
          <w:szCs w:val="20"/>
          <w:color w:val="auto"/>
        </w:rPr>
      </w:pPr>
    </w:p>
    <w:p>
      <w:pPr>
        <w:ind w:left="540" w:hanging="535"/>
        <w:spacing w:after="0"/>
        <w:tabs>
          <w:tab w:leader="none" w:pos="54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a Competitor;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any investor or equity holder in a Competitor; or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an advisor to any such person referred to in paragraph (a) or (b) above,</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each case, whether before or after such person becomes a Lender and including where a Lender notifies the Agent that it is such (in a Transfer Certificate, Assignment Agreement and Lender Accession Undertaking or otherwise) and where it has been notified as such to the Agent by the Borrower (acting reasonably and in good faith).</w:t>
      </w:r>
    </w:p>
    <w:p>
      <w:pPr>
        <w:spacing w:after="0" w:line="7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Constitutional Documents</w:t>
      </w:r>
      <w:r>
        <w:rPr>
          <w:rFonts w:ascii="Arial" w:cs="Arial" w:eastAsia="Arial" w:hAnsi="Arial"/>
          <w:sz w:val="18"/>
          <w:szCs w:val="18"/>
          <w:color w:val="auto"/>
        </w:rPr>
        <w:t>” means, collectively, in relation to any person, any certificate of incorporation, memorandum and articles of association, bylaws, shareholders’ agreement, certificate of formation, limited liability company agreement, partnership agreement and any other formation or constituent documents applicable to such person.</w:t>
      </w:r>
    </w:p>
    <w:p>
      <w:pPr>
        <w:spacing w:after="0" w:line="112" w:lineRule="exact"/>
        <w:rPr>
          <w:sz w:val="20"/>
          <w:szCs w:val="20"/>
          <w:color w:val="auto"/>
        </w:rPr>
      </w:pPr>
    </w:p>
    <w:p>
      <w:pPr>
        <w:jc w:val="both"/>
        <w:ind w:left="4760"/>
        <w:spacing w:after="0"/>
        <w:tabs>
          <w:tab w:leader="none" w:pos="80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5" w:right="439" w:bottom="1440" w:gutter="0" w:footer="0" w:header="0"/>
        </w:sectPr>
      </w:pPr>
    </w:p>
    <w:bookmarkStart w:id="623" w:name="page624"/>
    <w:bookmarkEnd w:id="623"/>
    <w:p>
      <w:pPr>
        <w:ind w:right="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Continuing Documents</w:t>
      </w:r>
      <w:r>
        <w:rPr>
          <w:rFonts w:ascii="Arial" w:cs="Arial" w:eastAsia="Arial" w:hAnsi="Arial"/>
          <w:sz w:val="18"/>
          <w:szCs w:val="18"/>
          <w:color w:val="auto"/>
        </w:rPr>
        <w:t>” means (i) the Continuing Macau Documents, the Continuing English Share Charges, the Continuing English Powers of Attorney, the Continuing English Debenture and the Continuing Hong Kong Accounts Charges (each as defined in the Intercreditor Agreement) and (ii) the Services and Right to Use Direct Agreement.</w:t>
      </w:r>
    </w:p>
    <w:p>
      <w:pPr>
        <w:spacing w:after="0" w:line="6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Contractor</w:t>
      </w:r>
      <w:r>
        <w:rPr>
          <w:rFonts w:ascii="Arial" w:cs="Arial" w:eastAsia="Arial" w:hAnsi="Arial"/>
          <w:sz w:val="18"/>
          <w:szCs w:val="18"/>
          <w:color w:val="auto"/>
        </w:rPr>
        <w:t>” means the architects, consultants, designers, contractors, suppliers and other persons engaged by any Obligor in connection with the design, engineering, development, construction, installation, maintenance or operation of the Property.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Purchase Transaction</w:t>
      </w:r>
      <w:r>
        <w:rPr>
          <w:rFonts w:ascii="Arial" w:cs="Arial" w:eastAsia="Arial" w:hAnsi="Arial"/>
          <w:sz w:val="18"/>
          <w:szCs w:val="18"/>
          <w:color w:val="auto"/>
        </w:rPr>
        <w:t>” means, in relation to a person, a transaction where such person:</w:t>
      </w:r>
    </w:p>
    <w:p>
      <w:pPr>
        <w:spacing w:after="0" w:line="135" w:lineRule="exact"/>
        <w:rPr>
          <w:sz w:val="20"/>
          <w:szCs w:val="20"/>
          <w:color w:val="auto"/>
        </w:rPr>
      </w:pPr>
    </w:p>
    <w:p>
      <w:pPr>
        <w:ind w:left="540" w:hanging="535"/>
        <w:spacing w:after="0"/>
        <w:tabs>
          <w:tab w:leader="none" w:pos="54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130" w:lineRule="exact"/>
        <w:rPr>
          <w:rFonts w:ascii="Arial" w:cs="Arial" w:eastAsia="Arial" w:hAnsi="Arial"/>
          <w:sz w:val="18"/>
          <w:szCs w:val="18"/>
          <w:color w:val="auto"/>
        </w:rPr>
      </w:pPr>
    </w:p>
    <w:p>
      <w:pPr>
        <w:ind w:right="320" w:firstLine="5"/>
        <w:spacing w:after="0" w:line="373" w:lineRule="auto"/>
        <w:tabs>
          <w:tab w:leader="none" w:pos="538" w:val="left"/>
        </w:tabs>
        <w:numPr>
          <w:ilvl w:val="0"/>
          <w:numId w:val="817"/>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 any Commitment or amount outstanding under this Agreement.</w:t>
      </w:r>
    </w:p>
    <w:p>
      <w:pPr>
        <w:spacing w:after="0" w:line="1"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Accrual Account</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 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Reserve Account</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 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24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in accordance with the Finance Documents or any combination of any of the foregoing) be an Event of Default.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 (other than a Lender which is a Sponsor Affiliate):</w:t>
      </w:r>
    </w:p>
    <w:p>
      <w:pPr>
        <w:spacing w:after="0" w:line="135" w:lineRule="exact"/>
        <w:rPr>
          <w:sz w:val="20"/>
          <w:szCs w:val="20"/>
          <w:color w:val="auto"/>
        </w:rPr>
      </w:pPr>
    </w:p>
    <w:p>
      <w:pPr>
        <w:jc w:val="both"/>
        <w:ind w:left="540" w:right="400" w:hanging="535"/>
        <w:spacing w:after="0" w:line="263" w:lineRule="auto"/>
        <w:tabs>
          <w:tab w:leader="none" w:pos="54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which has failed to make its participation in a Revolving Facility Loan available or has notified the Agent that it will not make its participation in a Revolving Facility Loan available by the Utilisation Date of that Loan in accordance with Clause 5.4 (</w:t>
      </w:r>
      <w:r>
        <w:rPr>
          <w:rFonts w:ascii="Arial" w:cs="Arial" w:eastAsia="Arial" w:hAnsi="Arial"/>
          <w:sz w:val="18"/>
          <w:szCs w:val="18"/>
          <w:i w:val="1"/>
          <w:iCs w:val="1"/>
          <w:color w:val="auto"/>
        </w:rPr>
        <w:t>Lenders’</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participation</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hanging="535"/>
        <w:spacing w:after="0"/>
        <w:tabs>
          <w:tab w:leader="none" w:pos="54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unless, in the case of paragraph (a) above:</w:t>
      </w:r>
    </w:p>
    <w:p>
      <w:pPr>
        <w:spacing w:after="0" w:line="131" w:lineRule="exact"/>
        <w:rPr>
          <w:sz w:val="20"/>
          <w:szCs w:val="20"/>
          <w:color w:val="auto"/>
        </w:rPr>
      </w:pPr>
    </w:p>
    <w:p>
      <w:pPr>
        <w:ind w:left="1200" w:hanging="655"/>
        <w:spacing w:after="0"/>
        <w:tabs>
          <w:tab w:leader="none" w:pos="120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1740" w:hanging="533"/>
        <w:spacing w:after="0"/>
        <w:tabs>
          <w:tab w:leader="none" w:pos="1740" w:val="left"/>
        </w:tabs>
        <w:numPr>
          <w:ilvl w:val="1"/>
          <w:numId w:val="819"/>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30" w:lineRule="exact"/>
        <w:rPr>
          <w:rFonts w:ascii="Arial" w:cs="Arial" w:eastAsia="Arial" w:hAnsi="Arial"/>
          <w:sz w:val="18"/>
          <w:szCs w:val="18"/>
          <w:color w:val="auto"/>
        </w:rPr>
      </w:pPr>
    </w:p>
    <w:p>
      <w:pPr>
        <w:ind w:left="1740" w:hanging="533"/>
        <w:spacing w:after="0"/>
        <w:tabs>
          <w:tab w:leader="none" w:pos="1740" w:val="left"/>
        </w:tabs>
        <w:numPr>
          <w:ilvl w:val="1"/>
          <w:numId w:val="819"/>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131" w:lineRule="exact"/>
        <w:rPr>
          <w:sz w:val="20"/>
          <w:szCs w:val="20"/>
          <w:color w:val="auto"/>
        </w:rPr>
      </w:pPr>
    </w:p>
    <w:p>
      <w:pPr>
        <w:ind w:left="1200" w:hanging="655"/>
        <w:spacing w:after="0"/>
        <w:tabs>
          <w:tab w:leader="none" w:pos="1200" w:val="left"/>
        </w:tabs>
        <w:numPr>
          <w:ilvl w:val="0"/>
          <w:numId w:val="820"/>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158" w:lineRule="exact"/>
        <w:rPr>
          <w:sz w:val="20"/>
          <w:szCs w:val="20"/>
          <w:color w:val="auto"/>
        </w:rPr>
      </w:pPr>
    </w:p>
    <w:p>
      <w:pPr>
        <w:jc w:val="both"/>
        <w:ind w:left="4760"/>
        <w:spacing w:after="0"/>
        <w:tabs>
          <w:tab w:leader="none" w:pos="80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0" w:right="439" w:bottom="1440" w:gutter="0" w:footer="0" w:header="0"/>
        </w:sectPr>
      </w:pPr>
    </w:p>
    <w:bookmarkStart w:id="624" w:name="page625"/>
    <w:bookmarkEnd w:id="6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Delegate</w:t>
      </w:r>
      <w:r>
        <w:rPr>
          <w:rFonts w:ascii="Arial" w:cs="Arial" w:eastAsia="Arial" w:hAnsi="Arial"/>
          <w:sz w:val="18"/>
          <w:szCs w:val="18"/>
          <w:color w:val="auto"/>
        </w:rPr>
        <w:t>” means any delegate, agent, attorney or co-trustee appointed by the Common Security Agent.</w:t>
      </w:r>
    </w:p>
    <w:p>
      <w:pPr>
        <w:spacing w:after="0" w:line="117"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Agreement</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w:t>
      </w:r>
      <w:r>
        <w:rPr>
          <w:rFonts w:ascii="Arial" w:cs="Arial" w:eastAsia="Arial" w:hAnsi="Arial"/>
          <w:sz w:val="18"/>
          <w:szCs w:val="18"/>
          <w:color w:val="auto"/>
        </w:rPr>
        <w:t>” means a sale, lease, licence, transfer, loan or other disposal by a person of any asset, undertaking or business (whether by a voluntary or involuntary single transaction or series of transactions).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5" w:lineRule="exact"/>
        <w:rPr>
          <w:sz w:val="20"/>
          <w:szCs w:val="20"/>
          <w:color w:val="auto"/>
        </w:rPr>
      </w:pPr>
    </w:p>
    <w:p>
      <w:pPr>
        <w:ind w:left="540" w:right="120" w:hanging="535"/>
        <w:spacing w:after="0" w:line="311" w:lineRule="auto"/>
        <w:tabs>
          <w:tab w:leader="none" w:pos="540" w:val="left"/>
        </w:tabs>
        <w:numPr>
          <w:ilvl w:val="0"/>
          <w:numId w:val="821"/>
        </w:numPr>
        <w:rPr>
          <w:rFonts w:ascii="Arial" w:cs="Arial" w:eastAsia="Arial" w:hAnsi="Arial"/>
          <w:sz w:val="16"/>
          <w:szCs w:val="16"/>
          <w:color w:val="auto"/>
        </w:rPr>
      </w:pPr>
      <w:r>
        <w:rPr>
          <w:rFonts w:ascii="Arial" w:cs="Arial" w:eastAsia="Arial" w:hAnsi="Arial"/>
          <w:sz w:val="16"/>
          <w:szCs w:val="16"/>
          <w:color w:val="auto"/>
        </w:rPr>
        <w:t>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w:t>
      </w:r>
    </w:p>
    <w:p>
      <w:pPr>
        <w:spacing w:after="0" w:line="54" w:lineRule="exact"/>
        <w:rPr>
          <w:rFonts w:ascii="Arial" w:cs="Arial" w:eastAsia="Arial" w:hAnsi="Arial"/>
          <w:sz w:val="16"/>
          <w:szCs w:val="16"/>
          <w:color w:val="auto"/>
        </w:rPr>
      </w:pPr>
    </w:p>
    <w:p>
      <w:pPr>
        <w:ind w:left="540" w:right="240" w:hanging="535"/>
        <w:spacing w:after="0" w:line="277" w:lineRule="auto"/>
        <w:tabs>
          <w:tab w:leader="none" w:pos="54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75" w:lineRule="exact"/>
        <w:rPr>
          <w:rFonts w:ascii="Arial" w:cs="Arial" w:eastAsia="Arial" w:hAnsi="Arial"/>
          <w:sz w:val="18"/>
          <w:szCs w:val="18"/>
          <w:color w:val="auto"/>
        </w:rPr>
      </w:pPr>
    </w:p>
    <w:p>
      <w:pPr>
        <w:ind w:left="1200" w:hanging="655"/>
        <w:spacing w:after="0"/>
        <w:tabs>
          <w:tab w:leader="none" w:pos="1200" w:val="left"/>
        </w:tabs>
        <w:numPr>
          <w:ilvl w:val="1"/>
          <w:numId w:val="821"/>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30" w:lineRule="exact"/>
        <w:rPr>
          <w:rFonts w:ascii="Arial" w:cs="Arial" w:eastAsia="Arial" w:hAnsi="Arial"/>
          <w:sz w:val="18"/>
          <w:szCs w:val="18"/>
          <w:color w:val="auto"/>
        </w:rPr>
      </w:pPr>
    </w:p>
    <w:p>
      <w:pPr>
        <w:ind w:left="1200" w:hanging="655"/>
        <w:spacing w:after="0"/>
        <w:tabs>
          <w:tab w:leader="none" w:pos="1200" w:val="left"/>
        </w:tabs>
        <w:numPr>
          <w:ilvl w:val="1"/>
          <w:numId w:val="821"/>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Notice</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claim, proceeding, formal notice or investigation by any person in respect of any Environmental Law.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applicable law or regulation which relates to:</w:t>
      </w:r>
    </w:p>
    <w:p>
      <w:pPr>
        <w:spacing w:after="0" w:line="135" w:lineRule="exact"/>
        <w:rPr>
          <w:sz w:val="20"/>
          <w:szCs w:val="20"/>
          <w:color w:val="auto"/>
        </w:rPr>
      </w:pPr>
    </w:p>
    <w:p>
      <w:pPr>
        <w:ind w:left="540" w:hanging="535"/>
        <w:spacing w:after="0"/>
        <w:tabs>
          <w:tab w:leader="none" w:pos="540" w:val="left"/>
        </w:tabs>
        <w:numPr>
          <w:ilvl w:val="0"/>
          <w:numId w:val="822"/>
        </w:numPr>
        <w:rPr>
          <w:rFonts w:ascii="Arial" w:cs="Arial" w:eastAsia="Arial" w:hAnsi="Arial"/>
          <w:sz w:val="18"/>
          <w:szCs w:val="18"/>
          <w:color w:val="auto"/>
        </w:rPr>
      </w:pPr>
      <w:r>
        <w:rPr>
          <w:rFonts w:ascii="Arial" w:cs="Arial" w:eastAsia="Arial" w:hAnsi="Arial"/>
          <w:sz w:val="18"/>
          <w:szCs w:val="18"/>
          <w:color w:val="auto"/>
        </w:rPr>
        <w:t>the pollution or protection of the environment;</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22"/>
        </w:numPr>
        <w:rPr>
          <w:rFonts w:ascii="Arial" w:cs="Arial" w:eastAsia="Arial" w:hAnsi="Arial"/>
          <w:sz w:val="18"/>
          <w:szCs w:val="18"/>
          <w:color w:val="auto"/>
        </w:rPr>
      </w:pPr>
      <w:r>
        <w:rPr>
          <w:rFonts w:ascii="Arial" w:cs="Arial" w:eastAsia="Arial" w:hAnsi="Arial"/>
          <w:sz w:val="18"/>
          <w:szCs w:val="18"/>
          <w:color w:val="auto"/>
        </w:rPr>
        <w:t>harm to or the protection of human health;</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22"/>
        </w:numPr>
        <w:rPr>
          <w:rFonts w:ascii="Arial" w:cs="Arial" w:eastAsia="Arial" w:hAnsi="Arial"/>
          <w:sz w:val="18"/>
          <w:szCs w:val="18"/>
          <w:color w:val="auto"/>
        </w:rPr>
      </w:pPr>
      <w:r>
        <w:rPr>
          <w:rFonts w:ascii="Arial" w:cs="Arial" w:eastAsia="Arial" w:hAnsi="Arial"/>
          <w:sz w:val="18"/>
          <w:szCs w:val="18"/>
          <w:color w:val="auto"/>
        </w:rPr>
        <w:t>the conditions of the workplace; or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22"/>
        </w:numPr>
        <w:rPr>
          <w:rFonts w:ascii="Arial" w:cs="Arial" w:eastAsia="Arial" w:hAnsi="Arial"/>
          <w:sz w:val="18"/>
          <w:szCs w:val="18"/>
          <w:color w:val="auto"/>
        </w:rPr>
      </w:pPr>
      <w:r>
        <w:rPr>
          <w:rFonts w:ascii="Arial" w:cs="Arial" w:eastAsia="Arial" w:hAnsi="Arial"/>
          <w:sz w:val="18"/>
          <w:szCs w:val="18"/>
          <w:color w:val="auto"/>
        </w:rPr>
        <w:t>any emission or substance capable of causing harm to any living organism or the environment.</w:t>
      </w:r>
    </w:p>
    <w:p>
      <w:pPr>
        <w:spacing w:after="0" w:line="113"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spacing w:after="0" w:line="68"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 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24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purpose of any Continuing Document (only) the reserved meaning (if any) given to this term in connection with that Continuing Document pursuant to paragraphs (k) and (l) of Clause 1.2 (</w:t>
      </w:r>
      <w:r>
        <w:rPr>
          <w:rFonts w:ascii="Arial" w:cs="Arial" w:eastAsia="Arial" w:hAnsi="Arial"/>
          <w:sz w:val="18"/>
          <w:szCs w:val="18"/>
          <w:i w:val="1"/>
          <w:iCs w:val="1"/>
          <w:color w:val="auto"/>
        </w:rPr>
        <w:t>Construction</w:t>
      </w:r>
      <w:r>
        <w:rPr>
          <w:rFonts w:ascii="Arial" w:cs="Arial" w:eastAsia="Arial" w:hAnsi="Arial"/>
          <w:sz w:val="18"/>
          <w:szCs w:val="18"/>
          <w:color w:val="auto"/>
        </w:rPr>
        <w:t>) and the Intercreditor Agreement shall apply.</w:t>
      </w:r>
    </w:p>
    <w:p>
      <w:pPr>
        <w:spacing w:after="0" w:line="112" w:lineRule="exact"/>
        <w:rPr>
          <w:sz w:val="20"/>
          <w:szCs w:val="20"/>
          <w:color w:val="auto"/>
        </w:rPr>
      </w:pPr>
    </w:p>
    <w:p>
      <w:pPr>
        <w:jc w:val="both"/>
        <w:ind w:left="4760"/>
        <w:spacing w:after="0"/>
        <w:tabs>
          <w:tab w:leader="none" w:pos="80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1" w:right="439" w:bottom="1440" w:gutter="0" w:footer="0" w:header="0"/>
        </w:sectPr>
      </w:pPr>
    </w:p>
    <w:bookmarkStart w:id="625" w:name="page626"/>
    <w:bookmarkEnd w:id="625"/>
    <w:p>
      <w:pPr>
        <w:ind w:right="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Excess Cashflow</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 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means Executive Order No. 13224 of 23 September 2001 - Blocking Property and Prohibiting Transactions With Persons Who Commit, Threaten To Commit, or Support Terrorism.</w:t>
      </w:r>
    </w:p>
    <w:p>
      <w:pPr>
        <w:spacing w:after="0" w:line="54"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xml:space="preserve">” means each of Facility A and the Revolving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purpose of any Continuing Document (only) the reserved meaning (if any) given to this term (or, correspondingly, “</w:t>
      </w:r>
      <w:r>
        <w:rPr>
          <w:rFonts w:ascii="Arial" w:cs="Arial" w:eastAsia="Arial" w:hAnsi="Arial"/>
          <w:sz w:val="18"/>
          <w:szCs w:val="18"/>
          <w:b w:val="1"/>
          <w:bCs w:val="1"/>
          <w:color w:val="auto"/>
        </w:rPr>
        <w:t>Facilities</w:t>
      </w:r>
      <w:r>
        <w:rPr>
          <w:rFonts w:ascii="Arial" w:cs="Arial" w:eastAsia="Arial" w:hAnsi="Arial"/>
          <w:sz w:val="18"/>
          <w:szCs w:val="18"/>
          <w:color w:val="auto"/>
        </w:rPr>
        <w:t>”) in connection with that Continuing Document pursuant to paragraphs (k) and (l) of Clause 1.2 (</w:t>
      </w:r>
      <w:r>
        <w:rPr>
          <w:rFonts w:ascii="Arial" w:cs="Arial" w:eastAsia="Arial" w:hAnsi="Arial"/>
          <w:sz w:val="18"/>
          <w:szCs w:val="18"/>
          <w:i w:val="1"/>
          <w:iCs w:val="1"/>
          <w:color w:val="auto"/>
        </w:rPr>
        <w:t>Construction</w:t>
      </w:r>
      <w:r>
        <w:rPr>
          <w:rFonts w:ascii="Arial" w:cs="Arial" w:eastAsia="Arial" w:hAnsi="Arial"/>
          <w:sz w:val="18"/>
          <w:szCs w:val="18"/>
          <w:color w:val="auto"/>
        </w:rPr>
        <w:t>) and the Intercreditor Agreement shall apply.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 A</w:t>
      </w:r>
      <w:r>
        <w:rPr>
          <w:rFonts w:ascii="Arial" w:cs="Arial" w:eastAsia="Arial" w:hAnsi="Arial"/>
          <w:sz w:val="16"/>
          <w:szCs w:val="16"/>
          <w:color w:val="auto"/>
        </w:rPr>
        <w:t>” means the term loan facility made available under this Agreement as described in paragraph (a)(i) of Clause 2.1 (</w:t>
      </w:r>
      <w:r>
        <w:rPr>
          <w:rFonts w:ascii="Arial" w:cs="Arial" w:eastAsia="Arial" w:hAnsi="Arial"/>
          <w:sz w:val="16"/>
          <w:szCs w:val="16"/>
          <w:i w:val="1"/>
          <w:iCs w:val="1"/>
          <w:color w:val="auto"/>
        </w:rPr>
        <w:t>The Facilities</w:t>
      </w:r>
      <w:r>
        <w:rPr>
          <w:rFonts w:ascii="Arial" w:cs="Arial" w:eastAsia="Arial" w:hAnsi="Arial"/>
          <w:sz w:val="16"/>
          <w:szCs w:val="16"/>
          <w:color w:val="auto"/>
        </w:rPr>
        <w:t>).</w:t>
      </w:r>
    </w:p>
    <w:p>
      <w:pPr>
        <w:spacing w:after="0" w:line="140"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 Cash Collateral</w:t>
      </w:r>
      <w:r>
        <w:rPr>
          <w:rFonts w:ascii="Arial" w:cs="Arial" w:eastAsia="Arial" w:hAnsi="Arial"/>
          <w:sz w:val="18"/>
          <w:szCs w:val="18"/>
          <w:color w:val="auto"/>
        </w:rPr>
        <w:t>” means the Security in respect of the Facility A Cash Collateral Account referred to in paragraph (c) of the definition of Facility A Cash Collateral Account.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 Cash Collateral Account</w:t>
      </w:r>
      <w:r>
        <w:rPr>
          <w:rFonts w:ascii="Arial" w:cs="Arial" w:eastAsia="Arial" w:hAnsi="Arial"/>
          <w:sz w:val="18"/>
          <w:szCs w:val="18"/>
          <w:color w:val="auto"/>
        </w:rPr>
        <w:t>” means a Hong Kong dollar denominated account:</w:t>
      </w:r>
    </w:p>
    <w:p>
      <w:pPr>
        <w:spacing w:after="0" w:line="135" w:lineRule="exact"/>
        <w:rPr>
          <w:sz w:val="20"/>
          <w:szCs w:val="20"/>
          <w:color w:val="auto"/>
        </w:rPr>
      </w:pPr>
    </w:p>
    <w:p>
      <w:pPr>
        <w:ind w:left="540" w:hanging="535"/>
        <w:spacing w:after="0"/>
        <w:tabs>
          <w:tab w:leader="none" w:pos="54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held in the Macau SAR or the Hong Kong SAR by the Borrower with a Facility A Lender;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identified in a letter between the Borrower and the Agent as the Facility A Cash Collateral Account; and</w:t>
      </w:r>
    </w:p>
    <w:p>
      <w:pPr>
        <w:spacing w:after="0" w:line="130" w:lineRule="exact"/>
        <w:rPr>
          <w:rFonts w:ascii="Arial" w:cs="Arial" w:eastAsia="Arial" w:hAnsi="Arial"/>
          <w:sz w:val="18"/>
          <w:szCs w:val="18"/>
          <w:color w:val="auto"/>
        </w:rPr>
      </w:pPr>
    </w:p>
    <w:p>
      <w:pPr>
        <w:jc w:val="both"/>
        <w:ind w:left="540" w:right="380" w:hanging="535"/>
        <w:spacing w:after="0" w:line="263" w:lineRule="auto"/>
        <w:tabs>
          <w:tab w:leader="none" w:pos="54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subject to Security in favour of the Facility A Lenders (whether directly or through the Common Security Agent) in respect of the Liabilities owed by the Obligors in respect of the principal amount outstanding on the Facility A Loan and in form and substance satisfactory to the Facility A Lenders,</w:t>
      </w:r>
    </w:p>
    <w:p>
      <w:pPr>
        <w:spacing w:after="0" w:line="76" w:lineRule="exact"/>
        <w:rPr>
          <w:sz w:val="20"/>
          <w:szCs w:val="20"/>
          <w:color w:val="auto"/>
        </w:rPr>
      </w:pPr>
    </w:p>
    <w:p>
      <w:pPr>
        <w:ind w:right="1000"/>
        <w:spacing w:after="0" w:line="438" w:lineRule="auto"/>
        <w:rPr>
          <w:sz w:val="20"/>
          <w:szCs w:val="20"/>
          <w:color w:val="auto"/>
        </w:rPr>
      </w:pPr>
      <w:r>
        <w:rPr>
          <w:rFonts w:ascii="Arial" w:cs="Arial" w:eastAsia="Arial" w:hAnsi="Arial"/>
          <w:sz w:val="18"/>
          <w:szCs w:val="18"/>
          <w:color w:val="auto"/>
        </w:rPr>
        <w:t>as the same may (subject to the terms of the Intercreditor Agreement) be redesignated, substituted or replaced from time to time. “</w:t>
      </w:r>
      <w:r>
        <w:rPr>
          <w:rFonts w:ascii="Arial" w:cs="Arial" w:eastAsia="Arial" w:hAnsi="Arial"/>
          <w:sz w:val="18"/>
          <w:szCs w:val="18"/>
          <w:b w:val="1"/>
          <w:bCs w:val="1"/>
          <w:color w:val="auto"/>
        </w:rPr>
        <w:t>Facility A Cash Collateral Minimum Balance</w:t>
      </w:r>
      <w:r>
        <w:rPr>
          <w:rFonts w:ascii="Arial" w:cs="Arial" w:eastAsia="Arial" w:hAnsi="Arial"/>
          <w:sz w:val="18"/>
          <w:szCs w:val="18"/>
          <w:color w:val="auto"/>
        </w:rPr>
        <w:t>” means HK$1,012,500. “</w:t>
      </w:r>
      <w:r>
        <w:rPr>
          <w:rFonts w:ascii="Arial" w:cs="Arial" w:eastAsia="Arial" w:hAnsi="Arial"/>
          <w:sz w:val="18"/>
          <w:szCs w:val="18"/>
          <w:b w:val="1"/>
          <w:bCs w:val="1"/>
          <w:color w:val="auto"/>
        </w:rPr>
        <w:t>Facility A Lender</w:t>
      </w:r>
      <w:r>
        <w:rPr>
          <w:rFonts w:ascii="Arial" w:cs="Arial" w:eastAsia="Arial" w:hAnsi="Arial"/>
          <w:sz w:val="18"/>
          <w:szCs w:val="18"/>
          <w:color w:val="auto"/>
        </w:rPr>
        <w:t>” means:</w:t>
      </w:r>
    </w:p>
    <w:p>
      <w:pPr>
        <w:spacing w:after="0" w:line="230" w:lineRule="exact"/>
        <w:rPr>
          <w:sz w:val="20"/>
          <w:szCs w:val="20"/>
          <w:color w:val="auto"/>
        </w:rPr>
      </w:pPr>
    </w:p>
    <w:p>
      <w:pPr>
        <w:ind w:left="540" w:hanging="535"/>
        <w:spacing w:after="0"/>
        <w:tabs>
          <w:tab w:leader="none" w:pos="54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the Original Facility A lender identified as such in Part 1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540" w:right="240" w:hanging="535"/>
        <w:spacing w:after="0" w:line="277" w:lineRule="auto"/>
        <w:tabs>
          <w:tab w:leader="none" w:pos="54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Lender under Facility A in accordance with Clause 25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62" w:lineRule="exact"/>
        <w:rPr>
          <w:sz w:val="20"/>
          <w:szCs w:val="20"/>
          <w:color w:val="auto"/>
        </w:rPr>
      </w:pPr>
    </w:p>
    <w:p>
      <w:pPr>
        <w:ind w:right="1620"/>
        <w:spacing w:after="0" w:line="380" w:lineRule="auto"/>
        <w:rPr>
          <w:sz w:val="20"/>
          <w:szCs w:val="20"/>
          <w:color w:val="auto"/>
        </w:rPr>
      </w:pPr>
      <w:r>
        <w:rPr>
          <w:rFonts w:ascii="Arial" w:cs="Arial" w:eastAsia="Arial" w:hAnsi="Arial"/>
          <w:sz w:val="18"/>
          <w:szCs w:val="18"/>
          <w:color w:val="auto"/>
        </w:rPr>
        <w:t>which, in each case, has not ceased to be a Party as a Facility A Lender in accordance with the terms of this Agreement. “</w:t>
      </w:r>
      <w:r>
        <w:rPr>
          <w:rFonts w:ascii="Arial" w:cs="Arial" w:eastAsia="Arial" w:hAnsi="Arial"/>
          <w:sz w:val="18"/>
          <w:szCs w:val="18"/>
          <w:b w:val="1"/>
          <w:bCs w:val="1"/>
          <w:color w:val="auto"/>
        </w:rPr>
        <w:t>Facility A Loan</w:t>
      </w:r>
      <w:r>
        <w:rPr>
          <w:rFonts w:ascii="Arial" w:cs="Arial" w:eastAsia="Arial" w:hAnsi="Arial"/>
          <w:sz w:val="18"/>
          <w:szCs w:val="18"/>
          <w:color w:val="auto"/>
        </w:rPr>
        <w:t>” means the loan which is owed by the Borrower to the Facility A Lender in the Base Currency. “</w:t>
      </w:r>
      <w:r>
        <w:rPr>
          <w:rFonts w:ascii="Arial" w:cs="Arial" w:eastAsia="Arial" w:hAnsi="Arial"/>
          <w:sz w:val="18"/>
          <w:szCs w:val="18"/>
          <w:b w:val="1"/>
          <w:bCs w:val="1"/>
          <w:color w:val="auto"/>
        </w:rPr>
        <w:t>Facility A Participation</w:t>
      </w:r>
      <w:r>
        <w:rPr>
          <w:rFonts w:ascii="Arial" w:cs="Arial" w:eastAsia="Arial" w:hAnsi="Arial"/>
          <w:sz w:val="18"/>
          <w:szCs w:val="18"/>
          <w:color w:val="auto"/>
        </w:rPr>
        <w:t>” means:</w:t>
      </w:r>
    </w:p>
    <w:p>
      <w:pPr>
        <w:spacing w:after="0" w:line="2" w:lineRule="exact"/>
        <w:rPr>
          <w:sz w:val="20"/>
          <w:szCs w:val="20"/>
          <w:color w:val="auto"/>
        </w:rPr>
      </w:pPr>
    </w:p>
    <w:p>
      <w:pPr>
        <w:ind w:left="540" w:right="80" w:hanging="535"/>
        <w:spacing w:after="0" w:line="263" w:lineRule="auto"/>
        <w:tabs>
          <w:tab w:leader="none" w:pos="540" w:val="left"/>
        </w:tabs>
        <w:numPr>
          <w:ilvl w:val="0"/>
          <w:numId w:val="825"/>
        </w:numPr>
        <w:rPr>
          <w:rFonts w:ascii="Arial" w:cs="Arial" w:eastAsia="Arial" w:hAnsi="Arial"/>
          <w:sz w:val="18"/>
          <w:szCs w:val="18"/>
          <w:color w:val="auto"/>
        </w:rPr>
      </w:pPr>
      <w:r>
        <w:rPr>
          <w:rFonts w:ascii="Arial" w:cs="Arial" w:eastAsia="Arial" w:hAnsi="Arial"/>
          <w:sz w:val="18"/>
          <w:szCs w:val="18"/>
          <w:color w:val="auto"/>
        </w:rPr>
        <w:t>in relation to the Original Lender, the aggregate amount in HK dollars set opposite its name under the heading “Facility A Participation” in Part 1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and the amount of any other Revolving Facility Commitment transferred to it under this Agreement; and</w:t>
      </w:r>
    </w:p>
    <w:p>
      <w:pPr>
        <w:spacing w:after="0" w:line="89" w:lineRule="exact"/>
        <w:rPr>
          <w:rFonts w:ascii="Arial" w:cs="Arial" w:eastAsia="Arial" w:hAnsi="Arial"/>
          <w:sz w:val="18"/>
          <w:szCs w:val="18"/>
          <w:color w:val="auto"/>
        </w:rPr>
      </w:pPr>
    </w:p>
    <w:p>
      <w:pPr>
        <w:ind w:left="540" w:hanging="535"/>
        <w:spacing w:after="0"/>
        <w:tabs>
          <w:tab w:leader="none" w:pos="540" w:val="left"/>
        </w:tabs>
        <w:numPr>
          <w:ilvl w:val="0"/>
          <w:numId w:val="825"/>
        </w:numPr>
        <w:rPr>
          <w:rFonts w:ascii="Arial" w:cs="Arial" w:eastAsia="Arial" w:hAnsi="Arial"/>
          <w:sz w:val="17"/>
          <w:szCs w:val="17"/>
          <w:color w:val="auto"/>
        </w:rPr>
      </w:pPr>
      <w:r>
        <w:rPr>
          <w:rFonts w:ascii="Arial" w:cs="Arial" w:eastAsia="Arial" w:hAnsi="Arial"/>
          <w:sz w:val="17"/>
          <w:szCs w:val="17"/>
          <w:color w:val="auto"/>
        </w:rPr>
        <w:t>in relation to any other Lender, the amount in HK dollars of any Facility A Participation transferred to it under this Agreement,</w:t>
      </w:r>
    </w:p>
    <w:p>
      <w:pPr>
        <w:spacing w:after="0" w:line="169"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0" w:right="439" w:bottom="1440" w:gutter="0" w:footer="0" w:header="0"/>
        </w:sectPr>
      </w:pPr>
    </w:p>
    <w:bookmarkStart w:id="626" w:name="page627"/>
    <w:bookmarkEnd w:id="6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not cancelled, reduced or transferred by it under this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w:t>
      </w:r>
    </w:p>
    <w:p>
      <w:pPr>
        <w:spacing w:after="0" w:line="135" w:lineRule="exact"/>
        <w:rPr>
          <w:sz w:val="20"/>
          <w:szCs w:val="20"/>
          <w:color w:val="auto"/>
        </w:rPr>
      </w:pPr>
    </w:p>
    <w:p>
      <w:pPr>
        <w:ind w:left="540" w:right="180" w:hanging="535"/>
        <w:spacing w:after="0" w:line="263" w:lineRule="auto"/>
        <w:tabs>
          <w:tab w:leader="none" w:pos="540" w:val="left"/>
        </w:tabs>
        <w:numPr>
          <w:ilvl w:val="0"/>
          <w:numId w:val="826"/>
        </w:numPr>
        <w:rPr>
          <w:rFonts w:ascii="Arial" w:cs="Arial" w:eastAsia="Arial" w:hAnsi="Arial"/>
          <w:sz w:val="18"/>
          <w:szCs w:val="18"/>
          <w:color w:val="auto"/>
        </w:rPr>
      </w:pPr>
      <w:r>
        <w:rPr>
          <w:rFonts w:ascii="Arial" w:cs="Arial" w:eastAsia="Arial" w:hAnsi="Arial"/>
          <w:sz w:val="18"/>
          <w:szCs w:val="18"/>
          <w:color w:val="auto"/>
        </w:rPr>
        <w:t>in respect of a Lender, the office or offices notified by that Lender to the Agent in writing on or before the date it becomes a Lender (or, following that date, by not less than five (5) Business Days’ written notice) as the office or offices through which it will perform its obligations under this Agreement; or</w:t>
      </w:r>
    </w:p>
    <w:p>
      <w:pPr>
        <w:spacing w:after="0" w:line="89" w:lineRule="exact"/>
        <w:rPr>
          <w:rFonts w:ascii="Arial" w:cs="Arial" w:eastAsia="Arial" w:hAnsi="Arial"/>
          <w:sz w:val="18"/>
          <w:szCs w:val="18"/>
          <w:color w:val="auto"/>
        </w:rPr>
      </w:pPr>
    </w:p>
    <w:p>
      <w:pPr>
        <w:ind w:left="540" w:hanging="535"/>
        <w:spacing w:after="0"/>
        <w:tabs>
          <w:tab w:leader="none" w:pos="540" w:val="left"/>
        </w:tabs>
        <w:numPr>
          <w:ilvl w:val="0"/>
          <w:numId w:val="826"/>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5" w:lineRule="exact"/>
        <w:rPr>
          <w:sz w:val="20"/>
          <w:szCs w:val="20"/>
          <w:color w:val="auto"/>
        </w:rPr>
      </w:pPr>
    </w:p>
    <w:p>
      <w:pPr>
        <w:ind w:left="540" w:hanging="535"/>
        <w:spacing w:after="0"/>
        <w:tabs>
          <w:tab w:leader="none" w:pos="540" w:val="left"/>
        </w:tabs>
        <w:numPr>
          <w:ilvl w:val="0"/>
          <w:numId w:val="827"/>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30" w:lineRule="exact"/>
        <w:rPr>
          <w:rFonts w:ascii="Arial" w:cs="Arial" w:eastAsia="Arial" w:hAnsi="Arial"/>
          <w:sz w:val="18"/>
          <w:szCs w:val="18"/>
          <w:color w:val="auto"/>
        </w:rPr>
      </w:pPr>
    </w:p>
    <w:p>
      <w:pPr>
        <w:ind w:left="540" w:right="320" w:hanging="535"/>
        <w:spacing w:after="0" w:line="342" w:lineRule="auto"/>
        <w:tabs>
          <w:tab w:leader="none" w:pos="540" w:val="left"/>
        </w:tabs>
        <w:numPr>
          <w:ilvl w:val="0"/>
          <w:numId w:val="827"/>
        </w:numPr>
        <w:rPr>
          <w:rFonts w:ascii="Arial" w:cs="Arial" w:eastAsia="Arial" w:hAnsi="Arial"/>
          <w:sz w:val="16"/>
          <w:szCs w:val="16"/>
          <w:color w:val="auto"/>
        </w:rPr>
      </w:pPr>
      <w:r>
        <w:rPr>
          <w:rFonts w:ascii="Arial" w:cs="Arial" w:eastAsia="Arial" w:hAnsi="Arial"/>
          <w:sz w:val="16"/>
          <w:szCs w:val="16"/>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9" w:lineRule="exact"/>
        <w:rPr>
          <w:rFonts w:ascii="Arial" w:cs="Arial" w:eastAsia="Arial" w:hAnsi="Arial"/>
          <w:sz w:val="16"/>
          <w:szCs w:val="16"/>
          <w:color w:val="auto"/>
        </w:rPr>
      </w:pPr>
    </w:p>
    <w:p>
      <w:pPr>
        <w:ind w:left="540" w:right="220" w:hanging="535"/>
        <w:spacing w:after="0" w:line="308" w:lineRule="auto"/>
        <w:tabs>
          <w:tab w:leader="none" w:pos="540" w:val="left"/>
        </w:tabs>
        <w:numPr>
          <w:ilvl w:val="0"/>
          <w:numId w:val="827"/>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35" w:lineRule="exact"/>
        <w:rPr>
          <w:sz w:val="20"/>
          <w:szCs w:val="20"/>
          <w:color w:val="auto"/>
        </w:rPr>
      </w:pPr>
    </w:p>
    <w:p>
      <w:pPr>
        <w:ind w:left="540" w:right="420" w:hanging="535"/>
        <w:spacing w:after="0" w:line="277" w:lineRule="auto"/>
        <w:tabs>
          <w:tab w:leader="none" w:pos="54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75" w:lineRule="exact"/>
        <w:rPr>
          <w:rFonts w:ascii="Arial" w:cs="Arial" w:eastAsia="Arial" w:hAnsi="Arial"/>
          <w:sz w:val="18"/>
          <w:szCs w:val="18"/>
          <w:color w:val="auto"/>
        </w:rPr>
      </w:pPr>
    </w:p>
    <w:p>
      <w:pPr>
        <w:ind w:left="540" w:right="240" w:hanging="535"/>
        <w:spacing w:after="0" w:line="308" w:lineRule="auto"/>
        <w:tabs>
          <w:tab w:leader="none" w:pos="540" w:val="left"/>
        </w:tabs>
        <w:numPr>
          <w:ilvl w:val="0"/>
          <w:numId w:val="828"/>
        </w:numPr>
        <w:rPr>
          <w:rFonts w:ascii="Arial" w:cs="Arial" w:eastAsia="Arial" w:hAnsi="Arial"/>
          <w:sz w:val="17"/>
          <w:szCs w:val="17"/>
          <w:color w:val="auto"/>
        </w:rPr>
      </w:pPr>
      <w:r>
        <w:rPr>
          <w:rFonts w:ascii="Arial" w:cs="Arial" w:eastAsia="Arial" w:hAnsi="Arial"/>
          <w:sz w:val="17"/>
          <w:szCs w:val="17"/>
          <w:color w:val="auto"/>
        </w:rPr>
        <w:t>in relation to a “withholdable payment” described in section 1473(1)(A)(ii) of the Code (which relates to “gross proceeds” from the disposition of property of a type that can produce interest from sources within the US), 1 January 2019; or</w:t>
      </w:r>
    </w:p>
    <w:p>
      <w:pPr>
        <w:spacing w:after="0" w:line="51" w:lineRule="exact"/>
        <w:rPr>
          <w:rFonts w:ascii="Arial" w:cs="Arial" w:eastAsia="Arial" w:hAnsi="Arial"/>
          <w:sz w:val="17"/>
          <w:szCs w:val="17"/>
          <w:color w:val="auto"/>
        </w:rPr>
      </w:pPr>
    </w:p>
    <w:p>
      <w:pPr>
        <w:ind w:left="540" w:right="680" w:hanging="535"/>
        <w:spacing w:after="0" w:line="277" w:lineRule="auto"/>
        <w:tabs>
          <w:tab w:leader="none" w:pos="54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paragraphs (a) or (b) above, 1 January 2019,</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or, in each case, such other date from which such payment may become subject to a deduction or withholding required by FATCA as a result of any change in FATCA after the date of this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any letter or letters setting out any of the fees referred to in clause 21.29 (</w:t>
      </w:r>
      <w:r>
        <w:rPr>
          <w:rFonts w:ascii="Arial" w:cs="Arial" w:eastAsia="Arial" w:hAnsi="Arial"/>
          <w:sz w:val="18"/>
          <w:szCs w:val="18"/>
          <w:i w:val="1"/>
          <w:iCs w:val="1"/>
          <w:color w:val="auto"/>
        </w:rPr>
        <w:t>Common Security Agent’s fee</w:t>
      </w:r>
      <w:r>
        <w:rPr>
          <w:rFonts w:ascii="Arial" w:cs="Arial" w:eastAsia="Arial" w:hAnsi="Arial"/>
          <w:sz w:val="18"/>
          <w:szCs w:val="18"/>
          <w:color w:val="auto"/>
        </w:rPr>
        <w:t>) of the Intercreditor Agreement, clause 22.2 (</w:t>
      </w:r>
      <w:r>
        <w:rPr>
          <w:rFonts w:ascii="Arial" w:cs="Arial" w:eastAsia="Arial" w:hAnsi="Arial"/>
          <w:sz w:val="18"/>
          <w:szCs w:val="18"/>
          <w:i w:val="1"/>
          <w:iCs w:val="1"/>
          <w:color w:val="auto"/>
        </w:rPr>
        <w:t>POA Agent’s fee</w:t>
      </w:r>
      <w:r>
        <w:rPr>
          <w:rFonts w:ascii="Arial" w:cs="Arial" w:eastAsia="Arial" w:hAnsi="Arial"/>
          <w:sz w:val="18"/>
          <w:szCs w:val="18"/>
          <w:color w:val="auto"/>
        </w:rPr>
        <w:t>) of the Intercreditor Agreement or clause 23.23 (</w:t>
      </w:r>
      <w:r>
        <w:rPr>
          <w:rFonts w:ascii="Arial" w:cs="Arial" w:eastAsia="Arial" w:hAnsi="Arial"/>
          <w:sz w:val="18"/>
          <w:szCs w:val="18"/>
          <w:i w:val="1"/>
          <w:iCs w:val="1"/>
          <w:color w:val="auto"/>
        </w:rPr>
        <w:t>Intercreditor Agent’s fee</w:t>
      </w:r>
      <w:r>
        <w:rPr>
          <w:rFonts w:ascii="Arial" w:cs="Arial" w:eastAsia="Arial" w:hAnsi="Arial"/>
          <w:sz w:val="18"/>
          <w:szCs w:val="18"/>
          <w:color w:val="auto"/>
        </w:rPr>
        <w:t>) of the Intercreditor Agreement, any letter or letters between the Borrower and an Increase Lender setting out any fee referred to in paragraph (f) of Clause 2.2 (</w:t>
      </w:r>
      <w:r>
        <w:rPr>
          <w:rFonts w:ascii="Arial" w:cs="Arial" w:eastAsia="Arial" w:hAnsi="Arial"/>
          <w:sz w:val="18"/>
          <w:szCs w:val="18"/>
          <w:i w:val="1"/>
          <w:iCs w:val="1"/>
          <w:color w:val="auto"/>
        </w:rPr>
        <w:t>Increase</w:t>
      </w:r>
      <w:r>
        <w:rPr>
          <w:rFonts w:ascii="Arial" w:cs="Arial" w:eastAsia="Arial" w:hAnsi="Arial"/>
          <w:sz w:val="18"/>
          <w:szCs w:val="18"/>
          <w:color w:val="auto"/>
        </w:rPr>
        <w:t>) and any other letter or letters between a Finance Party and an Obligor setting out any of the fees referred to in Clause 14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Repayment Date</w:t>
      </w:r>
      <w:r>
        <w:rPr>
          <w:rFonts w:ascii="Arial" w:cs="Arial" w:eastAsia="Arial" w:hAnsi="Arial"/>
          <w:sz w:val="18"/>
          <w:szCs w:val="18"/>
          <w:color w:val="auto"/>
        </w:rPr>
        <w:t>” means:</w:t>
      </w:r>
    </w:p>
    <w:p>
      <w:pPr>
        <w:spacing w:after="0" w:line="135" w:lineRule="exact"/>
        <w:rPr>
          <w:sz w:val="20"/>
          <w:szCs w:val="20"/>
          <w:color w:val="auto"/>
        </w:rPr>
      </w:pPr>
    </w:p>
    <w:p>
      <w:pPr>
        <w:ind w:left="540" w:hanging="535"/>
        <w:spacing w:after="0"/>
        <w:tabs>
          <w:tab w:leader="none" w:pos="54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in relation to Facility A, 15 January 2028; and</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in relation to the Revolving Facility, 15 January 2028,</w:t>
      </w:r>
    </w:p>
    <w:p>
      <w:pPr>
        <w:spacing w:after="0" w:line="158"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5" w:right="439" w:bottom="1440" w:gutter="0" w:footer="0" w:header="0"/>
        </w:sectPr>
      </w:pPr>
    </w:p>
    <w:bookmarkStart w:id="627" w:name="page628"/>
    <w:bookmarkEnd w:id="6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in each case, if any such date is not a Business Day, the immediately preceding Business Day.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w:t>
      </w:r>
      <w:r>
        <w:rPr>
          <w:rFonts w:ascii="Arial" w:cs="Arial" w:eastAsia="Arial" w:hAnsi="Arial"/>
          <w:sz w:val="18"/>
          <w:szCs w:val="18"/>
          <w:color w:val="auto"/>
        </w:rPr>
        <w:t>” means:</w:t>
      </w:r>
    </w:p>
    <w:p>
      <w:pPr>
        <w:spacing w:after="0" w:line="135" w:lineRule="exact"/>
        <w:rPr>
          <w:sz w:val="20"/>
          <w:szCs w:val="20"/>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any Accession Letter;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any Fee Letter;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any Selection Notice;</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any Transaction Security Document;</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any Transfer Certificate or Assignment Agreement and Lender Accession Undertaking;</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any Utilisation Request;</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the Mandate Documents;</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the 2016 Amendment and Restatement Agreement;</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the 2021 Amendment and Restatement Agreement;</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any Ancillary Document; and</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any other document designated as a “Finance Document” by the Agent and the Borrower,</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for the purpose of any Continuing Document (only) the reserved meaning (if any) given to this term in connection with that</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Document pursuant to paragraphs (k) and (l) of Clause 1.2 (</w:t>
      </w:r>
      <w:r>
        <w:rPr>
          <w:rFonts w:ascii="Arial" w:cs="Arial" w:eastAsia="Arial" w:hAnsi="Arial"/>
          <w:sz w:val="16"/>
          <w:szCs w:val="16"/>
          <w:i w:val="1"/>
          <w:iCs w:val="1"/>
          <w:color w:val="auto"/>
        </w:rPr>
        <w:t>Construction</w:t>
      </w:r>
      <w:r>
        <w:rPr>
          <w:rFonts w:ascii="Arial" w:cs="Arial" w:eastAsia="Arial" w:hAnsi="Arial"/>
          <w:sz w:val="16"/>
          <w:szCs w:val="16"/>
          <w:color w:val="auto"/>
        </w:rPr>
        <w:t>) and the Intercreditor Agreement shall apply.</w:t>
      </w:r>
    </w:p>
    <w:p>
      <w:pPr>
        <w:spacing w:after="0" w:line="12"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Finance Party</w:t>
      </w:r>
      <w:r>
        <w:rPr>
          <w:rFonts w:ascii="Arial" w:cs="Arial" w:eastAsia="Arial" w:hAnsi="Arial"/>
          <w:sz w:val="16"/>
          <w:szCs w:val="16"/>
          <w:color w:val="auto"/>
        </w:rPr>
        <w:t xml:space="preserve">” means the Agent, the Common Security Agent, the Intercreditor Agent, the Lenders, any Ancillary Lender and the POA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 of any Continuing Document (only) the reserved meaning (if any) given to this term in connection with that Continuing Document pursuant to paragraphs (k) and (l) of Clause 1.2 (</w:t>
      </w:r>
      <w:r>
        <w:rPr>
          <w:rFonts w:ascii="Arial" w:cs="Arial" w:eastAsia="Arial" w:hAnsi="Arial"/>
          <w:sz w:val="16"/>
          <w:szCs w:val="16"/>
          <w:i w:val="1"/>
          <w:iCs w:val="1"/>
          <w:color w:val="auto"/>
        </w:rPr>
        <w:t>Construction</w:t>
      </w:r>
      <w:r>
        <w:rPr>
          <w:rFonts w:ascii="Arial" w:cs="Arial" w:eastAsia="Arial" w:hAnsi="Arial"/>
          <w:sz w:val="16"/>
          <w:szCs w:val="16"/>
          <w:color w:val="auto"/>
        </w:rPr>
        <w:t>) and the Intercreditor Agreement shall apply.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any indebtedness for or in respect of:</w:t>
      </w:r>
    </w:p>
    <w:p>
      <w:pPr>
        <w:spacing w:after="0" w:line="135" w:lineRule="exact"/>
        <w:rPr>
          <w:sz w:val="20"/>
          <w:szCs w:val="20"/>
          <w:color w:val="auto"/>
        </w:rPr>
      </w:pPr>
    </w:p>
    <w:p>
      <w:pPr>
        <w:ind w:left="540" w:hanging="535"/>
        <w:spacing w:after="0"/>
        <w:tabs>
          <w:tab w:leader="none" w:pos="540" w:val="left"/>
        </w:tabs>
        <w:numPr>
          <w:ilvl w:val="0"/>
          <w:numId w:val="831"/>
        </w:numPr>
        <w:rPr>
          <w:rFonts w:ascii="Arial" w:cs="Arial" w:eastAsia="Arial" w:hAnsi="Arial"/>
          <w:sz w:val="18"/>
          <w:szCs w:val="18"/>
          <w:color w:val="auto"/>
        </w:rPr>
      </w:pPr>
      <w:r>
        <w:rPr>
          <w:rFonts w:ascii="Arial" w:cs="Arial" w:eastAsia="Arial" w:hAnsi="Arial"/>
          <w:sz w:val="18"/>
          <w:szCs w:val="18"/>
          <w:color w:val="auto"/>
        </w:rPr>
        <w:t>monies borrowed;</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1"/>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1"/>
        </w:numPr>
        <w:rPr>
          <w:rFonts w:ascii="Arial" w:cs="Arial" w:eastAsia="Arial" w:hAnsi="Arial"/>
          <w:sz w:val="16"/>
          <w:szCs w:val="16"/>
          <w:color w:val="auto"/>
        </w:rPr>
      </w:pPr>
      <w:r>
        <w:rPr>
          <w:rFonts w:ascii="Arial" w:cs="Arial" w:eastAsia="Arial" w:hAnsi="Arial"/>
          <w:sz w:val="16"/>
          <w:szCs w:val="16"/>
          <w:color w:val="auto"/>
        </w:rPr>
        <w:t>any amount raised pursuant to any note purchase facility or the issue of bonds, notes, debentures, loan stock or any similar instrument;</w:t>
      </w:r>
    </w:p>
    <w:p>
      <w:pPr>
        <w:spacing w:after="0" w:line="153" w:lineRule="exact"/>
        <w:rPr>
          <w:rFonts w:ascii="Arial" w:cs="Arial" w:eastAsia="Arial" w:hAnsi="Arial"/>
          <w:sz w:val="16"/>
          <w:szCs w:val="16"/>
          <w:color w:val="auto"/>
        </w:rPr>
      </w:pPr>
    </w:p>
    <w:p>
      <w:pPr>
        <w:ind w:left="540" w:right="20" w:hanging="535"/>
        <w:spacing w:after="0" w:line="277" w:lineRule="auto"/>
        <w:tabs>
          <w:tab w:leader="none" w:pos="540" w:val="left"/>
        </w:tabs>
        <w:numPr>
          <w:ilvl w:val="0"/>
          <w:numId w:val="831"/>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the GAAP, be treated as a finance or capital lease;</w:t>
      </w:r>
    </w:p>
    <w:p>
      <w:pPr>
        <w:spacing w:after="0" w:line="75" w:lineRule="exact"/>
        <w:rPr>
          <w:rFonts w:ascii="Arial" w:cs="Arial" w:eastAsia="Arial" w:hAnsi="Arial"/>
          <w:sz w:val="18"/>
          <w:szCs w:val="18"/>
          <w:color w:val="auto"/>
        </w:rPr>
      </w:pPr>
    </w:p>
    <w:p>
      <w:pPr>
        <w:ind w:left="540" w:hanging="535"/>
        <w:spacing w:after="0"/>
        <w:tabs>
          <w:tab w:leader="none" w:pos="540" w:val="left"/>
        </w:tabs>
        <w:numPr>
          <w:ilvl w:val="0"/>
          <w:numId w:val="831"/>
        </w:numPr>
        <w:rPr>
          <w:rFonts w:ascii="Arial" w:cs="Arial" w:eastAsia="Arial" w:hAnsi="Arial"/>
          <w:sz w:val="17"/>
          <w:szCs w:val="17"/>
          <w:color w:val="auto"/>
        </w:rPr>
      </w:pPr>
      <w:r>
        <w:rPr>
          <w:rFonts w:ascii="Arial" w:cs="Arial" w:eastAsia="Arial" w:hAnsi="Arial"/>
          <w:sz w:val="17"/>
          <w:szCs w:val="17"/>
          <w:color w:val="auto"/>
        </w:rPr>
        <w:t>receivables sold or discounted (other than any receivables to the extent they are sold or discounted on a non-recourse basis);</w:t>
      </w:r>
    </w:p>
    <w:p>
      <w:pPr>
        <w:spacing w:after="0" w:line="169"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628" w:name="page629"/>
    <w:bookmarkEnd w:id="628"/>
    <w:p>
      <w:pPr>
        <w:ind w:left="540" w:right="160" w:hanging="535"/>
        <w:spacing w:after="0" w:line="263" w:lineRule="auto"/>
        <w:tabs>
          <w:tab w:leader="none" w:pos="540" w:val="left"/>
        </w:tabs>
        <w:numPr>
          <w:ilvl w:val="0"/>
          <w:numId w:val="8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Treasury Transaction (and, when calculating the value of that Treasury Transaction, only the marked to market value as at the relevant date on which Financial Indebtedness is calculated (or, if any actual amount is due as a result of the termination or close-out of that Treasury Transaction, that amount) shall be taken into account);</w:t>
      </w:r>
    </w:p>
    <w:p>
      <w:pPr>
        <w:spacing w:after="0" w:line="89" w:lineRule="exact"/>
        <w:rPr>
          <w:rFonts w:ascii="Arial" w:cs="Arial" w:eastAsia="Arial" w:hAnsi="Arial"/>
          <w:sz w:val="18"/>
          <w:szCs w:val="18"/>
          <w:color w:val="auto"/>
        </w:rPr>
      </w:pPr>
    </w:p>
    <w:p>
      <w:pPr>
        <w:ind w:left="540" w:right="440" w:hanging="535"/>
        <w:spacing w:after="0" w:line="277" w:lineRule="auto"/>
        <w:tabs>
          <w:tab w:leader="none" w:pos="54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bond, standby or documentary letter of credit or any other instrument issued by a bank or financial institution;</w:t>
      </w:r>
    </w:p>
    <w:p>
      <w:pPr>
        <w:spacing w:after="0" w:line="75" w:lineRule="exact"/>
        <w:rPr>
          <w:rFonts w:ascii="Arial" w:cs="Arial" w:eastAsia="Arial" w:hAnsi="Arial"/>
          <w:sz w:val="18"/>
          <w:szCs w:val="18"/>
          <w:color w:val="auto"/>
        </w:rPr>
      </w:pPr>
    </w:p>
    <w:p>
      <w:pPr>
        <w:ind w:left="540" w:right="60" w:hanging="535"/>
        <w:spacing w:after="0" w:line="263" w:lineRule="auto"/>
        <w:tabs>
          <w:tab w:leader="none" w:pos="54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any amount of any liability under an advance or deferred purchase agreement if (i) one of the primary reasons behind entering into the agreement is to raise finance or (ii) the agreement is in respect of the supply of assets or services and payment is due more than 180 days after the date of supply;</w:t>
      </w:r>
    </w:p>
    <w:p>
      <w:pPr>
        <w:spacing w:after="0" w:line="89" w:lineRule="exact"/>
        <w:rPr>
          <w:rFonts w:ascii="Arial" w:cs="Arial" w:eastAsia="Arial" w:hAnsi="Arial"/>
          <w:sz w:val="18"/>
          <w:szCs w:val="18"/>
          <w:color w:val="auto"/>
        </w:rPr>
      </w:pPr>
    </w:p>
    <w:p>
      <w:pPr>
        <w:ind w:left="540" w:hanging="535"/>
        <w:spacing w:after="0"/>
        <w:tabs>
          <w:tab w:leader="none" w:pos="54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any amount raised by the issue of redeemable shares;</w:t>
      </w:r>
    </w:p>
    <w:p>
      <w:pPr>
        <w:spacing w:after="0" w:line="130" w:lineRule="exact"/>
        <w:rPr>
          <w:rFonts w:ascii="Arial" w:cs="Arial" w:eastAsia="Arial" w:hAnsi="Arial"/>
          <w:sz w:val="18"/>
          <w:szCs w:val="18"/>
          <w:color w:val="auto"/>
        </w:rPr>
      </w:pPr>
    </w:p>
    <w:p>
      <w:pPr>
        <w:ind w:left="540" w:right="520" w:hanging="535"/>
        <w:spacing w:after="0" w:line="277" w:lineRule="auto"/>
        <w:tabs>
          <w:tab w:leader="none" w:pos="54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sale and sale back or sale and leaseback agreement) having the commercial effect of a borrowing; and</w:t>
      </w:r>
    </w:p>
    <w:p>
      <w:pPr>
        <w:spacing w:after="0" w:line="75" w:lineRule="exact"/>
        <w:rPr>
          <w:rFonts w:ascii="Arial" w:cs="Arial" w:eastAsia="Arial" w:hAnsi="Arial"/>
          <w:sz w:val="18"/>
          <w:szCs w:val="18"/>
          <w:color w:val="auto"/>
        </w:rPr>
      </w:pPr>
    </w:p>
    <w:p>
      <w:pPr>
        <w:ind w:left="540" w:hanging="535"/>
        <w:spacing w:after="0"/>
        <w:tabs>
          <w:tab w:leader="none" w:pos="54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for any of the items referred to in paragraphs (a) to (j) above.</w:t>
      </w:r>
    </w:p>
    <w:p>
      <w:pPr>
        <w:spacing w:after="0" w:line="113"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Model</w:t>
      </w:r>
      <w:r>
        <w:rPr>
          <w:rFonts w:ascii="Arial" w:cs="Arial" w:eastAsia="Arial" w:hAnsi="Arial"/>
          <w:sz w:val="18"/>
          <w:szCs w:val="18"/>
          <w:color w:val="auto"/>
        </w:rPr>
        <w:t>” means the financial model in the agreed form provided to the Agent in connection with the 2016 Amendment and Restatement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Quarter</w:t>
      </w:r>
      <w:r>
        <w:rPr>
          <w:rFonts w:ascii="Arial" w:cs="Arial" w:eastAsia="Arial" w:hAnsi="Arial"/>
          <w:sz w:val="18"/>
          <w:szCs w:val="18"/>
          <w:color w:val="auto"/>
        </w:rPr>
        <w:t>” has the meaning given to that term in Clause 22.3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has the meaning given to that term in Clause 22.3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Utilisation</w:t>
      </w:r>
      <w:r>
        <w:rPr>
          <w:rFonts w:ascii="Arial" w:cs="Arial" w:eastAsia="Arial" w:hAnsi="Arial"/>
          <w:sz w:val="18"/>
          <w:szCs w:val="18"/>
          <w:color w:val="auto"/>
        </w:rPr>
        <w:t>” means, for the purpose of any Continuing Document, 28 July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means Fitch Ratings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the generally accepted accounting principles in the United States of America as in effect from time to time.</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Area</w:t>
      </w:r>
      <w:r>
        <w:rPr>
          <w:rFonts w:ascii="Arial" w:cs="Arial" w:eastAsia="Arial" w:hAnsi="Arial"/>
          <w:sz w:val="18"/>
          <w:szCs w:val="18"/>
          <w:color w:val="auto"/>
        </w:rPr>
        <w:t>” means, for the purpose of any Continuing Document, the gaming area operated by Melco Resorts Macau within the Property under the terms of the Services and Right to Use Agreement.</w:t>
      </w:r>
    </w:p>
    <w:p>
      <w:pPr>
        <w:spacing w:after="0" w:line="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Gaming Subconcession</w:t>
      </w:r>
      <w:r>
        <w:rPr>
          <w:rFonts w:ascii="Arial" w:cs="Arial" w:eastAsia="Arial" w:hAnsi="Arial"/>
          <w:sz w:val="17"/>
          <w:szCs w:val="17"/>
          <w:color w:val="auto"/>
        </w:rPr>
        <w:t>” means the trilateral agreement dated 8 September 2006 entered into by and between the Macau SAR, Wynn Resorts (Macau), S.A. (as concessionaire for the operation of casino games of chance and other casino games in the Macau SAR, under the terms of a concession contract dated 24 June 2002 between the Macau SAR and Wynn Resorts (Macau), S.A.) and Melco Resorts Macau comprising a set of instruments from which shall flow an integrated web of rights, duties and obligations by and for all and each of the Macau SAR, Wynn Resorts (Macau), S.A. and Melco Resorts Macau (the nominative administrative contract known as the subconcession contract for the operation of casino games of chance and other casino games in the Macau SAR, executed by Wynn Resorts (Macau) Limited and Melco Resorts Macau, to be the most significant instrument thereof), pursuant to the terms of which Melco Resorts Macau is entitled to operate casino games of chance and other casino games in the Macau SAR as an autonomous subconcessionaire in relation to Wynn Resorts (Macau) Limited, and including any supplemental letters or agreements entered into or issued by Macau SAR and any member of Group or Melco Resorts Macau.</w:t>
      </w:r>
    </w:p>
    <w:p>
      <w:pPr>
        <w:spacing w:after="0" w:line="113"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5" w:right="439" w:bottom="1440" w:gutter="0" w:footer="0" w:header="0"/>
        </w:sectPr>
      </w:pPr>
    </w:p>
    <w:bookmarkStart w:id="629" w:name="page630"/>
    <w:bookmarkEnd w:id="629"/>
    <w:p>
      <w:pPr>
        <w:ind w:right="1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Golden Share</w:t>
      </w:r>
      <w:r>
        <w:rPr>
          <w:rFonts w:ascii="Arial" w:cs="Arial" w:eastAsia="Arial" w:hAnsi="Arial"/>
          <w:sz w:val="16"/>
          <w:szCs w:val="16"/>
          <w:color w:val="auto"/>
        </w:rPr>
        <w:t>” means any share in a company or corporation, the memorandum and/or articles of association in respect of which company or corporation designate as such or give the holder of such share any special pre-emptive rights relative to other shareholders.</w:t>
      </w:r>
    </w:p>
    <w:p>
      <w:pPr>
        <w:spacing w:after="0" w:line="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w:t>
      </w:r>
      <w:r>
        <w:rPr>
          <w:rFonts w:ascii="Arial" w:cs="Arial" w:eastAsia="Arial" w:hAnsi="Arial"/>
          <w:sz w:val="18"/>
          <w:szCs w:val="18"/>
          <w:color w:val="auto"/>
        </w:rPr>
        <w:t>” means:</w:t>
      </w:r>
    </w:p>
    <w:p>
      <w:pPr>
        <w:spacing w:after="0" w:line="135" w:lineRule="exact"/>
        <w:rPr>
          <w:sz w:val="20"/>
          <w:szCs w:val="20"/>
          <w:color w:val="auto"/>
        </w:rPr>
      </w:pPr>
    </w:p>
    <w:p>
      <w:pPr>
        <w:ind w:left="540" w:hanging="535"/>
        <w:spacing w:after="0"/>
        <w:tabs>
          <w:tab w:leader="none" w:pos="54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each of Melco Resorts Macau and SCH5; and</w:t>
      </w:r>
    </w:p>
    <w:p>
      <w:pPr>
        <w:spacing w:after="0" w:line="130" w:lineRule="exact"/>
        <w:rPr>
          <w:rFonts w:ascii="Arial" w:cs="Arial" w:eastAsia="Arial" w:hAnsi="Arial"/>
          <w:sz w:val="18"/>
          <w:szCs w:val="18"/>
          <w:color w:val="auto"/>
        </w:rPr>
      </w:pPr>
    </w:p>
    <w:p>
      <w:pPr>
        <w:ind w:left="540" w:right="220" w:hanging="535"/>
        <w:spacing w:after="0" w:line="277" w:lineRule="auto"/>
        <w:tabs>
          <w:tab w:leader="none" w:pos="54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each other person (other than an Obligor) that grants Security under any Transaction Security Document after the 2016 Amendment and Restatement Effective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Parent and each of its Subsidiaries from time to time.</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Insured</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 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Outstandings</w:t>
      </w:r>
      <w:r>
        <w:rPr>
          <w:rFonts w:ascii="Arial" w:cs="Arial" w:eastAsia="Arial" w:hAnsi="Arial"/>
          <w:sz w:val="18"/>
          <w:szCs w:val="18"/>
          <w:color w:val="auto"/>
        </w:rPr>
        <w:t>” means, in relation to a Multi-account Overdraft, the Ancillary Outstandings of that Multi-account Overdraft but calculated on the basis that the words “(net of any Available Credit Balance)” in paragraph (a) of the definition of Ancillary Outstandings were deleted.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 Original Guarantor or an Additional Guarantor.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Hedge Counterparty</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Liabilities</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Loan denominated in HK dollars:</w:t>
      </w:r>
    </w:p>
    <w:p>
      <w:pPr>
        <w:spacing w:after="0" w:line="135" w:lineRule="exact"/>
        <w:rPr>
          <w:sz w:val="20"/>
          <w:szCs w:val="20"/>
          <w:color w:val="auto"/>
        </w:rPr>
      </w:pPr>
    </w:p>
    <w:p>
      <w:pPr>
        <w:ind w:left="540" w:hanging="535"/>
        <w:spacing w:after="0"/>
        <w:tabs>
          <w:tab w:leader="none" w:pos="54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if no Screen Rate is available for HK dollars for the Interest Period of that Loan, the Interpolated Screen Rate; or</w:t>
      </w:r>
    </w:p>
    <w:p>
      <w:pPr>
        <w:spacing w:after="0" w:line="130" w:lineRule="exact"/>
        <w:rPr>
          <w:rFonts w:ascii="Arial" w:cs="Arial" w:eastAsia="Arial" w:hAnsi="Arial"/>
          <w:sz w:val="18"/>
          <w:szCs w:val="18"/>
          <w:color w:val="auto"/>
        </w:rPr>
      </w:pPr>
    </w:p>
    <w:p>
      <w:pPr>
        <w:ind w:left="540" w:right="60" w:hanging="535"/>
        <w:spacing w:after="0" w:line="263" w:lineRule="auto"/>
        <w:tabs>
          <w:tab w:leader="none" w:pos="54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if no Screen Rate is available for the Interest Period of that Loan and it is not possible to calculate an Interpolated Screen Rate for that Loan, the arithmetic mean of the rates (rounded upwards to four decimal places) as supplied to the Agent at its request quoted by the Reference Banks to leading banks in the Relevant Interbank Market,</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or about 11:00 a.m. on the Quotation Date for HK dollars for a period comparable to the Interest Period for that Loan, and if any such rate is less than zero, such rate shall be deemed to be zero.</w:t>
      </w:r>
    </w:p>
    <w:p>
      <w:pPr>
        <w:spacing w:after="0" w:line="5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 Disbursement Agreement</w:t>
      </w:r>
      <w:r>
        <w:rPr>
          <w:rFonts w:ascii="Arial" w:cs="Arial" w:eastAsia="Arial" w:hAnsi="Arial"/>
          <w:sz w:val="18"/>
          <w:szCs w:val="18"/>
          <w:color w:val="auto"/>
        </w:rPr>
        <w:t>” means, for the purpose of any Continuing Document, the note disbursement and account agreement in respect of funds from time to time standing to the credit of the High Yield Note Proceeds Account dated 26 November 2012 and made between, among others, the Borrower, the Original Bondco and the High Yield Note Trustee.</w:t>
      </w:r>
    </w:p>
    <w:p>
      <w:pPr>
        <w:spacing w:after="0" w:line="112"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0" w:right="439" w:bottom="1440" w:gutter="0" w:footer="0" w:header="0"/>
        </w:sectPr>
      </w:pPr>
    </w:p>
    <w:bookmarkStart w:id="630" w:name="page631"/>
    <w:bookmarkEnd w:id="630"/>
    <w:p>
      <w:pPr>
        <w:ind w:right="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High Yield Note Document</w:t>
      </w:r>
      <w:r>
        <w:rPr>
          <w:rFonts w:ascii="Arial" w:cs="Arial" w:eastAsia="Arial" w:hAnsi="Arial"/>
          <w:sz w:val="18"/>
          <w:szCs w:val="18"/>
          <w:color w:val="auto"/>
        </w:rPr>
        <w:t>” means each High Yield Note Indenture, each Bondco Loan Agreement and each other document or instrument which relates to any High Yield Notes or, as the case may be, High Yield Note Refinancing Indebtedness.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 Guarantees</w:t>
      </w:r>
      <w:r>
        <w:rPr>
          <w:rFonts w:ascii="Arial" w:cs="Arial" w:eastAsia="Arial" w:hAnsi="Arial"/>
          <w:sz w:val="18"/>
          <w:szCs w:val="18"/>
          <w:color w:val="auto"/>
        </w:rPr>
        <w:t>” means the guarantees provided by any Obligor:</w:t>
      </w:r>
    </w:p>
    <w:p>
      <w:pPr>
        <w:spacing w:after="0" w:line="135" w:lineRule="exact"/>
        <w:rPr>
          <w:sz w:val="20"/>
          <w:szCs w:val="20"/>
          <w:color w:val="auto"/>
        </w:rPr>
      </w:pPr>
    </w:p>
    <w:p>
      <w:pPr>
        <w:ind w:left="540" w:hanging="535"/>
        <w:spacing w:after="0"/>
        <w:tabs>
          <w:tab w:leader="none" w:pos="54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to the High Yield Note Trustee in respect of the High Yield Notes issued prior to the original date of this Agreement; or</w:t>
      </w:r>
    </w:p>
    <w:p>
      <w:pPr>
        <w:spacing w:after="0" w:line="130" w:lineRule="exact"/>
        <w:rPr>
          <w:rFonts w:ascii="Arial" w:cs="Arial" w:eastAsia="Arial" w:hAnsi="Arial"/>
          <w:sz w:val="18"/>
          <w:szCs w:val="18"/>
          <w:color w:val="auto"/>
        </w:rPr>
      </w:pPr>
    </w:p>
    <w:p>
      <w:pPr>
        <w:ind w:left="540" w:right="120" w:hanging="535"/>
        <w:spacing w:after="0" w:line="277" w:lineRule="auto"/>
        <w:tabs>
          <w:tab w:leader="none" w:pos="54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in respect of any Additional High Yield Note, Additional High Yield Note Refinancing Indebtedness or High Yield Note Refinancing Indebtedness.</w:t>
      </w:r>
    </w:p>
    <w:p>
      <w:pPr>
        <w:spacing w:after="0" w:line="5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 Indenture</w:t>
      </w:r>
      <w:r>
        <w:rPr>
          <w:rFonts w:ascii="Arial" w:cs="Arial" w:eastAsia="Arial" w:hAnsi="Arial"/>
          <w:sz w:val="18"/>
          <w:szCs w:val="18"/>
          <w:color w:val="auto"/>
        </w:rPr>
        <w:t>” means the indenture dated 26 November 2012 made between (among others) the Original Bondco and the High Yield Note Trustee or any equivalent High Yield Note Document in respect of any High Yield Note Refinancing Indebtedness issued by way of debt securities (in each case, as amended or supplemented from time to time).</w:t>
      </w:r>
    </w:p>
    <w:p>
      <w:pPr>
        <w:spacing w:after="0" w:line="6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 Interest Reserve Account</w:t>
      </w:r>
      <w:r>
        <w:rPr>
          <w:rFonts w:ascii="Arial" w:cs="Arial" w:eastAsia="Arial" w:hAnsi="Arial"/>
          <w:sz w:val="18"/>
          <w:szCs w:val="18"/>
          <w:color w:val="auto"/>
        </w:rPr>
        <w:t>” has the meaning, for the purpose of any Continuing Document, given to the term “Note Interest Reserve Account” in the High Yield Note Disbursement Agreement.</w:t>
      </w:r>
    </w:p>
    <w:p>
      <w:pPr>
        <w:spacing w:after="0" w:line="5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 Proceeds Account</w:t>
      </w:r>
      <w:r>
        <w:rPr>
          <w:rFonts w:ascii="Arial" w:cs="Arial" w:eastAsia="Arial" w:hAnsi="Arial"/>
          <w:sz w:val="18"/>
          <w:szCs w:val="18"/>
          <w:color w:val="auto"/>
        </w:rPr>
        <w:t>” has the meaning, for the purpose of any Continuing Document, given to the term “Note Proceeds Account” in the High Yield Note Disbursement Agreement.</w:t>
      </w:r>
    </w:p>
    <w:p>
      <w:pPr>
        <w:spacing w:after="0" w:line="5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 Refinancing</w:t>
      </w:r>
      <w:r>
        <w:rPr>
          <w:rFonts w:ascii="Arial" w:cs="Arial" w:eastAsia="Arial" w:hAnsi="Arial"/>
          <w:sz w:val="18"/>
          <w:szCs w:val="18"/>
          <w:color w:val="auto"/>
        </w:rPr>
        <w:t>” means a refinancing of any amount outstanding under or in connection with the High Yield Notes issued prior to the original date of this Agreement or a High Yield Note Refinancing from the proceeds of an issue by a Bondco of high yield notes or other Financial Indebtedness (each, “</w:t>
      </w:r>
      <w:r>
        <w:rPr>
          <w:rFonts w:ascii="Arial" w:cs="Arial" w:eastAsia="Arial" w:hAnsi="Arial"/>
          <w:sz w:val="18"/>
          <w:szCs w:val="18"/>
          <w:b w:val="1"/>
          <w:bCs w:val="1"/>
          <w:color w:val="auto"/>
        </w:rPr>
        <w:t>High Yield Note Refinancing Indebtedness</w:t>
      </w:r>
      <w:r>
        <w:rPr>
          <w:rFonts w:ascii="Arial" w:cs="Arial" w:eastAsia="Arial" w:hAnsi="Arial"/>
          <w:sz w:val="18"/>
          <w:szCs w:val="18"/>
          <w:color w:val="auto"/>
        </w:rPr>
        <w:t>”) where:</w:t>
      </w:r>
    </w:p>
    <w:p>
      <w:pPr>
        <w:spacing w:after="0" w:line="85" w:lineRule="exact"/>
        <w:rPr>
          <w:sz w:val="20"/>
          <w:szCs w:val="20"/>
          <w:color w:val="auto"/>
        </w:rPr>
      </w:pPr>
    </w:p>
    <w:p>
      <w:pPr>
        <w:ind w:left="540" w:right="160" w:hanging="535"/>
        <w:spacing w:after="0" w:line="277" w:lineRule="auto"/>
        <w:tabs>
          <w:tab w:leader="none" w:pos="540" w:val="left"/>
        </w:tabs>
        <w:numPr>
          <w:ilvl w:val="0"/>
          <w:numId w:val="836"/>
        </w:numPr>
        <w:rPr>
          <w:rFonts w:ascii="Arial" w:cs="Arial" w:eastAsia="Arial" w:hAnsi="Arial"/>
          <w:sz w:val="18"/>
          <w:szCs w:val="18"/>
          <w:color w:val="auto"/>
        </w:rPr>
      </w:pPr>
      <w:r>
        <w:rPr>
          <w:rFonts w:ascii="Arial" w:cs="Arial" w:eastAsia="Arial" w:hAnsi="Arial"/>
          <w:sz w:val="18"/>
          <w:szCs w:val="18"/>
          <w:color w:val="auto"/>
        </w:rPr>
        <w:t>the terms thereof are no less favourable to the Finance Parties than the terms of the High Yield Notes issued prior to the original date of this Agreement (and do not have an adverse effect on the interests of the Finance Parties);</w:t>
      </w:r>
    </w:p>
    <w:p>
      <w:pPr>
        <w:spacing w:after="0" w:line="75" w:lineRule="exact"/>
        <w:rPr>
          <w:rFonts w:ascii="Arial" w:cs="Arial" w:eastAsia="Arial" w:hAnsi="Arial"/>
          <w:sz w:val="18"/>
          <w:szCs w:val="18"/>
          <w:color w:val="auto"/>
        </w:rPr>
      </w:pPr>
    </w:p>
    <w:p>
      <w:pPr>
        <w:ind w:left="540" w:right="80" w:hanging="535"/>
        <w:spacing w:after="0" w:line="259" w:lineRule="auto"/>
        <w:tabs>
          <w:tab w:leader="none" w:pos="540" w:val="left"/>
        </w:tabs>
        <w:numPr>
          <w:ilvl w:val="0"/>
          <w:numId w:val="836"/>
        </w:numPr>
        <w:rPr>
          <w:rFonts w:ascii="Arial" w:cs="Arial" w:eastAsia="Arial" w:hAnsi="Arial"/>
          <w:sz w:val="18"/>
          <w:szCs w:val="18"/>
          <w:color w:val="auto"/>
        </w:rPr>
      </w:pPr>
      <w:r>
        <w:rPr>
          <w:rFonts w:ascii="Arial" w:cs="Arial" w:eastAsia="Arial" w:hAnsi="Arial"/>
          <w:sz w:val="18"/>
          <w:szCs w:val="18"/>
          <w:color w:val="auto"/>
        </w:rPr>
        <w:t>the terms thereof (including, without limitation, the terms of any related guarantees, security or other credit support) are no more onerous to any Obligor (for the avoidance of doubt, an increase in pricing payable by any Obligor when compared to the High Yield Notes shall be more onerous) and do not provide for any redemptions on a date falling prior to the last Termination Date applicable to the Facilities; and</w:t>
      </w:r>
    </w:p>
    <w:p>
      <w:pPr>
        <w:spacing w:after="0" w:line="92" w:lineRule="exact"/>
        <w:rPr>
          <w:rFonts w:ascii="Arial" w:cs="Arial" w:eastAsia="Arial" w:hAnsi="Arial"/>
          <w:sz w:val="18"/>
          <w:szCs w:val="18"/>
          <w:color w:val="auto"/>
        </w:rPr>
      </w:pPr>
    </w:p>
    <w:p>
      <w:pPr>
        <w:ind w:left="540" w:right="80" w:hanging="535"/>
        <w:spacing w:after="0" w:line="275" w:lineRule="auto"/>
        <w:tabs>
          <w:tab w:leader="none" w:pos="540" w:val="left"/>
        </w:tabs>
        <w:numPr>
          <w:ilvl w:val="0"/>
          <w:numId w:val="836"/>
        </w:numPr>
        <w:rPr>
          <w:rFonts w:ascii="Arial" w:cs="Arial" w:eastAsia="Arial" w:hAnsi="Arial"/>
          <w:sz w:val="17"/>
          <w:szCs w:val="17"/>
          <w:color w:val="auto"/>
        </w:rPr>
      </w:pPr>
      <w:r>
        <w:rPr>
          <w:rFonts w:ascii="Arial" w:cs="Arial" w:eastAsia="Arial" w:hAnsi="Arial"/>
          <w:sz w:val="17"/>
          <w:szCs w:val="17"/>
          <w:color w:val="auto"/>
        </w:rPr>
        <w:t>the scope (including the assets subject to security, the persons giving security, guarantees or other credit support and the amount of financial obligations guaranteed, secured or supported by any Obligor) of any security, guarantees or credit support given in connection with such High Yield Notes Refinancing Indebtedness by any Obligor shall be no greater than the security, guarantees and credit support granted (and financial obligations guaranteed, secured or supported by any Obligor) pursuant to the High Yield Note Documents entered into prior to the original date of this Agreement.</w:t>
      </w:r>
    </w:p>
    <w:p>
      <w:pPr>
        <w:spacing w:after="0" w:line="64"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High Yield Note Trustee</w:t>
      </w:r>
      <w:r>
        <w:rPr>
          <w:rFonts w:ascii="Arial" w:cs="Arial" w:eastAsia="Arial" w:hAnsi="Arial"/>
          <w:sz w:val="16"/>
          <w:szCs w:val="16"/>
          <w:color w:val="auto"/>
        </w:rPr>
        <w:t>” means DB Trustees (Hong Kong) Limited (or its permitted successor or assign) as trustee for the High Yield Noteholders on the terms set out in the High Yield Note Indenture or its equivalent under any other High Yield Note Document.</w:t>
      </w:r>
    </w:p>
    <w:p>
      <w:pPr>
        <w:spacing w:after="0" w:line="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Noteholders</w:t>
      </w:r>
      <w:r>
        <w:rPr>
          <w:rFonts w:ascii="Arial" w:cs="Arial" w:eastAsia="Arial" w:hAnsi="Arial"/>
          <w:sz w:val="18"/>
          <w:szCs w:val="18"/>
          <w:color w:val="auto"/>
        </w:rPr>
        <w:t>” means the holders of the High Yield Notes or High Yield Note Refinancing Indebtedness from time to time issued by way of debt securities.</w:t>
      </w:r>
    </w:p>
    <w:p>
      <w:pPr>
        <w:spacing w:after="0" w:line="98"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1" w:right="439" w:bottom="1440" w:gutter="0" w:footer="0" w:header="0"/>
        </w:sectPr>
      </w:pPr>
    </w:p>
    <w:bookmarkStart w:id="631" w:name="page632"/>
    <w:bookmarkEnd w:id="631"/>
    <w:p>
      <w:pPr>
        <w:ind w:right="1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High Yield Notes</w:t>
      </w:r>
      <w:r>
        <w:rPr>
          <w:rFonts w:ascii="Arial" w:cs="Arial" w:eastAsia="Arial" w:hAnsi="Arial"/>
          <w:sz w:val="18"/>
          <w:szCs w:val="18"/>
          <w:color w:val="auto"/>
        </w:rPr>
        <w:t>” means the US$825,000,000 8.500% senior notes due 2020 issued by the Original Bondco and subject to the terms of the High Yield Note Indenture or any Financial Indebtedness incurred by way of High Yield Note Refinancing.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w:t>
      </w:r>
      <w:r>
        <w:rPr>
          <w:rFonts w:ascii="Arial" w:cs="Arial" w:eastAsia="Arial" w:hAnsi="Arial"/>
          <w:sz w:val="18"/>
          <w:szCs w:val="18"/>
          <w:color w:val="auto"/>
        </w:rPr>
        <w:t>”, “</w:t>
      </w:r>
      <w:r>
        <w:rPr>
          <w:rFonts w:ascii="Arial" w:cs="Arial" w:eastAsia="Arial" w:hAnsi="Arial"/>
          <w:sz w:val="18"/>
          <w:szCs w:val="18"/>
          <w:b w:val="1"/>
          <w:bCs w:val="1"/>
          <w:color w:val="auto"/>
        </w:rPr>
        <w:t>Hong Kong dollars</w:t>
      </w:r>
      <w:r>
        <w:rPr>
          <w:rFonts w:ascii="Arial" w:cs="Arial" w:eastAsia="Arial" w:hAnsi="Arial"/>
          <w:sz w:val="18"/>
          <w:szCs w:val="18"/>
          <w:color w:val="auto"/>
        </w:rPr>
        <w:t>” or “</w:t>
      </w:r>
      <w:r>
        <w:rPr>
          <w:rFonts w:ascii="Arial" w:cs="Arial" w:eastAsia="Arial" w:hAnsi="Arial"/>
          <w:sz w:val="18"/>
          <w:szCs w:val="18"/>
          <w:b w:val="1"/>
          <w:bCs w:val="1"/>
          <w:color w:val="auto"/>
        </w:rPr>
        <w:t>HK dollars</w:t>
      </w:r>
      <w:r>
        <w:rPr>
          <w:rFonts w:ascii="Arial" w:cs="Arial" w:eastAsia="Arial" w:hAnsi="Arial"/>
          <w:sz w:val="18"/>
          <w:szCs w:val="18"/>
          <w:color w:val="auto"/>
        </w:rPr>
        <w:t>” denotes the lawful currency of the Hong Kong SAR.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Holding Company</w:t>
      </w:r>
      <w:r>
        <w:rPr>
          <w:rFonts w:ascii="Arial" w:cs="Arial" w:eastAsia="Arial" w:hAnsi="Arial"/>
          <w:sz w:val="16"/>
          <w:szCs w:val="16"/>
          <w:color w:val="auto"/>
        </w:rPr>
        <w:t>” means, in relation to a company or corporation, any other company or corporation in respect of which it is a Subsidiary.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SAR</w:t>
      </w:r>
      <w:r>
        <w:rPr>
          <w:rFonts w:ascii="Arial" w:cs="Arial" w:eastAsia="Arial" w:hAnsi="Arial"/>
          <w:sz w:val="18"/>
          <w:szCs w:val="18"/>
          <w:color w:val="auto"/>
        </w:rPr>
        <w:t>” means the Hong Kong Special Administrative Region of the People’s Republic of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Illegal Lender</w:t>
      </w:r>
      <w:r>
        <w:rPr>
          <w:rFonts w:ascii="Arial" w:cs="Arial" w:eastAsia="Arial" w:hAnsi="Arial"/>
          <w:sz w:val="18"/>
          <w:szCs w:val="18"/>
          <w:color w:val="auto"/>
        </w:rPr>
        <w:t>” means a Lender whom an Obligor is or becomes obliged to repay or prepay pursuant to Clause 8.1 (</w:t>
      </w:r>
      <w:r>
        <w:rPr>
          <w:rFonts w:ascii="Arial" w:cs="Arial" w:eastAsia="Arial" w:hAnsi="Arial"/>
          <w:sz w:val="18"/>
          <w:szCs w:val="18"/>
          <w:i w:val="1"/>
          <w:iCs w:val="1"/>
          <w:color w:val="auto"/>
        </w:rPr>
        <w:t>Illegality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Impaired Agent</w:t>
      </w:r>
      <w:r>
        <w:rPr>
          <w:rFonts w:ascii="Arial" w:cs="Arial" w:eastAsia="Arial" w:hAnsi="Arial"/>
          <w:sz w:val="18"/>
          <w:szCs w:val="18"/>
          <w:color w:val="auto"/>
        </w:rPr>
        <w:t>” means the Agent at any time when:</w:t>
      </w:r>
    </w:p>
    <w:p>
      <w:pPr>
        <w:spacing w:after="0" w:line="135" w:lineRule="exact"/>
        <w:rPr>
          <w:sz w:val="20"/>
          <w:szCs w:val="20"/>
          <w:color w:val="auto"/>
        </w:rPr>
      </w:pPr>
    </w:p>
    <w:p>
      <w:pPr>
        <w:ind w:left="540" w:right="180" w:hanging="535"/>
        <w:spacing w:after="0" w:line="277" w:lineRule="auto"/>
        <w:tabs>
          <w:tab w:leader="none" w:pos="54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75" w:lineRule="exact"/>
        <w:rPr>
          <w:rFonts w:ascii="Arial" w:cs="Arial" w:eastAsia="Arial" w:hAnsi="Arial"/>
          <w:sz w:val="18"/>
          <w:szCs w:val="18"/>
          <w:color w:val="auto"/>
        </w:rPr>
      </w:pPr>
    </w:p>
    <w:p>
      <w:pPr>
        <w:ind w:left="540" w:hanging="535"/>
        <w:spacing w:after="0"/>
        <w:tabs>
          <w:tab w:leader="none" w:pos="54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it otherwise rescinds or repudiates a Finance Document;</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37"/>
        </w:numPr>
        <w:rPr>
          <w:rFonts w:ascii="Arial" w:cs="Arial" w:eastAsia="Arial" w:hAnsi="Arial"/>
          <w:sz w:val="17"/>
          <w:szCs w:val="17"/>
          <w:color w:val="auto"/>
        </w:rPr>
      </w:pPr>
      <w:r>
        <w:rPr>
          <w:rFonts w:ascii="Arial" w:cs="Arial" w:eastAsia="Arial" w:hAnsi="Arial"/>
          <w:sz w:val="17"/>
          <w:szCs w:val="17"/>
          <w:color w:val="auto"/>
        </w:rPr>
        <w:t>(if the Agent is also a Lender) it is a Defaulting Lender under paragraph (a) or (b) of the definition of “Defaulting Lender”; or</w:t>
      </w:r>
    </w:p>
    <w:p>
      <w:pPr>
        <w:spacing w:after="0" w:line="142" w:lineRule="exact"/>
        <w:rPr>
          <w:rFonts w:ascii="Arial" w:cs="Arial" w:eastAsia="Arial" w:hAnsi="Arial"/>
          <w:sz w:val="17"/>
          <w:szCs w:val="17"/>
          <w:color w:val="auto"/>
        </w:rPr>
      </w:pPr>
    </w:p>
    <w:p>
      <w:pPr>
        <w:ind w:left="540" w:hanging="535"/>
        <w:spacing w:after="0"/>
        <w:tabs>
          <w:tab w:leader="none" w:pos="54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unless, in the case of paragraph (a) above:</w:t>
      </w:r>
    </w:p>
    <w:p>
      <w:pPr>
        <w:spacing w:after="0" w:line="131" w:lineRule="exact"/>
        <w:rPr>
          <w:sz w:val="20"/>
          <w:szCs w:val="20"/>
          <w:color w:val="auto"/>
        </w:rPr>
      </w:pPr>
    </w:p>
    <w:p>
      <w:pPr>
        <w:ind w:left="1200" w:hanging="655"/>
        <w:spacing w:after="0"/>
        <w:tabs>
          <w:tab w:leader="none" w:pos="1200" w:val="left"/>
        </w:tabs>
        <w:numPr>
          <w:ilvl w:val="0"/>
          <w:numId w:val="838"/>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1740" w:hanging="533"/>
        <w:spacing w:after="0"/>
        <w:tabs>
          <w:tab w:leader="none" w:pos="1740" w:val="left"/>
        </w:tabs>
        <w:numPr>
          <w:ilvl w:val="1"/>
          <w:numId w:val="838"/>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30" w:lineRule="exact"/>
        <w:rPr>
          <w:rFonts w:ascii="Arial" w:cs="Arial" w:eastAsia="Arial" w:hAnsi="Arial"/>
          <w:sz w:val="18"/>
          <w:szCs w:val="18"/>
          <w:color w:val="auto"/>
        </w:rPr>
      </w:pPr>
    </w:p>
    <w:p>
      <w:pPr>
        <w:ind w:left="1740" w:hanging="533"/>
        <w:spacing w:after="0"/>
        <w:tabs>
          <w:tab w:leader="none" w:pos="1740" w:val="left"/>
        </w:tabs>
        <w:numPr>
          <w:ilvl w:val="1"/>
          <w:numId w:val="838"/>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131" w:lineRule="exact"/>
        <w:rPr>
          <w:sz w:val="20"/>
          <w:szCs w:val="20"/>
          <w:color w:val="auto"/>
        </w:rPr>
      </w:pPr>
    </w:p>
    <w:p>
      <w:pPr>
        <w:ind w:left="1200" w:hanging="655"/>
        <w:spacing w:after="0"/>
        <w:tabs>
          <w:tab w:leader="none" w:pos="1200" w:val="left"/>
        </w:tabs>
        <w:numPr>
          <w:ilvl w:val="0"/>
          <w:numId w:val="839"/>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 Confirmation</w:t>
      </w:r>
      <w:r>
        <w:rPr>
          <w:rFonts w:ascii="Arial" w:cs="Arial" w:eastAsia="Arial" w:hAnsi="Arial"/>
          <w:sz w:val="18"/>
          <w:szCs w:val="18"/>
          <w:color w:val="auto"/>
        </w:rPr>
        <w:t>” means a confirmation substantially in the form set out in Schedule 9 (</w:t>
      </w:r>
      <w:r>
        <w:rPr>
          <w:rFonts w:ascii="Arial" w:cs="Arial" w:eastAsia="Arial" w:hAnsi="Arial"/>
          <w:sz w:val="18"/>
          <w:szCs w:val="18"/>
          <w:i w:val="1"/>
          <w:iCs w:val="1"/>
          <w:color w:val="auto"/>
        </w:rPr>
        <w:t>Form of Increase Confirmation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 Lender</w:t>
      </w:r>
      <w:r>
        <w:rPr>
          <w:rFonts w:ascii="Arial" w:cs="Arial" w:eastAsia="Arial" w:hAnsi="Arial"/>
          <w:sz w:val="18"/>
          <w:szCs w:val="18"/>
          <w:color w:val="auto"/>
        </w:rPr>
        <w:t>” has the meaning given to that term in paragraph (a)(i) of Clause 2.2 (</w:t>
      </w:r>
      <w:r>
        <w:rPr>
          <w:rFonts w:ascii="Arial" w:cs="Arial" w:eastAsia="Arial" w:hAnsi="Arial"/>
          <w:sz w:val="18"/>
          <w:szCs w:val="18"/>
          <w:i w:val="1"/>
          <w:iCs w:val="1"/>
          <w:color w:val="auto"/>
        </w:rPr>
        <w:t>Increase</w:t>
      </w:r>
      <w:r>
        <w:rPr>
          <w:rFonts w:ascii="Arial" w:cs="Arial" w:eastAsia="Arial" w:hAnsi="Arial"/>
          <w:sz w:val="18"/>
          <w:szCs w:val="18"/>
          <w:color w:val="auto"/>
        </w:rPr>
        <w:t>).</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Increased Costs Lender</w:t>
      </w:r>
      <w:r>
        <w:rPr>
          <w:rFonts w:ascii="Arial" w:cs="Arial" w:eastAsia="Arial" w:hAnsi="Arial"/>
          <w:sz w:val="17"/>
          <w:szCs w:val="17"/>
          <w:color w:val="auto"/>
        </w:rPr>
        <w:t>” means a Lender to whom the Borrower is required to pay Increased Costs under Clause 16 (</w:t>
      </w:r>
      <w:r>
        <w:rPr>
          <w:rFonts w:ascii="Arial" w:cs="Arial" w:eastAsia="Arial" w:hAnsi="Arial"/>
          <w:sz w:val="17"/>
          <w:szCs w:val="17"/>
          <w:i w:val="1"/>
          <w:iCs w:val="1"/>
          <w:color w:val="auto"/>
        </w:rPr>
        <w:t>Increased Costs</w:t>
      </w:r>
      <w:r>
        <w:rPr>
          <w:rFonts w:ascii="Arial" w:cs="Arial" w:eastAsia="Arial" w:hAnsi="Arial"/>
          <w:sz w:val="17"/>
          <w:szCs w:val="17"/>
          <w:color w:val="auto"/>
        </w:rPr>
        <w:t>), to make a tax gross-up under Clause 15.2 (</w:t>
      </w:r>
      <w:r>
        <w:rPr>
          <w:rFonts w:ascii="Arial" w:cs="Arial" w:eastAsia="Arial" w:hAnsi="Arial"/>
          <w:sz w:val="17"/>
          <w:szCs w:val="17"/>
          <w:i w:val="1"/>
          <w:iCs w:val="1"/>
          <w:color w:val="auto"/>
        </w:rPr>
        <w:t>Tax gross-up</w:t>
      </w:r>
      <w:r>
        <w:rPr>
          <w:rFonts w:ascii="Arial" w:cs="Arial" w:eastAsia="Arial" w:hAnsi="Arial"/>
          <w:sz w:val="17"/>
          <w:szCs w:val="17"/>
          <w:color w:val="auto"/>
        </w:rPr>
        <w:t>) or tax indemnity under Clause 15.3 (</w:t>
      </w:r>
      <w:r>
        <w:rPr>
          <w:rFonts w:ascii="Arial" w:cs="Arial" w:eastAsia="Arial" w:hAnsi="Arial"/>
          <w:sz w:val="17"/>
          <w:szCs w:val="17"/>
          <w:i w:val="1"/>
          <w:iCs w:val="1"/>
          <w:color w:val="auto"/>
        </w:rPr>
        <w:t>Tax indemnity</w:t>
      </w:r>
      <w:r>
        <w:rPr>
          <w:rFonts w:ascii="Arial" w:cs="Arial" w:eastAsia="Arial" w:hAnsi="Arial"/>
          <w:sz w:val="17"/>
          <w:szCs w:val="17"/>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Tax</w:t>
      </w:r>
      <w:r>
        <w:rPr>
          <w:rFonts w:ascii="Arial" w:cs="Arial" w:eastAsia="Arial" w:hAnsi="Arial"/>
          <w:sz w:val="18"/>
          <w:szCs w:val="18"/>
          <w:color w:val="auto"/>
        </w:rPr>
        <w:t>” means any goods and services tax, consumption tax, value added tax or any tax of a similar 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means, in relation to a Finance Party, that the Finance Party:</w:t>
      </w:r>
    </w:p>
    <w:p>
      <w:pPr>
        <w:spacing w:after="0" w:line="135" w:lineRule="exact"/>
        <w:rPr>
          <w:sz w:val="20"/>
          <w:szCs w:val="20"/>
          <w:color w:val="auto"/>
        </w:rPr>
      </w:pPr>
    </w:p>
    <w:p>
      <w:pPr>
        <w:ind w:left="540" w:hanging="535"/>
        <w:spacing w:after="0"/>
        <w:tabs>
          <w:tab w:leader="none" w:pos="540" w:val="left"/>
        </w:tabs>
        <w:numPr>
          <w:ilvl w:val="0"/>
          <w:numId w:val="840"/>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40"/>
        </w:numPr>
        <w:rPr>
          <w:rFonts w:ascii="Arial" w:cs="Arial" w:eastAsia="Arial" w:hAnsi="Arial"/>
          <w:sz w:val="16"/>
          <w:szCs w:val="16"/>
          <w:color w:val="auto"/>
        </w:rPr>
      </w:pPr>
      <w:r>
        <w:rPr>
          <w:rFonts w:ascii="Arial" w:cs="Arial" w:eastAsia="Arial" w:hAnsi="Arial"/>
          <w:sz w:val="16"/>
          <w:szCs w:val="16"/>
          <w:color w:val="auto"/>
        </w:rPr>
        <w:t>becomes insolvent or is unable to pay its debts or fails or admits in writing its inability generally to pay its debts as they become due;</w:t>
      </w:r>
    </w:p>
    <w:p>
      <w:pPr>
        <w:spacing w:after="0" w:line="181"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0" w:right="439" w:bottom="1440" w:gutter="0" w:footer="0" w:header="0"/>
        </w:sectPr>
      </w:pPr>
    </w:p>
    <w:bookmarkStart w:id="632" w:name="page633"/>
    <w:bookmarkEnd w:id="632"/>
    <w:p>
      <w:pPr>
        <w:ind w:left="540" w:hanging="535"/>
        <w:spacing w:after="0"/>
        <w:tabs>
          <w:tab w:leader="none" w:pos="540" w:val="left"/>
        </w:tabs>
        <w:numPr>
          <w:ilvl w:val="0"/>
          <w:numId w:val="8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makes a general assignment, arrangement or composition with or for the benefit of its creditors;</w:t>
      </w:r>
    </w:p>
    <w:p>
      <w:pPr>
        <w:spacing w:after="0" w:line="130" w:lineRule="exact"/>
        <w:rPr>
          <w:rFonts w:ascii="Arial" w:cs="Arial" w:eastAsia="Arial" w:hAnsi="Arial"/>
          <w:sz w:val="18"/>
          <w:szCs w:val="18"/>
          <w:color w:val="auto"/>
        </w:rPr>
      </w:pPr>
    </w:p>
    <w:p>
      <w:pPr>
        <w:ind w:left="540" w:right="160" w:hanging="535"/>
        <w:spacing w:after="0" w:line="257" w:lineRule="auto"/>
        <w:tabs>
          <w:tab w:leader="none" w:pos="54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93" w:lineRule="exact"/>
        <w:rPr>
          <w:rFonts w:ascii="Arial" w:cs="Arial" w:eastAsia="Arial" w:hAnsi="Arial"/>
          <w:sz w:val="18"/>
          <w:szCs w:val="18"/>
          <w:color w:val="auto"/>
        </w:rPr>
      </w:pPr>
    </w:p>
    <w:p>
      <w:pPr>
        <w:ind w:left="540" w:right="240" w:hanging="535"/>
        <w:spacing w:after="0" w:line="259" w:lineRule="auto"/>
        <w:tabs>
          <w:tab w:leader="none" w:pos="54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92" w:lineRule="exact"/>
        <w:rPr>
          <w:rFonts w:ascii="Arial" w:cs="Arial" w:eastAsia="Arial" w:hAnsi="Arial"/>
          <w:sz w:val="18"/>
          <w:szCs w:val="18"/>
          <w:color w:val="auto"/>
        </w:rPr>
      </w:pPr>
    </w:p>
    <w:p>
      <w:pPr>
        <w:ind w:left="1200" w:right="760" w:hanging="655"/>
        <w:spacing w:after="0" w:line="277" w:lineRule="auto"/>
        <w:tabs>
          <w:tab w:leader="none" w:pos="1200" w:val="left"/>
        </w:tabs>
        <w:numPr>
          <w:ilvl w:val="1"/>
          <w:numId w:val="841"/>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75" w:lineRule="exact"/>
        <w:rPr>
          <w:rFonts w:ascii="Arial" w:cs="Arial" w:eastAsia="Arial" w:hAnsi="Arial"/>
          <w:sz w:val="18"/>
          <w:szCs w:val="18"/>
          <w:color w:val="auto"/>
        </w:rPr>
      </w:pPr>
    </w:p>
    <w:p>
      <w:pPr>
        <w:ind w:left="1200" w:hanging="655"/>
        <w:spacing w:after="0"/>
        <w:tabs>
          <w:tab w:leader="none" w:pos="1200" w:val="left"/>
        </w:tabs>
        <w:numPr>
          <w:ilvl w:val="1"/>
          <w:numId w:val="841"/>
        </w:numPr>
        <w:rPr>
          <w:rFonts w:ascii="Arial" w:cs="Arial" w:eastAsia="Arial" w:hAnsi="Arial"/>
          <w:sz w:val="17"/>
          <w:szCs w:val="17"/>
          <w:color w:val="auto"/>
        </w:rPr>
      </w:pPr>
      <w:r>
        <w:rPr>
          <w:rFonts w:ascii="Arial" w:cs="Arial" w:eastAsia="Arial" w:hAnsi="Arial"/>
          <w:sz w:val="17"/>
          <w:szCs w:val="17"/>
          <w:color w:val="auto"/>
        </w:rPr>
        <w:t>is not dismissed, discharged, stayed or restrained in each case within 30 days of the institution or presentation thereof;</w:t>
      </w:r>
    </w:p>
    <w:p>
      <w:pPr>
        <w:spacing w:after="0" w:line="142" w:lineRule="exact"/>
        <w:rPr>
          <w:rFonts w:ascii="Arial" w:cs="Arial" w:eastAsia="Arial" w:hAnsi="Arial"/>
          <w:sz w:val="17"/>
          <w:szCs w:val="17"/>
          <w:color w:val="auto"/>
        </w:rPr>
      </w:pPr>
    </w:p>
    <w:p>
      <w:pPr>
        <w:ind w:left="540" w:right="200" w:hanging="535"/>
        <w:spacing w:after="0" w:line="277" w:lineRule="auto"/>
        <w:tabs>
          <w:tab w:leader="none" w:pos="54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75" w:lineRule="exact"/>
        <w:rPr>
          <w:rFonts w:ascii="Arial" w:cs="Arial" w:eastAsia="Arial" w:hAnsi="Arial"/>
          <w:sz w:val="18"/>
          <w:szCs w:val="18"/>
          <w:color w:val="auto"/>
        </w:rPr>
      </w:pPr>
    </w:p>
    <w:p>
      <w:pPr>
        <w:ind w:left="540" w:right="340" w:hanging="535"/>
        <w:spacing w:after="0" w:line="277" w:lineRule="auto"/>
        <w:tabs>
          <w:tab w:leader="none" w:pos="54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w:t>
      </w:r>
    </w:p>
    <w:p>
      <w:pPr>
        <w:spacing w:after="0" w:line="75" w:lineRule="exact"/>
        <w:rPr>
          <w:rFonts w:ascii="Arial" w:cs="Arial" w:eastAsia="Arial" w:hAnsi="Arial"/>
          <w:sz w:val="18"/>
          <w:szCs w:val="18"/>
          <w:color w:val="auto"/>
        </w:rPr>
      </w:pPr>
    </w:p>
    <w:p>
      <w:pPr>
        <w:ind w:left="540" w:right="200" w:hanging="535"/>
        <w:spacing w:after="0" w:line="286" w:lineRule="auto"/>
        <w:tabs>
          <w:tab w:leader="none" w:pos="540" w:val="left"/>
        </w:tabs>
        <w:numPr>
          <w:ilvl w:val="0"/>
          <w:numId w:val="841"/>
        </w:numPr>
        <w:rPr>
          <w:rFonts w:ascii="Arial" w:cs="Arial" w:eastAsia="Arial" w:hAnsi="Arial"/>
          <w:sz w:val="17"/>
          <w:szCs w:val="17"/>
          <w:color w:val="auto"/>
        </w:rPr>
      </w:pPr>
      <w:r>
        <w:rPr>
          <w:rFonts w:ascii="Arial" w:cs="Arial" w:eastAsia="Arial" w:hAnsi="Arial"/>
          <w:sz w:val="17"/>
          <w:szCs w:val="17"/>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70" w:lineRule="exact"/>
        <w:rPr>
          <w:rFonts w:ascii="Arial" w:cs="Arial" w:eastAsia="Arial" w:hAnsi="Arial"/>
          <w:sz w:val="17"/>
          <w:szCs w:val="17"/>
          <w:color w:val="auto"/>
        </w:rPr>
      </w:pPr>
    </w:p>
    <w:p>
      <w:pPr>
        <w:ind w:left="540" w:right="120" w:hanging="535"/>
        <w:spacing w:after="0" w:line="277" w:lineRule="auto"/>
        <w:tabs>
          <w:tab w:leader="none" w:pos="54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(h) above; or</w:t>
      </w:r>
    </w:p>
    <w:p>
      <w:pPr>
        <w:spacing w:after="0" w:line="75" w:lineRule="exact"/>
        <w:rPr>
          <w:rFonts w:ascii="Arial" w:cs="Arial" w:eastAsia="Arial" w:hAnsi="Arial"/>
          <w:sz w:val="18"/>
          <w:szCs w:val="18"/>
          <w:color w:val="auto"/>
        </w:rPr>
      </w:pPr>
    </w:p>
    <w:p>
      <w:pPr>
        <w:ind w:left="540" w:hanging="535"/>
        <w:spacing w:after="0"/>
        <w:tabs>
          <w:tab w:leader="none" w:pos="54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113"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 Policy</w:t>
      </w:r>
      <w:r>
        <w:rPr>
          <w:rFonts w:ascii="Arial" w:cs="Arial" w:eastAsia="Arial" w:hAnsi="Arial"/>
          <w:sz w:val="16"/>
          <w:szCs w:val="16"/>
          <w:color w:val="auto"/>
        </w:rPr>
        <w:t>” means, for the purpose of any Continuing Document, any policy of insurance (other than any public liability, third party liability, workers compensation or legal liability insurance or any other insurances the proceeds of which are payable to employees or officers of any Chargor or any other relevant third party) which any Obligor is required to effect or maintain under the Facilities Agreement and in which the relevant Chargor may from time to time have an interest and which is taken out, placed or effected with an insurer.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w:t>
      </w:r>
    </w:p>
    <w:p>
      <w:pPr>
        <w:spacing w:after="0" w:line="135" w:lineRule="exact"/>
        <w:rPr>
          <w:sz w:val="20"/>
          <w:szCs w:val="20"/>
          <w:color w:val="auto"/>
        </w:rPr>
      </w:pPr>
    </w:p>
    <w:p>
      <w:pPr>
        <w:ind w:left="540" w:right="480" w:hanging="535"/>
        <w:spacing w:after="0" w:line="342" w:lineRule="auto"/>
        <w:tabs>
          <w:tab w:leader="none" w:pos="540" w:val="left"/>
        </w:tabs>
        <w:numPr>
          <w:ilvl w:val="0"/>
          <w:numId w:val="842"/>
        </w:numPr>
        <w:rPr>
          <w:rFonts w:ascii="Arial" w:cs="Arial" w:eastAsia="Arial" w:hAnsi="Arial"/>
          <w:sz w:val="16"/>
          <w:szCs w:val="16"/>
          <w:color w:val="auto"/>
        </w:rPr>
      </w:pPr>
      <w:r>
        <w:rPr>
          <w:rFonts w:ascii="Arial" w:cs="Arial" w:eastAsia="Arial" w:hAnsi="Arial"/>
          <w:sz w:val="16"/>
          <w:szCs w:val="16"/>
          <w:color w:val="auto"/>
        </w:rPr>
        <w:t>any patents, trademarks, service marks, designs, business names, copyrights, design rights, moral rights, inventions, confidential information, knowhow and other intellectual property rights and interests, whether registered or unregistered; and</w:t>
      </w:r>
    </w:p>
    <w:p>
      <w:pPr>
        <w:spacing w:after="0" w:line="56"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5" w:right="439" w:bottom="1440" w:gutter="0" w:footer="0" w:header="0"/>
        </w:sectPr>
      </w:pPr>
    </w:p>
    <w:bookmarkStart w:id="633" w:name="page634"/>
    <w:bookmarkEnd w:id="633"/>
    <w:p>
      <w:pPr>
        <w:ind w:right="2720" w:firstLine="5"/>
        <w:spacing w:after="0" w:line="373" w:lineRule="auto"/>
        <w:tabs>
          <w:tab w:leader="none" w:pos="538" w:val="left"/>
        </w:tabs>
        <w:numPr>
          <w:ilvl w:val="0"/>
          <w:numId w:val="8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benefit of all applications and rights to use any such assets referred to in paragraph (a) above, of each member of the Group.</w:t>
      </w:r>
    </w:p>
    <w:p>
      <w:pPr>
        <w:spacing w:after="0" w:line="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w:t>
      </w:r>
      <w:r>
        <w:rPr>
          <w:rFonts w:ascii="Arial" w:cs="Arial" w:eastAsia="Arial" w:hAnsi="Arial"/>
          <w:sz w:val="18"/>
          <w:szCs w:val="18"/>
          <w:color w:val="auto"/>
        </w:rPr>
        <w:t>” means the intercreditor agreement entered into between, among others, the Parent, the Borrower, the Original Guarantors, the Original Bondco, the Lenders, the Agent and the Common Security Agent on the 2016 Amendment and Restatement Effective Date.</w:t>
      </w:r>
    </w:p>
    <w:p>
      <w:pPr>
        <w:spacing w:after="0" w:line="6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 Loan, each period determined in accordance with Clause 12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 an Unpaid Sum, each period determined in accordance with Clause 11.3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5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Screen Rate</w:t>
      </w:r>
      <w:r>
        <w:rPr>
          <w:rFonts w:ascii="Arial" w:cs="Arial" w:eastAsia="Arial" w:hAnsi="Arial"/>
          <w:sz w:val="18"/>
          <w:szCs w:val="18"/>
          <w:color w:val="auto"/>
        </w:rPr>
        <w:t>” means, in relation to HIBOR, the rate which results from interpolating on a linear basis (rounded to the same number of decimal places as the two relevant Screen Rates) between:</w:t>
      </w:r>
    </w:p>
    <w:p>
      <w:pPr>
        <w:spacing w:after="0" w:line="71" w:lineRule="exact"/>
        <w:rPr>
          <w:sz w:val="20"/>
          <w:szCs w:val="20"/>
          <w:color w:val="auto"/>
        </w:rPr>
      </w:pPr>
    </w:p>
    <w:p>
      <w:pPr>
        <w:ind w:left="540" w:right="260" w:hanging="535"/>
        <w:spacing w:after="0" w:line="277" w:lineRule="auto"/>
        <w:tabs>
          <w:tab w:leader="none" w:pos="54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Interest Period of a Loan; and</w:t>
      </w:r>
    </w:p>
    <w:p>
      <w:pPr>
        <w:spacing w:after="0" w:line="75" w:lineRule="exact"/>
        <w:rPr>
          <w:rFonts w:ascii="Arial" w:cs="Arial" w:eastAsia="Arial" w:hAnsi="Arial"/>
          <w:sz w:val="18"/>
          <w:szCs w:val="18"/>
          <w:color w:val="auto"/>
        </w:rPr>
      </w:pPr>
    </w:p>
    <w:p>
      <w:pPr>
        <w:ind w:left="540" w:right="260" w:hanging="535"/>
        <w:spacing w:after="0" w:line="277" w:lineRule="auto"/>
        <w:tabs>
          <w:tab w:leader="none" w:pos="54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Interest Period of that Loan,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11:00 a.m. on the Quotation Date for HK dollars.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Intra-Group Lender</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Intra-Group Liabilities</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means any joint venture entity, whether a company, unincorporated firm, undertaking, association, joint venture or partnership or any other entity.</w:t>
      </w:r>
    </w:p>
    <w:p>
      <w:pPr>
        <w:spacing w:after="0" w:line="54" w:lineRule="exact"/>
        <w:rPr>
          <w:sz w:val="20"/>
          <w:szCs w:val="20"/>
          <w:color w:val="auto"/>
        </w:rPr>
      </w:pPr>
    </w:p>
    <w:p>
      <w:pPr>
        <w:jc w:val="both"/>
        <w:ind w:right="2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Legal Opinion</w:t>
      </w:r>
      <w:r>
        <w:rPr>
          <w:rFonts w:ascii="Arial" w:cs="Arial" w:eastAsia="Arial" w:hAnsi="Arial"/>
          <w:sz w:val="17"/>
          <w:szCs w:val="17"/>
          <w:color w:val="auto"/>
        </w:rPr>
        <w:t>” means any legal opinion delivered to the Agent under or in connection with the conditions precedent referred to in clause 5.1 (</w:t>
      </w:r>
      <w:r>
        <w:rPr>
          <w:rFonts w:ascii="Arial" w:cs="Arial" w:eastAsia="Arial" w:hAnsi="Arial"/>
          <w:sz w:val="17"/>
          <w:szCs w:val="17"/>
          <w:i w:val="1"/>
          <w:iCs w:val="1"/>
          <w:color w:val="auto"/>
        </w:rPr>
        <w:t>Amendment to the Facilities Agreement</w:t>
      </w:r>
      <w:r>
        <w:rPr>
          <w:rFonts w:ascii="Arial" w:cs="Arial" w:eastAsia="Arial" w:hAnsi="Arial"/>
          <w:sz w:val="17"/>
          <w:szCs w:val="17"/>
          <w:color w:val="auto"/>
        </w:rPr>
        <w:t>) of the 2016 Amendment and Restatement Agreement, clause 2.1 (</w:t>
      </w:r>
      <w:r>
        <w:rPr>
          <w:rFonts w:ascii="Arial" w:cs="Arial" w:eastAsia="Arial" w:hAnsi="Arial"/>
          <w:sz w:val="17"/>
          <w:szCs w:val="17"/>
          <w:i w:val="1"/>
          <w:iCs w:val="1"/>
          <w:color w:val="auto"/>
        </w:rPr>
        <w:t>Amendment to the Facilities</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of the 2021 Amendment and Restatement Agreement or Clause 27 (</w:t>
      </w:r>
      <w:r>
        <w:rPr>
          <w:rFonts w:ascii="Arial" w:cs="Arial" w:eastAsia="Arial" w:hAnsi="Arial"/>
          <w:sz w:val="17"/>
          <w:szCs w:val="17"/>
          <w:i w:val="1"/>
          <w:iCs w:val="1"/>
          <w:color w:val="auto"/>
        </w:rPr>
        <w:t>Changes to the Obligors</w:t>
      </w:r>
      <w:r>
        <w:rPr>
          <w:rFonts w:ascii="Arial" w:cs="Arial" w:eastAsia="Arial" w:hAnsi="Arial"/>
          <w:sz w:val="17"/>
          <w:szCs w:val="17"/>
          <w:color w:val="auto"/>
        </w:rPr>
        <w:t>).</w:t>
      </w:r>
    </w:p>
    <w:p>
      <w:pPr>
        <w:spacing w:after="0" w:line="5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Requirements</w:t>
      </w:r>
      <w:r>
        <w:rPr>
          <w:rFonts w:ascii="Arial" w:cs="Arial" w:eastAsia="Arial" w:hAnsi="Arial"/>
          <w:sz w:val="18"/>
          <w:szCs w:val="18"/>
          <w:color w:val="auto"/>
        </w:rPr>
        <w:t>” means all laws, statutes, orders, decrees, injunctions, licenses, permits, approvals, agreements and regulations of any Governmental Authority having jurisdiction over the matter in question.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Reservations</w:t>
      </w:r>
      <w:r>
        <w:rPr>
          <w:rFonts w:ascii="Arial" w:cs="Arial" w:eastAsia="Arial" w:hAnsi="Arial"/>
          <w:sz w:val="18"/>
          <w:szCs w:val="18"/>
          <w:color w:val="auto"/>
        </w:rPr>
        <w:t>” means:</w:t>
      </w:r>
    </w:p>
    <w:p>
      <w:pPr>
        <w:spacing w:after="0" w:line="135" w:lineRule="exact"/>
        <w:rPr>
          <w:sz w:val="20"/>
          <w:szCs w:val="20"/>
          <w:color w:val="auto"/>
        </w:rPr>
      </w:pPr>
    </w:p>
    <w:p>
      <w:pPr>
        <w:ind w:left="540" w:right="200" w:hanging="535"/>
        <w:spacing w:after="0" w:line="277" w:lineRule="auto"/>
        <w:tabs>
          <w:tab w:leader="none" w:pos="54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75" w:lineRule="exact"/>
        <w:rPr>
          <w:rFonts w:ascii="Arial" w:cs="Arial" w:eastAsia="Arial" w:hAnsi="Arial"/>
          <w:sz w:val="18"/>
          <w:szCs w:val="18"/>
          <w:color w:val="auto"/>
        </w:rPr>
      </w:pPr>
    </w:p>
    <w:p>
      <w:pPr>
        <w:ind w:left="540" w:hanging="535"/>
        <w:spacing w:after="0"/>
        <w:tabs>
          <w:tab w:leader="none" w:pos="54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the time barring of claims under statutes of limitation;</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45"/>
        </w:numPr>
        <w:rPr>
          <w:rFonts w:ascii="Arial" w:cs="Arial" w:eastAsia="Arial" w:hAnsi="Arial"/>
          <w:sz w:val="16"/>
          <w:szCs w:val="16"/>
          <w:color w:val="auto"/>
        </w:rPr>
      </w:pPr>
      <w:r>
        <w:rPr>
          <w:rFonts w:ascii="Arial" w:cs="Arial" w:eastAsia="Arial" w:hAnsi="Arial"/>
          <w:sz w:val="16"/>
          <w:szCs w:val="16"/>
          <w:color w:val="auto"/>
        </w:rPr>
        <w:t>any other matters which are set out as qualifications or reservations as to matters of law of general application in the Legal Opinions.</w:t>
      </w:r>
    </w:p>
    <w:p>
      <w:pPr>
        <w:spacing w:after="0" w:line="13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xml:space="preserve">” means a Facility A Lender or a Revolving Facility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purpose of any Continuing Document (only) the reserved meaning (if any) given to this term in connection with that Continuing Document pursuant to paragraphs (k) and (l) of Clause 1.2 (</w:t>
      </w:r>
      <w:r>
        <w:rPr>
          <w:rFonts w:ascii="Arial" w:cs="Arial" w:eastAsia="Arial" w:hAnsi="Arial"/>
          <w:sz w:val="18"/>
          <w:szCs w:val="18"/>
          <w:i w:val="1"/>
          <w:iCs w:val="1"/>
          <w:color w:val="auto"/>
        </w:rPr>
        <w:t>Construction</w:t>
      </w:r>
      <w:r>
        <w:rPr>
          <w:rFonts w:ascii="Arial" w:cs="Arial" w:eastAsia="Arial" w:hAnsi="Arial"/>
          <w:sz w:val="18"/>
          <w:szCs w:val="18"/>
          <w:color w:val="auto"/>
        </w:rPr>
        <w:t>) and the Intercreditor Agreement shall apply.</w:t>
      </w:r>
    </w:p>
    <w:p>
      <w:pPr>
        <w:spacing w:after="0" w:line="112"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634" w:name="page635"/>
    <w:bookmarkEnd w:id="634"/>
    <w:p>
      <w:pPr>
        <w:ind w:right="18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Liabilities</w:t>
      </w:r>
      <w:r>
        <w:rPr>
          <w:rFonts w:ascii="Arial" w:cs="Arial" w:eastAsia="Arial" w:hAnsi="Arial"/>
          <w:sz w:val="18"/>
          <w:szCs w:val="18"/>
          <w:color w:val="auto"/>
        </w:rPr>
        <w:t>” means all present and future liabilities and obligations at any time of any Obligor to any Finance Party under the Finance Documents, both actual and contingent and whether incurred solely or jointly or as principal or surety or in any other capacity together with any of the following matters relating to or arising in respect of those liabilities and obligations:</w:t>
      </w:r>
    </w:p>
    <w:p>
      <w:pPr>
        <w:spacing w:after="0" w:line="85" w:lineRule="exact"/>
        <w:rPr>
          <w:sz w:val="20"/>
          <w:szCs w:val="20"/>
          <w:color w:val="auto"/>
        </w:rPr>
      </w:pPr>
    </w:p>
    <w:p>
      <w:pPr>
        <w:ind w:left="540" w:hanging="535"/>
        <w:spacing w:after="0"/>
        <w:tabs>
          <w:tab w:leader="none" w:pos="54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any refinancing, novation, deferral or extension;</w:t>
      </w:r>
    </w:p>
    <w:p>
      <w:pPr>
        <w:spacing w:after="0" w:line="130" w:lineRule="exact"/>
        <w:rPr>
          <w:rFonts w:ascii="Arial" w:cs="Arial" w:eastAsia="Arial" w:hAnsi="Arial"/>
          <w:sz w:val="18"/>
          <w:szCs w:val="18"/>
          <w:color w:val="auto"/>
        </w:rPr>
      </w:pPr>
    </w:p>
    <w:p>
      <w:pPr>
        <w:ind w:left="540" w:right="180" w:hanging="535"/>
        <w:spacing w:after="0" w:line="342" w:lineRule="auto"/>
        <w:tabs>
          <w:tab w:leader="none" w:pos="540" w:val="left"/>
        </w:tabs>
        <w:numPr>
          <w:ilvl w:val="0"/>
          <w:numId w:val="846"/>
        </w:numPr>
        <w:rPr>
          <w:rFonts w:ascii="Arial" w:cs="Arial" w:eastAsia="Arial" w:hAnsi="Arial"/>
          <w:sz w:val="16"/>
          <w:szCs w:val="16"/>
          <w:color w:val="auto"/>
        </w:rPr>
      </w:pPr>
      <w:r>
        <w:rPr>
          <w:rFonts w:ascii="Arial" w:cs="Arial" w:eastAsia="Arial" w:hAnsi="Arial"/>
          <w:sz w:val="16"/>
          <w:szCs w:val="16"/>
          <w:color w:val="auto"/>
        </w:rPr>
        <w:t>any claim for breach of representation, warranty or undertaking or on an event of default or under any indemnity given under or in connection with any document or agreement evidencing or constituting any other liability or obligation falling within this definition;</w:t>
      </w:r>
    </w:p>
    <w:p>
      <w:pPr>
        <w:spacing w:after="0" w:line="29" w:lineRule="exact"/>
        <w:rPr>
          <w:rFonts w:ascii="Arial" w:cs="Arial" w:eastAsia="Arial" w:hAnsi="Arial"/>
          <w:sz w:val="16"/>
          <w:szCs w:val="16"/>
          <w:color w:val="auto"/>
        </w:rPr>
      </w:pPr>
    </w:p>
    <w:p>
      <w:pPr>
        <w:ind w:left="540" w:hanging="535"/>
        <w:spacing w:after="0"/>
        <w:tabs>
          <w:tab w:leader="none" w:pos="54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any claim for damages or restitution; and</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any claim as a result of any recovery by any Obligor of a Payment on the grounds of preference or otherwise,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any amounts which would be included in any of the above but for any discharge, non-provability, unenforceability or non-allowance of those amounts in any insolvency or other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LMA</w:t>
      </w:r>
      <w:r>
        <w:rPr>
          <w:rFonts w:ascii="Arial" w:cs="Arial" w:eastAsia="Arial" w:hAnsi="Arial"/>
          <w:sz w:val="18"/>
          <w:szCs w:val="18"/>
          <w:color w:val="auto"/>
        </w:rPr>
        <w:t>” means the Loan Market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Facility A Loan or a Revolving Facility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Obligor</w:t>
      </w:r>
      <w:r>
        <w:rPr>
          <w:rFonts w:ascii="Arial" w:cs="Arial" w:eastAsia="Arial" w:hAnsi="Arial"/>
          <w:sz w:val="18"/>
          <w:szCs w:val="18"/>
          <w:color w:val="auto"/>
        </w:rPr>
        <w:t>” means any Obligor incorporated in the Macau SAR.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SAR</w:t>
      </w:r>
      <w:r>
        <w:rPr>
          <w:rFonts w:ascii="Arial" w:cs="Arial" w:eastAsia="Arial" w:hAnsi="Arial"/>
          <w:sz w:val="18"/>
          <w:szCs w:val="18"/>
          <w:color w:val="auto"/>
        </w:rPr>
        <w:t>” means the Macau Special Administrative Region of the People’s Republic of China.</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Documents</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means:</w:t>
      </w:r>
    </w:p>
    <w:p>
      <w:pPr>
        <w:spacing w:after="0" w:line="135" w:lineRule="exact"/>
        <w:rPr>
          <w:sz w:val="20"/>
          <w:szCs w:val="20"/>
          <w:color w:val="auto"/>
        </w:rPr>
      </w:pPr>
    </w:p>
    <w:p>
      <w:pPr>
        <w:ind w:left="540" w:right="40" w:hanging="535"/>
        <w:spacing w:after="0" w:line="286" w:lineRule="auto"/>
        <w:tabs>
          <w:tab w:leader="none" w:pos="540" w:val="left"/>
        </w:tabs>
        <w:numPr>
          <w:ilvl w:val="0"/>
          <w:numId w:val="847"/>
        </w:numPr>
        <w:rPr>
          <w:rFonts w:ascii="Arial" w:cs="Arial" w:eastAsia="Arial" w:hAnsi="Arial"/>
          <w:sz w:val="17"/>
          <w:szCs w:val="17"/>
          <w:color w:val="auto"/>
        </w:rPr>
      </w:pPr>
      <w:r>
        <w:rPr>
          <w:rFonts w:ascii="Arial" w:cs="Arial" w:eastAsia="Arial" w:hAnsi="Arial"/>
          <w:sz w:val="17"/>
          <w:szCs w:val="17"/>
          <w:color w:val="auto"/>
        </w:rPr>
        <w:t>(for the purposes of paragraph (a) of Clause 37.2 (</w:t>
      </w:r>
      <w:r>
        <w:rPr>
          <w:rFonts w:ascii="Arial" w:cs="Arial" w:eastAsia="Arial" w:hAnsi="Arial"/>
          <w:sz w:val="17"/>
          <w:szCs w:val="17"/>
          <w:i w:val="1"/>
          <w:iCs w:val="1"/>
          <w:color w:val="auto"/>
        </w:rPr>
        <w:t>Required consents</w:t>
      </w:r>
      <w:r>
        <w:rPr>
          <w:rFonts w:ascii="Arial" w:cs="Arial" w:eastAsia="Arial" w:hAnsi="Arial"/>
          <w:sz w:val="17"/>
          <w:szCs w:val="17"/>
          <w:color w:val="auto"/>
        </w:rPr>
        <w:t>) in the context of a waiver in relation to a proposed Utilisation of the Revolving Facility of the condition in Clause 4.1 (</w:t>
      </w:r>
      <w:r>
        <w:rPr>
          <w:rFonts w:ascii="Arial" w:cs="Arial" w:eastAsia="Arial" w:hAnsi="Arial"/>
          <w:sz w:val="17"/>
          <w:szCs w:val="17"/>
          <w:i w:val="1"/>
          <w:iCs w:val="1"/>
          <w:color w:val="auto"/>
        </w:rPr>
        <w:t>Utilisation conditions precedent</w:t>
      </w:r>
      <w:r>
        <w:rPr>
          <w:rFonts w:ascii="Arial" w:cs="Arial" w:eastAsia="Arial" w:hAnsi="Arial"/>
          <w:sz w:val="17"/>
          <w:szCs w:val="17"/>
          <w:color w:val="auto"/>
        </w:rPr>
        <w:t>)), a Lender or Lenders whose Revolving Facility Commitments aggregate more than 50 per cent. of the Total Revolving Facility Commitments; and</w:t>
      </w:r>
    </w:p>
    <w:p>
      <w:pPr>
        <w:spacing w:after="0" w:line="70" w:lineRule="exact"/>
        <w:rPr>
          <w:rFonts w:ascii="Arial" w:cs="Arial" w:eastAsia="Arial" w:hAnsi="Arial"/>
          <w:sz w:val="17"/>
          <w:szCs w:val="17"/>
          <w:color w:val="auto"/>
        </w:rPr>
      </w:pPr>
    </w:p>
    <w:p>
      <w:pPr>
        <w:jc w:val="both"/>
        <w:ind w:left="540" w:right="180" w:hanging="535"/>
        <w:spacing w:after="0" w:line="263" w:lineRule="auto"/>
        <w:tabs>
          <w:tab w:leader="none" w:pos="54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(in any other case) a Lender or Lenders whose Revolving Facility Commitments and participations in the Facility A Loan aggregate 50 per cent. or more of the sum of the Total Revolving Facility Commitments and the outstanding principal amount of the Facility A Loan.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Mandate Documents</w:t>
      </w:r>
      <w:r>
        <w:rPr>
          <w:rFonts w:ascii="Arial" w:cs="Arial" w:eastAsia="Arial" w:hAnsi="Arial"/>
          <w:sz w:val="17"/>
          <w:szCs w:val="17"/>
          <w:color w:val="auto"/>
        </w:rPr>
        <w:t>” means the commitment letter entered into on 9 November 2016 between the Original Lender and the Borrower.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in relation to any Loan or Unpaid Sum, 4.00 per cent. per annum.</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event or circumstance which (after taking into account all relevant circumstances) has a material adverse effect on:</w:t>
      </w:r>
    </w:p>
    <w:p>
      <w:pPr>
        <w:spacing w:after="0" w:line="71" w:lineRule="exact"/>
        <w:rPr>
          <w:sz w:val="20"/>
          <w:szCs w:val="20"/>
          <w:color w:val="auto"/>
        </w:rPr>
      </w:pPr>
    </w:p>
    <w:p>
      <w:pPr>
        <w:ind w:left="540" w:hanging="535"/>
        <w:spacing w:after="0"/>
        <w:tabs>
          <w:tab w:leader="none" w:pos="54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business, operations, property or financial condition of the Group (taken as a whole); or</w:t>
      </w:r>
    </w:p>
    <w:p>
      <w:pPr>
        <w:spacing w:after="0" w:line="158"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1" w:right="439" w:bottom="1440" w:gutter="0" w:footer="0" w:header="0"/>
        </w:sectPr>
      </w:pPr>
    </w:p>
    <w:bookmarkStart w:id="635" w:name="page636"/>
    <w:bookmarkEnd w:id="635"/>
    <w:p>
      <w:pPr>
        <w:ind w:left="540" w:hanging="535"/>
        <w:spacing w:after="0"/>
        <w:tabs>
          <w:tab w:leader="none" w:pos="540" w:val="left"/>
        </w:tabs>
        <w:numPr>
          <w:ilvl w:val="0"/>
          <w:numId w:val="8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ability of the Obligors (taken as a whole) to perform any of their payment obligations under the Finance Documents; or</w:t>
      </w:r>
    </w:p>
    <w:p>
      <w:pPr>
        <w:spacing w:after="0" w:line="130" w:lineRule="exact"/>
        <w:rPr>
          <w:rFonts w:ascii="Arial" w:cs="Arial" w:eastAsia="Arial" w:hAnsi="Arial"/>
          <w:sz w:val="18"/>
          <w:szCs w:val="18"/>
          <w:color w:val="auto"/>
        </w:rPr>
      </w:pPr>
    </w:p>
    <w:p>
      <w:pPr>
        <w:ind w:left="540" w:right="120" w:hanging="535"/>
        <w:spacing w:after="0" w:line="263" w:lineRule="auto"/>
        <w:tabs>
          <w:tab w:leader="none" w:pos="540" w:val="left"/>
        </w:tabs>
        <w:numPr>
          <w:ilvl w:val="0"/>
          <w:numId w:val="849"/>
        </w:numPr>
        <w:rPr>
          <w:rFonts w:ascii="Arial" w:cs="Arial" w:eastAsia="Arial" w:hAnsi="Arial"/>
          <w:sz w:val="18"/>
          <w:szCs w:val="18"/>
          <w:color w:val="auto"/>
        </w:rPr>
      </w:pPr>
      <w:r>
        <w:rPr>
          <w:rFonts w:ascii="Arial" w:cs="Arial" w:eastAsia="Arial" w:hAnsi="Arial"/>
          <w:sz w:val="18"/>
          <w:szCs w:val="18"/>
          <w:color w:val="auto"/>
        </w:rPr>
        <w:t>subject to the Legal Reservations and the Perfection Requirements, the validity or enforceability of, or the effectiveness or ranking of any Transaction Security granted or purporting to be granted pursuant to any of, the Finance Documents or the rights or remedies of any Finance Party under any of the Finance Documents.</w:t>
      </w:r>
    </w:p>
    <w:p>
      <w:pPr>
        <w:spacing w:after="0" w:line="7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MCO Cotai</w:t>
      </w:r>
      <w:r>
        <w:rPr>
          <w:rFonts w:ascii="Arial" w:cs="Arial" w:eastAsia="Arial" w:hAnsi="Arial"/>
          <w:sz w:val="18"/>
          <w:szCs w:val="18"/>
          <w:color w:val="auto"/>
        </w:rPr>
        <w:t>” means MCE Cotai Investments Limited, an exempted limited liability company incorporated with limited liability under the laws of the Cayman Islands (with registered number 254216) whose registered address is at Intertrust Corporate Services (Cayman) Limited, 190 Elgin Avenue, George Town, Grand Cayman, KY1-9005, Cayman Islands.</w:t>
      </w:r>
    </w:p>
    <w:p>
      <w:pPr>
        <w:spacing w:after="0" w:line="68"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Melco Resorts</w:t>
      </w:r>
      <w:r>
        <w:rPr>
          <w:rFonts w:ascii="Arial" w:cs="Arial" w:eastAsia="Arial" w:hAnsi="Arial"/>
          <w:sz w:val="17"/>
          <w:szCs w:val="17"/>
          <w:color w:val="auto"/>
        </w:rPr>
        <w:t>” means Melco Resorts &amp; Entertainment Limited (formerly known as Melco Crown Entertainment Limited), an exempted limited liability company incorporated with limited liability under the laws of the Cayman Islands (with registered number 143119) with registered address: Walker House, 87 Mary Street, George Town, Grand Cayman, KYI-9005, Cayman Islands.</w:t>
      </w:r>
    </w:p>
    <w:p>
      <w:pPr>
        <w:spacing w:after="0" w:line="5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Melco Resorts Macau</w:t>
      </w:r>
      <w:r>
        <w:rPr>
          <w:rFonts w:ascii="Arial" w:cs="Arial" w:eastAsia="Arial" w:hAnsi="Arial"/>
          <w:sz w:val="18"/>
          <w:szCs w:val="18"/>
          <w:color w:val="auto"/>
        </w:rPr>
        <w:t>” means Melco Resorts (Macau) Limited (formerly known as Melco Crown (Macau) Limited and previously as Melco Crown Gaming (Macau) Limited and Melco PBL Gaming (Macau) Limited), a company incorporated under the laws of the Macau SAR, registered with the Macau Commercial Registry under number 24325 SO, with registered office at Avenida da Praia Grande, no. 594, 15/Floor “A”, Macau.</w:t>
      </w:r>
    </w:p>
    <w:p>
      <w:pPr>
        <w:spacing w:after="0" w:line="7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period starting on one day in a calendar month and ending on the numerically corresponding day in the next calendar month, except that:</w:t>
      </w:r>
    </w:p>
    <w:p>
      <w:pPr>
        <w:spacing w:after="0" w:line="71" w:lineRule="exact"/>
        <w:rPr>
          <w:sz w:val="20"/>
          <w:szCs w:val="20"/>
          <w:color w:val="auto"/>
        </w:rPr>
      </w:pPr>
    </w:p>
    <w:p>
      <w:pPr>
        <w:ind w:left="540" w:right="200" w:hanging="535"/>
        <w:spacing w:after="0" w:line="308" w:lineRule="auto"/>
        <w:tabs>
          <w:tab w:leader="none" w:pos="540" w:val="left"/>
        </w:tabs>
        <w:numPr>
          <w:ilvl w:val="0"/>
          <w:numId w:val="850"/>
        </w:numPr>
        <w:rPr>
          <w:rFonts w:ascii="Arial" w:cs="Arial" w:eastAsia="Arial" w:hAnsi="Arial"/>
          <w:sz w:val="17"/>
          <w:szCs w:val="17"/>
          <w:color w:val="auto"/>
        </w:rPr>
      </w:pPr>
      <w:r>
        <w:rPr>
          <w:rFonts w:ascii="Arial" w:cs="Arial" w:eastAsia="Arial" w:hAnsi="Arial"/>
          <w:sz w:val="17"/>
          <w:szCs w:val="17"/>
          <w:color w:val="auto"/>
        </w:rPr>
        <w:t>if the numerically corresponding day is not a Business Day, that period shall end on the next Business Day in that calendar month in which that period is to end if there is one, or if there is not, on the immediately preceding Business Day;</w:t>
      </w:r>
    </w:p>
    <w:p>
      <w:pPr>
        <w:spacing w:after="0" w:line="51" w:lineRule="exact"/>
        <w:rPr>
          <w:rFonts w:ascii="Arial" w:cs="Arial" w:eastAsia="Arial" w:hAnsi="Arial"/>
          <w:sz w:val="17"/>
          <w:szCs w:val="17"/>
          <w:color w:val="auto"/>
        </w:rPr>
      </w:pPr>
    </w:p>
    <w:p>
      <w:pPr>
        <w:ind w:left="540" w:right="440" w:hanging="535"/>
        <w:spacing w:after="0" w:line="277" w:lineRule="auto"/>
        <w:tabs>
          <w:tab w:leader="none" w:pos="540" w:val="left"/>
        </w:tabs>
        <w:numPr>
          <w:ilvl w:val="0"/>
          <w:numId w:val="850"/>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75" w:lineRule="exact"/>
        <w:rPr>
          <w:rFonts w:ascii="Arial" w:cs="Arial" w:eastAsia="Arial" w:hAnsi="Arial"/>
          <w:sz w:val="18"/>
          <w:szCs w:val="18"/>
          <w:color w:val="auto"/>
        </w:rPr>
      </w:pPr>
    </w:p>
    <w:p>
      <w:pPr>
        <w:ind w:left="540" w:right="100" w:hanging="535"/>
        <w:spacing w:after="0" w:line="263" w:lineRule="auto"/>
        <w:tabs>
          <w:tab w:leader="none" w:pos="540" w:val="left"/>
        </w:tabs>
        <w:numPr>
          <w:ilvl w:val="0"/>
          <w:numId w:val="850"/>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and, consistent with the terms of this Agreement, that Interest Period is to be of a duration equal to a whole number of Months, that Interest Period shall end on the last Business Day in the calendar month in which that Interest Period is to end.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above rules will only apply to the last Month of any period. “</w:t>
      </w:r>
      <w:r>
        <w:rPr>
          <w:rFonts w:ascii="Arial" w:cs="Arial" w:eastAsia="Arial" w:hAnsi="Arial"/>
          <w:sz w:val="18"/>
          <w:szCs w:val="18"/>
          <w:b w:val="1"/>
          <w:bCs w:val="1"/>
          <w:color w:val="auto"/>
        </w:rPr>
        <w:t>Monthly</w:t>
      </w:r>
      <w:r>
        <w:rPr>
          <w:rFonts w:ascii="Arial" w:cs="Arial" w:eastAsia="Arial" w:hAnsi="Arial"/>
          <w:sz w:val="18"/>
          <w:szCs w:val="18"/>
          <w:color w:val="auto"/>
        </w:rPr>
        <w:t>” shall be construed accordingly.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Multi-account Overdraft</w:t>
      </w:r>
      <w:r>
        <w:rPr>
          <w:rFonts w:ascii="Arial" w:cs="Arial" w:eastAsia="Arial" w:hAnsi="Arial"/>
          <w:sz w:val="18"/>
          <w:szCs w:val="18"/>
          <w:color w:val="auto"/>
        </w:rPr>
        <w:t>” means an Ancillary Facility which is an overdraft facility comprising more than one account.</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Cotai, LLC</w:t>
      </w:r>
      <w:r>
        <w:rPr>
          <w:rFonts w:ascii="Arial" w:cs="Arial" w:eastAsia="Arial" w:hAnsi="Arial"/>
          <w:sz w:val="18"/>
          <w:szCs w:val="18"/>
          <w:color w:val="auto"/>
        </w:rPr>
        <w:t>” a limited liability company formed in Delaware, United States of America (with registered number 4114248), c/o New Cotai Holdings, LLC, of Two Greenwich Plaza, Greenwich, Connecticut 06830, United States of America.</w:t>
      </w:r>
    </w:p>
    <w:p>
      <w:pPr>
        <w:spacing w:after="0" w:line="5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Shareholder Injections</w:t>
      </w:r>
      <w:r>
        <w:rPr>
          <w:rFonts w:ascii="Arial" w:cs="Arial" w:eastAsia="Arial" w:hAnsi="Arial"/>
          <w:sz w:val="18"/>
          <w:szCs w:val="18"/>
          <w:color w:val="auto"/>
        </w:rPr>
        <w:t>” means the cash proceeds received by the Parent in respect of the aggregate amount subscribed for by any person (other than a member of the Group) for ordinary shares in the Parent or in respect of any Sponsor Group Loan, in each case, after the 2016 Amendment and Restatement Effective Date.</w:t>
      </w:r>
    </w:p>
    <w:p>
      <w:pPr>
        <w:spacing w:after="0" w:line="112"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636" w:name="page637"/>
    <w:bookmarkEnd w:id="636"/>
    <w:p>
      <w:pPr>
        <w:ind w:right="4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New Sponsor</w:t>
      </w:r>
      <w:r>
        <w:rPr>
          <w:rFonts w:ascii="Arial" w:cs="Arial" w:eastAsia="Arial" w:hAnsi="Arial"/>
          <w:sz w:val="18"/>
          <w:szCs w:val="18"/>
          <w:color w:val="auto"/>
        </w:rPr>
        <w:t>” means any person to whom Silverpoint or Oaktree assigns or transfers all or part of its indirect beneficial interest in the shares or other equity interests of SCIH in accordance with the Shareholders’ Agreement.</w:t>
      </w:r>
    </w:p>
    <w:p>
      <w:pPr>
        <w:spacing w:after="0" w:line="5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means any Lender which does not and continues not to consent to any decision requiring a waiver or amendment or other consent requested in respect of any of the Facilities, if:</w:t>
      </w:r>
    </w:p>
    <w:p>
      <w:pPr>
        <w:spacing w:after="0" w:line="71" w:lineRule="exact"/>
        <w:rPr>
          <w:sz w:val="20"/>
          <w:szCs w:val="20"/>
          <w:color w:val="auto"/>
        </w:rPr>
      </w:pPr>
    </w:p>
    <w:p>
      <w:pPr>
        <w:ind w:left="540" w:right="200" w:hanging="535"/>
        <w:spacing w:after="0" w:line="277" w:lineRule="auto"/>
        <w:tabs>
          <w:tab w:leader="none" w:pos="54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the Borrower or the Agent (at the request of the Borrower) has requested the Lenders to give a consent in relation to, or to agree to a waiver or amendment of, any provisions of the Finance Documents;</w:t>
      </w:r>
    </w:p>
    <w:p>
      <w:pPr>
        <w:spacing w:after="0" w:line="75" w:lineRule="exact"/>
        <w:rPr>
          <w:rFonts w:ascii="Arial" w:cs="Arial" w:eastAsia="Arial" w:hAnsi="Arial"/>
          <w:sz w:val="18"/>
          <w:szCs w:val="18"/>
          <w:color w:val="auto"/>
        </w:rPr>
      </w:pPr>
    </w:p>
    <w:p>
      <w:pPr>
        <w:ind w:left="540" w:hanging="535"/>
        <w:spacing w:after="0"/>
        <w:tabs>
          <w:tab w:leader="none" w:pos="54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the consent, waiver or amendment in question requires the approval of all the Lenders; and</w:t>
      </w:r>
    </w:p>
    <w:p>
      <w:pPr>
        <w:spacing w:after="0" w:line="130" w:lineRule="exact"/>
        <w:rPr>
          <w:rFonts w:ascii="Arial" w:cs="Arial" w:eastAsia="Arial" w:hAnsi="Arial"/>
          <w:sz w:val="18"/>
          <w:szCs w:val="18"/>
          <w:color w:val="auto"/>
        </w:rPr>
      </w:pPr>
    </w:p>
    <w:p>
      <w:pPr>
        <w:ind w:left="540" w:right="160" w:hanging="535"/>
        <w:spacing w:after="0" w:line="286" w:lineRule="auto"/>
        <w:tabs>
          <w:tab w:leader="none" w:pos="540" w:val="left"/>
        </w:tabs>
        <w:numPr>
          <w:ilvl w:val="0"/>
          <w:numId w:val="851"/>
        </w:numPr>
        <w:rPr>
          <w:rFonts w:ascii="Arial" w:cs="Arial" w:eastAsia="Arial" w:hAnsi="Arial"/>
          <w:sz w:val="17"/>
          <w:szCs w:val="17"/>
          <w:color w:val="auto"/>
        </w:rPr>
      </w:pPr>
      <w:r>
        <w:rPr>
          <w:rFonts w:ascii="Arial" w:cs="Arial" w:eastAsia="Arial" w:hAnsi="Arial"/>
          <w:sz w:val="17"/>
          <w:szCs w:val="17"/>
          <w:color w:val="auto"/>
        </w:rPr>
        <w:t>Lenders whose Revolving Facility Commitments aggregate more than 80 per cent. of the Total Revolving Facility Commitments (or, if the Total Revolving Facility Commitments have been reduced to zero, aggregated more than 80 per cent. of the Total Revolving Facility Commitments immediately prior to that reduction) have consented or agreed to such waiver or amendment.</w:t>
      </w:r>
    </w:p>
    <w:p>
      <w:pPr>
        <w:spacing w:after="0" w:line="5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Non-Market Lender</w:t>
      </w:r>
      <w:r>
        <w:rPr>
          <w:rFonts w:ascii="Arial" w:cs="Arial" w:eastAsia="Arial" w:hAnsi="Arial"/>
          <w:sz w:val="18"/>
          <w:szCs w:val="18"/>
          <w:color w:val="auto"/>
        </w:rPr>
        <w:t>” means any Lender whose Revolving Facility Commitment is being included to trigger a Market Disruption Event pursuant to paragraph (ii) of the definition of that term.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Non-Responding Lender</w:t>
      </w:r>
      <w:r>
        <w:rPr>
          <w:rFonts w:ascii="Arial" w:cs="Arial" w:eastAsia="Arial" w:hAnsi="Arial"/>
          <w:sz w:val="18"/>
          <w:szCs w:val="18"/>
          <w:color w:val="auto"/>
        </w:rPr>
        <w:t>” means any Lender that fails to:</w:t>
      </w:r>
    </w:p>
    <w:p>
      <w:pPr>
        <w:spacing w:after="0" w:line="135" w:lineRule="exact"/>
        <w:rPr>
          <w:sz w:val="20"/>
          <w:szCs w:val="20"/>
          <w:color w:val="auto"/>
        </w:rPr>
      </w:pPr>
    </w:p>
    <w:p>
      <w:pPr>
        <w:ind w:left="540" w:right="120" w:hanging="535"/>
        <w:spacing w:after="0" w:line="259" w:lineRule="auto"/>
        <w:tabs>
          <w:tab w:leader="none" w:pos="54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accept or reject a request by or on behalf of any of the Obligors for any waiver, amendment or other consent requested in relation to any of the Facilities within 10 Business Days (or, if the Borrower agrees to a longer time period in relation to that request or the Borrower specifies a longer period in that request during which a Lender may respond, on or prior to the expiry of such longer period so agreed or specified by the Borrower) of a written request; or</w:t>
      </w:r>
    </w:p>
    <w:p>
      <w:pPr>
        <w:spacing w:after="0" w:line="92" w:lineRule="exact"/>
        <w:rPr>
          <w:rFonts w:ascii="Arial" w:cs="Arial" w:eastAsia="Arial" w:hAnsi="Arial"/>
          <w:sz w:val="18"/>
          <w:szCs w:val="18"/>
          <w:color w:val="auto"/>
        </w:rPr>
      </w:pPr>
    </w:p>
    <w:p>
      <w:pPr>
        <w:ind w:left="540" w:hanging="535"/>
        <w:spacing w:after="0"/>
        <w:tabs>
          <w:tab w:leader="none" w:pos="540" w:val="left"/>
        </w:tabs>
        <w:numPr>
          <w:ilvl w:val="0"/>
          <w:numId w:val="852"/>
        </w:numPr>
        <w:rPr>
          <w:rFonts w:ascii="Arial" w:cs="Arial" w:eastAsia="Arial" w:hAnsi="Arial"/>
          <w:sz w:val="16"/>
          <w:szCs w:val="16"/>
          <w:color w:val="auto"/>
        </w:rPr>
      </w:pPr>
      <w:r>
        <w:rPr>
          <w:rFonts w:ascii="Arial" w:cs="Arial" w:eastAsia="Arial" w:hAnsi="Arial"/>
          <w:sz w:val="16"/>
          <w:szCs w:val="16"/>
          <w:color w:val="auto"/>
        </w:rPr>
        <w:t>sign a Transfer Certificate within 10 Business Days of any request pursuant to paragraph (a) of Clause 37.5 (</w:t>
      </w:r>
      <w:r>
        <w:rPr>
          <w:rFonts w:ascii="Arial" w:cs="Arial" w:eastAsia="Arial" w:hAnsi="Arial"/>
          <w:sz w:val="16"/>
          <w:szCs w:val="16"/>
          <w:i w:val="1"/>
          <w:iCs w:val="1"/>
          <w:color w:val="auto"/>
        </w:rPr>
        <w:t>Replaceable Lenders</w:t>
      </w:r>
      <w:r>
        <w:rPr>
          <w:rFonts w:ascii="Arial" w:cs="Arial" w:eastAsia="Arial" w:hAnsi="Arial"/>
          <w:sz w:val="16"/>
          <w:szCs w:val="16"/>
          <w:color w:val="auto"/>
        </w:rPr>
        <w:t>).</w:t>
      </w:r>
    </w:p>
    <w:p>
      <w:pPr>
        <w:spacing w:after="0" w:line="13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 Repurchase</w:t>
      </w:r>
      <w:r>
        <w:rPr>
          <w:rFonts w:ascii="Arial" w:cs="Arial" w:eastAsia="Arial" w:hAnsi="Arial"/>
          <w:sz w:val="18"/>
          <w:szCs w:val="18"/>
          <w:color w:val="auto"/>
        </w:rPr>
        <w:t>” means any repayment, prepayment, purchase, defeasance, redemption or acquisition or retirement of the principal amount of any component of the Senior Secured Debt by any member of the Group.</w:t>
      </w:r>
    </w:p>
    <w:p>
      <w:pPr>
        <w:spacing w:after="0" w:line="5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Notifiable Debt Purchase Transaction</w:t>
      </w:r>
      <w:r>
        <w:rPr>
          <w:rFonts w:ascii="Arial" w:cs="Arial" w:eastAsia="Arial" w:hAnsi="Arial"/>
          <w:sz w:val="18"/>
          <w:szCs w:val="18"/>
          <w:color w:val="auto"/>
        </w:rPr>
        <w:t>” has the meaning given to that term in paragraph (b) of Clause 26.2 (</w:t>
      </w:r>
      <w:r>
        <w:rPr>
          <w:rFonts w:ascii="Arial" w:cs="Arial" w:eastAsia="Arial" w:hAnsi="Arial"/>
          <w:sz w:val="18"/>
          <w:szCs w:val="18"/>
          <w:i w:val="1"/>
          <w:iCs w:val="1"/>
          <w:color w:val="auto"/>
        </w:rPr>
        <w:t>Disenfranchisement on Debt</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 Transactions entered into by Sponsor Affiliates</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Oaktree</w:t>
      </w:r>
      <w:r>
        <w:rPr>
          <w:rFonts w:ascii="Arial" w:cs="Arial" w:eastAsia="Arial" w:hAnsi="Arial"/>
          <w:sz w:val="18"/>
          <w:szCs w:val="18"/>
          <w:color w:val="auto"/>
        </w:rPr>
        <w:t>” means Oaktree Capital Management LLC and any successor to the investment management business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the Borrower or a Guarantor.</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 Agent</w:t>
      </w:r>
      <w:r>
        <w:rPr>
          <w:rFonts w:ascii="Arial" w:cs="Arial" w:eastAsia="Arial" w:hAnsi="Arial"/>
          <w:sz w:val="18"/>
          <w:szCs w:val="18"/>
          <w:color w:val="auto"/>
        </w:rPr>
        <w:t>” means the Parent, appointed to act on behalf of each Obligor in relation to the Finance Documents pursuant to Clause 2.4 (</w:t>
      </w:r>
      <w:r>
        <w:rPr>
          <w:rFonts w:ascii="Arial" w:cs="Arial" w:eastAsia="Arial" w:hAnsi="Arial"/>
          <w:sz w:val="18"/>
          <w:szCs w:val="18"/>
          <w:i w:val="1"/>
          <w:iCs w:val="1"/>
          <w:color w:val="auto"/>
        </w:rPr>
        <w:t>Obligors’ Agent</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Office of Foreign Assets Control of the US Department of Treasury.</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Onshore Security Documents</w:t>
      </w:r>
      <w:r>
        <w:rPr>
          <w:rFonts w:ascii="Arial" w:cs="Arial" w:eastAsia="Arial" w:hAnsi="Arial"/>
          <w:sz w:val="18"/>
          <w:szCs w:val="18"/>
          <w:color w:val="auto"/>
        </w:rPr>
        <w:t>” means any Transaction Security Document governed by or expressed to be governed by the law of the Macau SAR.</w:t>
      </w:r>
    </w:p>
    <w:p>
      <w:pPr>
        <w:spacing w:after="0" w:line="98"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1" w:right="439" w:bottom="1440" w:gutter="0" w:footer="0" w:header="0"/>
        </w:sectPr>
      </w:pPr>
    </w:p>
    <w:bookmarkStart w:id="637" w:name="page638"/>
    <w:bookmarkEnd w:id="637"/>
    <w:p>
      <w:pPr>
        <w:jc w:val="both"/>
        <w:ind w:right="2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Original Bondco</w:t>
      </w:r>
      <w:r>
        <w:rPr>
          <w:rFonts w:ascii="Arial" w:cs="Arial" w:eastAsia="Arial" w:hAnsi="Arial"/>
          <w:sz w:val="18"/>
          <w:szCs w:val="18"/>
          <w:color w:val="auto"/>
        </w:rPr>
        <w:t>” means Studio City Finance Limited, a BVI business company incorporated under the laws of the British Virgin Islands (registered number 1673307), whose registered office is at Ocorian Corporate Services (BVI) Limited, Jayla Place, Wickhams Cay I, Road Town, Tortola, British Virgin Islands.</w:t>
      </w:r>
    </w:p>
    <w:p>
      <w:pPr>
        <w:spacing w:after="0" w:line="68"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Financial Statements</w:t>
      </w:r>
      <w:r>
        <w:rPr>
          <w:rFonts w:ascii="Arial" w:cs="Arial" w:eastAsia="Arial" w:hAnsi="Arial"/>
          <w:sz w:val="18"/>
          <w:szCs w:val="18"/>
          <w:color w:val="auto"/>
        </w:rPr>
        <w:t>” means the audited consolidated financial statements of the Parent for the Financial Year ended 31 December 2015.</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Debt Creditor</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Debt Document</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Debt Liability</w:t>
      </w:r>
      <w:r>
        <w:rPr>
          <w:rFonts w:ascii="Arial" w:cs="Arial" w:eastAsia="Arial" w:hAnsi="Arial"/>
          <w:sz w:val="18"/>
          <w:szCs w:val="18"/>
          <w:color w:val="auto"/>
        </w:rPr>
        <w:t>” has the meaning given to that term in the Intercreditor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”means a party to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Participation</w:t>
      </w:r>
      <w:r>
        <w:rPr>
          <w:rFonts w:ascii="Arial" w:cs="Arial" w:eastAsia="Arial" w:hAnsi="Arial"/>
          <w:sz w:val="18"/>
          <w:szCs w:val="18"/>
          <w:color w:val="auto"/>
        </w:rPr>
        <w:t>” means a Debt Purchase Transaction other than a purchase falling within paragraph (a) of the definition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Patacas</w:t>
      </w:r>
      <w:r>
        <w:rPr>
          <w:rFonts w:ascii="Arial" w:cs="Arial" w:eastAsia="Arial" w:hAnsi="Arial"/>
          <w:sz w:val="18"/>
          <w:szCs w:val="18"/>
          <w:color w:val="auto"/>
        </w:rPr>
        <w:t>” or “</w:t>
      </w:r>
      <w:r>
        <w:rPr>
          <w:rFonts w:ascii="Arial" w:cs="Arial" w:eastAsia="Arial" w:hAnsi="Arial"/>
          <w:sz w:val="18"/>
          <w:szCs w:val="18"/>
          <w:b w:val="1"/>
          <w:bCs w:val="1"/>
          <w:color w:val="auto"/>
        </w:rPr>
        <w:t>MOP</w:t>
      </w:r>
      <w:r>
        <w:rPr>
          <w:rFonts w:ascii="Arial" w:cs="Arial" w:eastAsia="Arial" w:hAnsi="Arial"/>
          <w:sz w:val="18"/>
          <w:szCs w:val="18"/>
          <w:color w:val="auto"/>
        </w:rPr>
        <w:t>” denotes the lawful currency of the Macau SAR.</w:t>
      </w:r>
    </w:p>
    <w:p>
      <w:pPr>
        <w:spacing w:after="0" w:line="11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means, in respect of any Liabilities (or any other liabilities or obligations), a payment, prepayment, repayment, redemption, defeasance or discharge of those Liabilities (or any other liabilities or obligations).</w:t>
      </w:r>
    </w:p>
    <w:p>
      <w:pPr>
        <w:spacing w:after="0" w:line="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Requirements</w:t>
      </w:r>
      <w:r>
        <w:rPr>
          <w:rFonts w:ascii="Arial" w:cs="Arial" w:eastAsia="Arial" w:hAnsi="Arial"/>
          <w:sz w:val="18"/>
          <w:szCs w:val="18"/>
          <w:color w:val="auto"/>
        </w:rPr>
        <w:t>” means the making or the procuring of the appropriate registrations, filing, endorsements, notarisation, stamping and notifications of the Transaction Security Documents or the Transaction Security created thereunder.</w:t>
      </w:r>
    </w:p>
    <w:p>
      <w:pPr>
        <w:spacing w:after="0" w:line="5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approvals, licences, consents, permits, Authorisations, registrations and filings, necessary in connection with the execution, delivery, completion, implementation, perfection or performance, admission into evidence or enforcement of the Transaction Documents on the terms thereof and all material approvals, licences, consents, permits, Authorisations, registrations and filings required for the design, development, construction, ownership, maintenance, operation or management of the Property and business of the Group as contemplated under the Transaction Documents.</w:t>
      </w:r>
    </w:p>
    <w:p>
      <w:pPr>
        <w:spacing w:after="0" w:line="7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Distribution</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w:t>
      </w:r>
      <w:r>
        <w:rPr>
          <w:rFonts w:ascii="Arial" w:cs="Arial" w:eastAsia="Arial" w:hAnsi="Arial"/>
          <w:sz w:val="18"/>
          <w:szCs w:val="18"/>
          <w:color w:val="auto"/>
        </w:rPr>
        <w:t>” means the following:</w:t>
      </w:r>
    </w:p>
    <w:p>
      <w:pPr>
        <w:spacing w:after="0" w:line="135" w:lineRule="exact"/>
        <w:rPr>
          <w:sz w:val="20"/>
          <w:szCs w:val="20"/>
          <w:color w:val="auto"/>
        </w:rPr>
      </w:pPr>
    </w:p>
    <w:p>
      <w:pPr>
        <w:ind w:left="540" w:right="120" w:hanging="535"/>
        <w:spacing w:after="0" w:line="263" w:lineRule="auto"/>
        <w:tabs>
          <w:tab w:leader="none" w:pos="540" w:val="left"/>
        </w:tabs>
        <w:numPr>
          <w:ilvl w:val="0"/>
          <w:numId w:val="85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nine months from the date of acquisition;</w:t>
      </w:r>
    </w:p>
    <w:p>
      <w:pPr>
        <w:spacing w:after="0" w:line="89" w:lineRule="exact"/>
        <w:rPr>
          <w:rFonts w:ascii="Arial" w:cs="Arial" w:eastAsia="Arial" w:hAnsi="Arial"/>
          <w:sz w:val="18"/>
          <w:szCs w:val="18"/>
          <w:color w:val="auto"/>
        </w:rPr>
      </w:pPr>
    </w:p>
    <w:p>
      <w:pPr>
        <w:ind w:left="540" w:right="300" w:hanging="535"/>
        <w:spacing w:after="0" w:line="263" w:lineRule="auto"/>
        <w:tabs>
          <w:tab w:leader="none" w:pos="540" w:val="left"/>
        </w:tabs>
        <w:numPr>
          <w:ilvl w:val="0"/>
          <w:numId w:val="85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89" w:lineRule="exact"/>
        <w:rPr>
          <w:rFonts w:ascii="Arial" w:cs="Arial" w:eastAsia="Arial" w:hAnsi="Arial"/>
          <w:sz w:val="18"/>
          <w:szCs w:val="18"/>
          <w:color w:val="auto"/>
        </w:rPr>
      </w:pPr>
    </w:p>
    <w:p>
      <w:pPr>
        <w:ind w:left="540" w:right="200" w:hanging="535"/>
        <w:spacing w:after="0" w:line="286" w:lineRule="auto"/>
        <w:tabs>
          <w:tab w:leader="none" w:pos="540" w:val="left"/>
        </w:tabs>
        <w:numPr>
          <w:ilvl w:val="0"/>
          <w:numId w:val="853"/>
        </w:numPr>
        <w:rPr>
          <w:rFonts w:ascii="Arial" w:cs="Arial" w:eastAsia="Arial" w:hAnsi="Arial"/>
          <w:sz w:val="17"/>
          <w:szCs w:val="17"/>
          <w:color w:val="auto"/>
        </w:rPr>
      </w:pPr>
      <w:r>
        <w:rPr>
          <w:rFonts w:ascii="Arial" w:cs="Arial" w:eastAsia="Arial" w:hAnsi="Arial"/>
          <w:sz w:val="17"/>
          <w:szCs w:val="17"/>
          <w:color w:val="auto"/>
        </w:rPr>
        <w:t>interest bearing demand or time deposits (which may be represented by certificates of deposit) issued by Acceptable Banks or, if not issued by an Acceptable Bank, secured at all times, in the manner and to the extent provided by law, by collateral security in sub-paragraph (a) or (b) above, of a market value of no less than the amount of monies so invested;</w:t>
      </w:r>
    </w:p>
    <w:p>
      <w:pPr>
        <w:spacing w:after="0" w:line="98"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0" w:right="439" w:bottom="1440" w:gutter="0" w:footer="0" w:header="0"/>
        </w:sectPr>
      </w:pPr>
    </w:p>
    <w:bookmarkStart w:id="638" w:name="page639"/>
    <w:bookmarkEnd w:id="638"/>
    <w:p>
      <w:pPr>
        <w:ind w:left="540" w:hanging="535"/>
        <w:spacing w:after="0"/>
        <w:tabs>
          <w:tab w:leader="none" w:pos="540" w:val="left"/>
        </w:tabs>
        <w:numPr>
          <w:ilvl w:val="0"/>
          <w:numId w:val="8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 obligations with a term of not more than seven days for underlying securities of the types described in sub-paragraphs (a),</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(b) and (c) above entered into with any financial institution meeting the qualifications specified in sub-paragraph (c) above;</w:t>
      </w:r>
    </w:p>
    <w:p>
      <w:pPr>
        <w:spacing w:after="0" w:line="116" w:lineRule="exact"/>
        <w:rPr>
          <w:rFonts w:ascii="Arial" w:cs="Arial" w:eastAsia="Arial" w:hAnsi="Arial"/>
          <w:sz w:val="16"/>
          <w:szCs w:val="16"/>
          <w:color w:val="auto"/>
        </w:rPr>
      </w:pPr>
    </w:p>
    <w:p>
      <w:pPr>
        <w:ind w:left="540" w:right="360" w:hanging="535"/>
        <w:spacing w:after="0" w:line="277" w:lineRule="auto"/>
        <w:tabs>
          <w:tab w:leader="none" w:pos="54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commercial paper having a rating of A-2 or P-2 from S&amp;P or Moody’s respectively and in each case maturing within nine months after the date of acquisition;</w:t>
      </w:r>
    </w:p>
    <w:p>
      <w:pPr>
        <w:spacing w:after="0" w:line="75" w:lineRule="exact"/>
        <w:rPr>
          <w:rFonts w:ascii="Arial" w:cs="Arial" w:eastAsia="Arial" w:hAnsi="Arial"/>
          <w:sz w:val="18"/>
          <w:szCs w:val="18"/>
          <w:color w:val="auto"/>
        </w:rPr>
      </w:pPr>
    </w:p>
    <w:p>
      <w:pPr>
        <w:ind w:left="540" w:right="120" w:hanging="535"/>
        <w:spacing w:after="0" w:line="259" w:lineRule="auto"/>
        <w:tabs>
          <w:tab w:leader="none" w:pos="54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any investment in money market funds which (i) have a credit rating of either A-2 or higher by Standard &amp; Poor’s Rating Services or F2 or higher by Fitch or P-2 or higher by Moody’s Investor Services Limited, (ii) which invest substantially all their assets in securities of the types described in sub-paragraphs (a) to (e) above and (iii) can be turned into cash on not more than 30 days’ notice; and</w:t>
      </w:r>
    </w:p>
    <w:p>
      <w:pPr>
        <w:spacing w:after="0" w:line="92" w:lineRule="exact"/>
        <w:rPr>
          <w:rFonts w:ascii="Arial" w:cs="Arial" w:eastAsia="Arial" w:hAnsi="Arial"/>
          <w:sz w:val="18"/>
          <w:szCs w:val="18"/>
          <w:color w:val="auto"/>
        </w:rPr>
      </w:pPr>
    </w:p>
    <w:p>
      <w:pPr>
        <w:ind w:left="540" w:hanging="535"/>
        <w:spacing w:after="0"/>
        <w:tabs>
          <w:tab w:leader="none" w:pos="54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any other debt security approved by the Majority Lenders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w:t>
      </w:r>
      <w:r>
        <w:rPr>
          <w:rFonts w:ascii="Arial" w:cs="Arial" w:eastAsia="Arial" w:hAnsi="Arial"/>
          <w:sz w:val="18"/>
          <w:szCs w:val="18"/>
          <w:color w:val="auto"/>
        </w:rPr>
        <w:t>” has the meaning given to that term in Schedule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in relation to a Transfer, a bank, financial institution (including a trust), fund, vehicle or other entity which is regularly engaged in, or established for the purposes of making, purchasing or investing in, syndicated loans but excludes a Conflicted Lender.</w:t>
      </w:r>
    </w:p>
    <w:p>
      <w:pPr>
        <w:spacing w:after="0" w:line="68"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of Enterprise</w:t>
      </w:r>
      <w:r>
        <w:rPr>
          <w:rFonts w:ascii="Arial" w:cs="Arial" w:eastAsia="Arial" w:hAnsi="Arial"/>
          <w:sz w:val="18"/>
          <w:szCs w:val="18"/>
          <w:color w:val="auto"/>
        </w:rPr>
        <w:t>” has the meaning, for the purpose of any Continuing Document, given to that term in schedule 5 (</w:t>
      </w:r>
      <w:r>
        <w:rPr>
          <w:rFonts w:ascii="Arial" w:cs="Arial" w:eastAsia="Arial" w:hAnsi="Arial"/>
          <w:sz w:val="18"/>
          <w:szCs w:val="18"/>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 of the Intercreditor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Power of Attorney</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I Construction Contract</w:t>
      </w:r>
      <w:r>
        <w:rPr>
          <w:rFonts w:ascii="Arial" w:cs="Arial" w:eastAsia="Arial" w:hAnsi="Arial"/>
          <w:sz w:val="18"/>
          <w:szCs w:val="18"/>
          <w:color w:val="auto"/>
        </w:rPr>
        <w:t>” means each contract entered into or proposed to be entered into between Propco or any other Obligor and a Contractor in respect of the Property.</w:t>
      </w:r>
    </w:p>
    <w:p>
      <w:pPr>
        <w:spacing w:after="0" w:line="5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II Project</w:t>
      </w:r>
      <w:r>
        <w:rPr>
          <w:rFonts w:ascii="Arial" w:cs="Arial" w:eastAsia="Arial" w:hAnsi="Arial"/>
          <w:sz w:val="18"/>
          <w:szCs w:val="18"/>
          <w:color w:val="auto"/>
        </w:rPr>
        <w:t>” the development of the remainder of the Site not comprising the Property after the 2016 Amendment and Restatement Effective Date.</w:t>
      </w:r>
    </w:p>
    <w:p>
      <w:pPr>
        <w:spacing w:after="0" w:line="54"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Propco</w:t>
      </w:r>
      <w:r>
        <w:rPr>
          <w:rFonts w:ascii="Arial" w:cs="Arial" w:eastAsia="Arial" w:hAnsi="Arial"/>
          <w:sz w:val="17"/>
          <w:szCs w:val="17"/>
          <w:color w:val="auto"/>
        </w:rPr>
        <w:t>” means Studio City Developments Limited (formerly known as MSC Desenvolvimentos, Limitada and previously as East Asia - Televisão por Satélite Limitada), a company incorporated under the laws of the Macau SAR, registered with the Mcacau Commercial Registry under number 14311 SO, with registered office at Avenida da Praia Grande, no. 594, 15/Floor “A”, Macau.</w:t>
      </w:r>
    </w:p>
    <w:p>
      <w:pPr>
        <w:spacing w:after="0" w:line="5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the retail, hotel, gaming, entertainment, food and beverage and entertainment studio complex constructed on the Site as of the 2016 Amendment and Restatement Effective Date, known as “Studio City”.</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Valuation Report</w:t>
      </w:r>
      <w:r>
        <w:rPr>
          <w:rFonts w:ascii="Arial" w:cs="Arial" w:eastAsia="Arial" w:hAnsi="Arial"/>
          <w:sz w:val="18"/>
          <w:szCs w:val="18"/>
          <w:color w:val="auto"/>
        </w:rPr>
        <w:t>” means the report by Savills (Macau) Limited dated 17 October 2016 and delivered to the Agent in accordance with the 2016 Amendment and Restatement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 the Site.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has the meaning given to that term in paragraph (a) of Clause 21.13 (</w:t>
      </w:r>
      <w:r>
        <w:rPr>
          <w:rFonts w:ascii="Arial" w:cs="Arial" w:eastAsia="Arial" w:hAnsi="Arial"/>
          <w:sz w:val="18"/>
          <w:szCs w:val="18"/>
          <w:i w:val="1"/>
          <w:iCs w:val="1"/>
          <w:color w:val="auto"/>
        </w:rPr>
        <w:t>No misleading information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 Date</w:t>
      </w:r>
      <w:r>
        <w:rPr>
          <w:rFonts w:ascii="Arial" w:cs="Arial" w:eastAsia="Arial" w:hAnsi="Arial"/>
          <w:sz w:val="18"/>
          <w:szCs w:val="18"/>
          <w:color w:val="auto"/>
        </w:rPr>
        <w:t>” has the meaning given to that term in Clause 22.3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62"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5" w:right="439" w:bottom="1440" w:gutter="0" w:footer="0" w:header="0"/>
        </w:sectPr>
      </w:pPr>
    </w:p>
    <w:bookmarkStart w:id="639" w:name="page640"/>
    <w:bookmarkEnd w:id="6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has the meaning given to that term in Clause 22.3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Date</w:t>
      </w:r>
      <w:r>
        <w:rPr>
          <w:rFonts w:ascii="Arial" w:cs="Arial" w:eastAsia="Arial" w:hAnsi="Arial"/>
          <w:sz w:val="18"/>
          <w:szCs w:val="18"/>
          <w:color w:val="auto"/>
        </w:rPr>
        <w:t>” means, in relation to any period for which an interest rate is to be determined, the first day of that period.</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receiver and manager, administrative receiver or analogous person in any Relevant Jurisdiction of the whole or any part of the Charged Property.</w:t>
      </w:r>
    </w:p>
    <w:p>
      <w:pPr>
        <w:spacing w:after="0" w:line="5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the principal office in the Hong Kong SAR or the Macau SAR of Citibank, N.A., Deutsche Bank AG and Bank of China Limited or such other banks as may be appointed by the Agent in consultation with the Borrower.</w:t>
      </w:r>
    </w:p>
    <w:p>
      <w:pPr>
        <w:spacing w:after="0" w:line="54"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Reimbursement Agreement</w:t>
      </w:r>
      <w:r>
        <w:rPr>
          <w:rFonts w:ascii="Arial" w:cs="Arial" w:eastAsia="Arial" w:hAnsi="Arial"/>
          <w:sz w:val="16"/>
          <w:szCs w:val="16"/>
          <w:color w:val="auto"/>
        </w:rPr>
        <w:t>” means the reimbursement agreement dated 15 June 2012 and entered into between SCE and Melco Resorts Macau (as may be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34" w:lineRule="exact"/>
        <w:rPr>
          <w:sz w:val="20"/>
          <w:szCs w:val="20"/>
          <w:color w:val="auto"/>
        </w:rPr>
      </w:pPr>
    </w:p>
    <w:p>
      <w:pPr>
        <w:jc w:val="both"/>
        <w:ind w:right="4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Fund</w:t>
      </w:r>
      <w:r>
        <w:rPr>
          <w:rFonts w:ascii="Arial" w:cs="Arial" w:eastAsia="Arial" w:hAnsi="Arial"/>
          <w:sz w:val="16"/>
          <w:szCs w:val="16"/>
          <w:color w:val="auto"/>
        </w:rPr>
        <w:t>”, in relation to a fund (the “</w:t>
      </w:r>
      <w:r>
        <w:rPr>
          <w:rFonts w:ascii="Arial" w:cs="Arial" w:eastAsia="Arial" w:hAnsi="Arial"/>
          <w:sz w:val="16"/>
          <w:szCs w:val="16"/>
          <w:b w:val="1"/>
          <w:bCs w:val="1"/>
          <w:color w:val="auto"/>
        </w:rPr>
        <w:t>first fund</w:t>
      </w:r>
      <w:r>
        <w:rPr>
          <w:rFonts w:ascii="Arial" w:cs="Arial" w:eastAsia="Arial" w:hAnsi="Arial"/>
          <w:sz w:val="16"/>
          <w:szCs w:val="16"/>
          <w:color w:val="auto"/>
        </w:rPr>
        <w:t>”), means a fund which is managed or advised by the same investment manager or adviser or an Affiliate thereof as the first fund or, if it is managed by a different investment manager or investment adviser, a fund whose investment manager or investment adviser is an Affiliate of the investment manager or investment adviser of the first fund.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Interbank Market</w:t>
      </w:r>
      <w:r>
        <w:rPr>
          <w:rFonts w:ascii="Arial" w:cs="Arial" w:eastAsia="Arial" w:hAnsi="Arial"/>
          <w:sz w:val="18"/>
          <w:szCs w:val="18"/>
          <w:color w:val="auto"/>
        </w:rPr>
        <w:t>” means the Hong Kong interbank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Jurisdiction</w:t>
      </w:r>
      <w:r>
        <w:rPr>
          <w:rFonts w:ascii="Arial" w:cs="Arial" w:eastAsia="Arial" w:hAnsi="Arial"/>
          <w:sz w:val="18"/>
          <w:szCs w:val="18"/>
          <w:color w:val="auto"/>
        </w:rPr>
        <w:t>” means, in relation to an Obligor or Grantor:</w:t>
      </w:r>
    </w:p>
    <w:p>
      <w:pPr>
        <w:spacing w:after="0" w:line="135" w:lineRule="exact"/>
        <w:rPr>
          <w:sz w:val="20"/>
          <w:szCs w:val="20"/>
          <w:color w:val="auto"/>
        </w:rPr>
      </w:pPr>
    </w:p>
    <w:p>
      <w:pPr>
        <w:ind w:left="540" w:hanging="535"/>
        <w:spacing w:after="0"/>
        <w:tabs>
          <w:tab w:leader="none" w:pos="540" w:val="left"/>
        </w:tabs>
        <w:numPr>
          <w:ilvl w:val="0"/>
          <w:numId w:val="855"/>
        </w:numPr>
        <w:rPr>
          <w:rFonts w:ascii="Arial" w:cs="Arial" w:eastAsia="Arial" w:hAnsi="Arial"/>
          <w:sz w:val="18"/>
          <w:szCs w:val="18"/>
          <w:color w:val="auto"/>
        </w:rPr>
      </w:pPr>
      <w:r>
        <w:rPr>
          <w:rFonts w:ascii="Arial" w:cs="Arial" w:eastAsia="Arial" w:hAnsi="Arial"/>
          <w:sz w:val="18"/>
          <w:szCs w:val="18"/>
          <w:color w:val="auto"/>
        </w:rPr>
        <w:t>its jurisdiction of incorporation;</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55"/>
        </w:numPr>
        <w:rPr>
          <w:rFonts w:ascii="Arial" w:cs="Arial" w:eastAsia="Arial" w:hAnsi="Arial"/>
          <w:sz w:val="17"/>
          <w:szCs w:val="17"/>
          <w:color w:val="auto"/>
        </w:rPr>
      </w:pPr>
      <w:r>
        <w:rPr>
          <w:rFonts w:ascii="Arial" w:cs="Arial" w:eastAsia="Arial" w:hAnsi="Arial"/>
          <w:sz w:val="17"/>
          <w:szCs w:val="17"/>
          <w:color w:val="auto"/>
        </w:rPr>
        <w:t>any jurisdiction where any asset subject to or intended to be subject to the Transaction Security to be created by it is situated;</w:t>
      </w:r>
    </w:p>
    <w:p>
      <w:pPr>
        <w:spacing w:after="0" w:line="142" w:lineRule="exact"/>
        <w:rPr>
          <w:rFonts w:ascii="Arial" w:cs="Arial" w:eastAsia="Arial" w:hAnsi="Arial"/>
          <w:sz w:val="17"/>
          <w:szCs w:val="17"/>
          <w:color w:val="auto"/>
        </w:rPr>
      </w:pPr>
    </w:p>
    <w:p>
      <w:pPr>
        <w:ind w:left="540" w:hanging="535"/>
        <w:spacing w:after="0"/>
        <w:tabs>
          <w:tab w:leader="none" w:pos="540" w:val="left"/>
        </w:tabs>
        <w:numPr>
          <w:ilvl w:val="0"/>
          <w:numId w:val="855"/>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55"/>
        </w:numPr>
        <w:rPr>
          <w:rFonts w:ascii="Arial" w:cs="Arial" w:eastAsia="Arial" w:hAnsi="Arial"/>
          <w:sz w:val="18"/>
          <w:szCs w:val="18"/>
          <w:color w:val="auto"/>
        </w:rPr>
      </w:pPr>
      <w:r>
        <w:rPr>
          <w:rFonts w:ascii="Arial" w:cs="Arial" w:eastAsia="Arial" w:hAnsi="Arial"/>
          <w:sz w:val="18"/>
          <w:szCs w:val="18"/>
          <w:color w:val="auto"/>
        </w:rPr>
        <w:t>the jurisdiction whose laws govern the perfection of any of the Transaction Security Documents entered into by it.</w:t>
      </w:r>
    </w:p>
    <w:p>
      <w:pPr>
        <w:spacing w:after="0" w:line="11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Instalment</w:t>
      </w:r>
      <w:r>
        <w:rPr>
          <w:rFonts w:ascii="Arial" w:cs="Arial" w:eastAsia="Arial" w:hAnsi="Arial"/>
          <w:sz w:val="18"/>
          <w:szCs w:val="18"/>
          <w:color w:val="auto"/>
        </w:rPr>
        <w:t>” means, for the purpose of any Continuing Document, any instalment for repayment of the Facility A Loan (which, for the avoidance of doubt, there are none).</w:t>
      </w:r>
    </w:p>
    <w:p>
      <w:pPr>
        <w:spacing w:after="0" w:line="5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each of the representations set out in Clause 21 (</w:t>
      </w:r>
      <w:r>
        <w:rPr>
          <w:rFonts w:ascii="Arial" w:cs="Arial" w:eastAsia="Arial" w:hAnsi="Arial"/>
          <w:sz w:val="18"/>
          <w:szCs w:val="18"/>
          <w:i w:val="1"/>
          <w:iCs w:val="1"/>
          <w:color w:val="auto"/>
        </w:rPr>
        <w:t>Representations</w:t>
      </w:r>
      <w:r>
        <w:rPr>
          <w:rFonts w:ascii="Arial" w:cs="Arial" w:eastAsia="Arial" w:hAnsi="Arial"/>
          <w:sz w:val="18"/>
          <w:szCs w:val="18"/>
          <w:color w:val="auto"/>
        </w:rPr>
        <w:t>) other than Clause 21.9 (</w:t>
      </w:r>
      <w:r>
        <w:rPr>
          <w:rFonts w:ascii="Arial" w:cs="Arial" w:eastAsia="Arial" w:hAnsi="Arial"/>
          <w:sz w:val="18"/>
          <w:szCs w:val="18"/>
          <w:i w:val="1"/>
          <w:iCs w:val="1"/>
          <w:color w:val="auto"/>
        </w:rPr>
        <w:t>No filing or</w:t>
      </w:r>
      <w:r>
        <w:rPr>
          <w:rFonts w:ascii="Arial" w:cs="Arial" w:eastAsia="Arial" w:hAnsi="Arial"/>
          <w:sz w:val="18"/>
          <w:szCs w:val="18"/>
          <w:color w:val="auto"/>
        </w:rPr>
        <w:t xml:space="preserve"> </w:t>
      </w:r>
      <w:r>
        <w:rPr>
          <w:rFonts w:ascii="Arial" w:cs="Arial" w:eastAsia="Arial" w:hAnsi="Arial"/>
          <w:sz w:val="18"/>
          <w:szCs w:val="18"/>
          <w:i w:val="1"/>
          <w:iCs w:val="1"/>
          <w:color w:val="auto"/>
        </w:rPr>
        <w:t>stamp taxes</w:t>
      </w:r>
      <w:r>
        <w:rPr>
          <w:rFonts w:ascii="Arial" w:cs="Arial" w:eastAsia="Arial" w:hAnsi="Arial"/>
          <w:sz w:val="18"/>
          <w:szCs w:val="18"/>
          <w:color w:val="auto"/>
        </w:rPr>
        <w:t>), Clause 21.10 (</w:t>
      </w:r>
      <w:r>
        <w:rPr>
          <w:rFonts w:ascii="Arial" w:cs="Arial" w:eastAsia="Arial" w:hAnsi="Arial"/>
          <w:sz w:val="18"/>
          <w:szCs w:val="18"/>
          <w:i w:val="1"/>
          <w:iCs w:val="1"/>
          <w:color w:val="auto"/>
        </w:rPr>
        <w:t>Deduction of Tax</w:t>
      </w:r>
      <w:r>
        <w:rPr>
          <w:rFonts w:ascii="Arial" w:cs="Arial" w:eastAsia="Arial" w:hAnsi="Arial"/>
          <w:sz w:val="18"/>
          <w:szCs w:val="18"/>
          <w:color w:val="auto"/>
        </w:rPr>
        <w:t>), paragraphs (a) and (b) of Clause 21.13 (</w:t>
      </w:r>
      <w:r>
        <w:rPr>
          <w:rFonts w:ascii="Arial" w:cs="Arial" w:eastAsia="Arial" w:hAnsi="Arial"/>
          <w:sz w:val="18"/>
          <w:szCs w:val="18"/>
          <w:i w:val="1"/>
          <w:iCs w:val="1"/>
          <w:color w:val="auto"/>
        </w:rPr>
        <w:t>No misleading information</w:t>
      </w:r>
      <w:r>
        <w:rPr>
          <w:rFonts w:ascii="Arial" w:cs="Arial" w:eastAsia="Arial" w:hAnsi="Arial"/>
          <w:sz w:val="18"/>
          <w:szCs w:val="18"/>
          <w:color w:val="auto"/>
        </w:rPr>
        <w:t>) and paragraphs (b) and (c)</w:t>
      </w:r>
      <w:r>
        <w:rPr>
          <w:rFonts w:ascii="Arial" w:cs="Arial" w:eastAsia="Arial" w:hAnsi="Arial"/>
          <w:sz w:val="18"/>
          <w:szCs w:val="18"/>
          <w:i w:val="1"/>
          <w:iCs w:val="1"/>
          <w:color w:val="auto"/>
        </w:rPr>
        <w:t xml:space="preserve"> </w:t>
      </w:r>
      <w:r>
        <w:rPr>
          <w:rFonts w:ascii="Arial" w:cs="Arial" w:eastAsia="Arial" w:hAnsi="Arial"/>
          <w:sz w:val="18"/>
          <w:szCs w:val="18"/>
          <w:color w:val="auto"/>
        </w:rPr>
        <w:t>of Clause 21.14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6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Replaceable Lender</w:t>
      </w:r>
      <w:r>
        <w:rPr>
          <w:rFonts w:ascii="Arial" w:cs="Arial" w:eastAsia="Arial" w:hAnsi="Arial"/>
          <w:sz w:val="18"/>
          <w:szCs w:val="18"/>
          <w:color w:val="auto"/>
        </w:rPr>
        <w:t>” means a Conflicted Lender, a Defaulting Lender, an Increased Costs Lender, an Illegal Lender, a Non-Consenting Lender or a Non-Market Lender but, in each case, shall not include any Lender that is a Sponsor Affiliate.</w:t>
      </w:r>
    </w:p>
    <w:p>
      <w:pPr>
        <w:spacing w:after="0" w:line="5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for the purpose of any Continuing Document, any delegate, agent, manager, administrator, nominee, attorney, trustee or custodian.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Letter</w:t>
      </w:r>
      <w:r>
        <w:rPr>
          <w:rFonts w:ascii="Arial" w:cs="Arial" w:eastAsia="Arial" w:hAnsi="Arial"/>
          <w:sz w:val="18"/>
          <w:szCs w:val="18"/>
          <w:color w:val="auto"/>
        </w:rPr>
        <w:t>” means a document substantially in the form set out in Schedule 7 (</w:t>
      </w:r>
      <w:r>
        <w:rPr>
          <w:rFonts w:ascii="Arial" w:cs="Arial" w:eastAsia="Arial" w:hAnsi="Arial"/>
          <w:sz w:val="18"/>
          <w:szCs w:val="18"/>
          <w:i w:val="1"/>
          <w:iCs w:val="1"/>
          <w:color w:val="auto"/>
        </w:rPr>
        <w:t>Form of Resignation Letter</w:t>
      </w:r>
      <w:r>
        <w:rPr>
          <w:rFonts w:ascii="Arial" w:cs="Arial" w:eastAsia="Arial" w:hAnsi="Arial"/>
          <w:sz w:val="18"/>
          <w:szCs w:val="18"/>
          <w:color w:val="auto"/>
        </w:rPr>
        <w:t>).</w:t>
      </w:r>
    </w:p>
    <w:p>
      <w:pPr>
        <w:spacing w:after="0" w:line="162"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0" w:right="439" w:bottom="1440" w:gutter="0" w:footer="0" w:header="0"/>
        </w:sectPr>
      </w:pPr>
    </w:p>
    <w:bookmarkStart w:id="640" w:name="page641"/>
    <w:bookmarkEnd w:id="6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Restricted Party</w:t>
      </w:r>
      <w:r>
        <w:rPr>
          <w:rFonts w:ascii="Arial" w:cs="Arial" w:eastAsia="Arial" w:hAnsi="Arial"/>
          <w:sz w:val="18"/>
          <w:szCs w:val="18"/>
          <w:color w:val="auto"/>
        </w:rPr>
        <w:t>” means any person listed:</w:t>
      </w:r>
    </w:p>
    <w:p>
      <w:pPr>
        <w:spacing w:after="0" w:line="135" w:lineRule="exact"/>
        <w:rPr>
          <w:sz w:val="20"/>
          <w:szCs w:val="20"/>
          <w:color w:val="auto"/>
        </w:rPr>
      </w:pPr>
    </w:p>
    <w:p>
      <w:pPr>
        <w:ind w:left="540" w:hanging="535"/>
        <w:spacing w:after="0"/>
        <w:tabs>
          <w:tab w:leader="none" w:pos="540" w:val="left"/>
        </w:tabs>
        <w:numPr>
          <w:ilvl w:val="0"/>
          <w:numId w:val="856"/>
        </w:numPr>
        <w:rPr>
          <w:rFonts w:ascii="Arial" w:cs="Arial" w:eastAsia="Arial" w:hAnsi="Arial"/>
          <w:sz w:val="18"/>
          <w:szCs w:val="18"/>
          <w:color w:val="auto"/>
        </w:rPr>
      </w:pPr>
      <w:r>
        <w:rPr>
          <w:rFonts w:ascii="Arial" w:cs="Arial" w:eastAsia="Arial" w:hAnsi="Arial"/>
          <w:sz w:val="18"/>
          <w:szCs w:val="18"/>
          <w:color w:val="auto"/>
        </w:rPr>
        <w:t>in the Annex to the Executive Order;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56"/>
        </w:numPr>
        <w:rPr>
          <w:rFonts w:ascii="Arial" w:cs="Arial" w:eastAsia="Arial" w:hAnsi="Arial"/>
          <w:sz w:val="18"/>
          <w:szCs w:val="18"/>
          <w:color w:val="auto"/>
        </w:rPr>
      </w:pPr>
      <w:r>
        <w:rPr>
          <w:rFonts w:ascii="Arial" w:cs="Arial" w:eastAsia="Arial" w:hAnsi="Arial"/>
          <w:sz w:val="18"/>
          <w:szCs w:val="18"/>
          <w:color w:val="auto"/>
        </w:rPr>
        <w:t>on the “Specially Designated Nationals and Blocked Persons” list maintained by OFAC; or</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56"/>
        </w:numPr>
        <w:rPr>
          <w:rFonts w:ascii="Arial" w:cs="Arial" w:eastAsia="Arial" w:hAnsi="Arial"/>
          <w:sz w:val="18"/>
          <w:szCs w:val="18"/>
          <w:color w:val="auto"/>
        </w:rPr>
      </w:pPr>
      <w:r>
        <w:rPr>
          <w:rFonts w:ascii="Arial" w:cs="Arial" w:eastAsia="Arial" w:hAnsi="Arial"/>
          <w:sz w:val="18"/>
          <w:szCs w:val="18"/>
          <w:color w:val="auto"/>
        </w:rPr>
        <w:t>in any successor list to either of the foregoing.</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Facility</w:t>
      </w:r>
      <w:r>
        <w:rPr>
          <w:rFonts w:ascii="Arial" w:cs="Arial" w:eastAsia="Arial" w:hAnsi="Arial"/>
          <w:sz w:val="18"/>
          <w:szCs w:val="18"/>
          <w:color w:val="auto"/>
        </w:rPr>
        <w:t>” means the revolving loan facility made available pursuant to this Agreement as described in paragraph (a)(b) of Clause 2.1 (</w:t>
      </w:r>
      <w:r>
        <w:rPr>
          <w:rFonts w:ascii="Arial" w:cs="Arial" w:eastAsia="Arial" w:hAnsi="Arial"/>
          <w:sz w:val="18"/>
          <w:szCs w:val="18"/>
          <w:i w:val="1"/>
          <w:iCs w:val="1"/>
          <w:color w:val="auto"/>
        </w:rPr>
        <w:t>The Facilities</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Facility Commitment</w:t>
      </w:r>
      <w:r>
        <w:rPr>
          <w:rFonts w:ascii="Arial" w:cs="Arial" w:eastAsia="Arial" w:hAnsi="Arial"/>
          <w:sz w:val="18"/>
          <w:szCs w:val="18"/>
          <w:color w:val="auto"/>
        </w:rPr>
        <w:t>” means:</w:t>
      </w:r>
    </w:p>
    <w:p>
      <w:pPr>
        <w:spacing w:after="0" w:line="135" w:lineRule="exact"/>
        <w:rPr>
          <w:sz w:val="20"/>
          <w:szCs w:val="20"/>
          <w:color w:val="auto"/>
        </w:rPr>
      </w:pPr>
    </w:p>
    <w:p>
      <w:pPr>
        <w:ind w:left="540" w:right="40" w:hanging="535"/>
        <w:spacing w:after="0" w:line="263" w:lineRule="auto"/>
        <w:tabs>
          <w:tab w:leader="none" w:pos="540" w:val="left"/>
        </w:tabs>
        <w:numPr>
          <w:ilvl w:val="0"/>
          <w:numId w:val="857"/>
        </w:numPr>
        <w:rPr>
          <w:rFonts w:ascii="Arial" w:cs="Arial" w:eastAsia="Arial" w:hAnsi="Arial"/>
          <w:sz w:val="18"/>
          <w:szCs w:val="18"/>
          <w:color w:val="auto"/>
        </w:rPr>
      </w:pPr>
      <w:r>
        <w:rPr>
          <w:rFonts w:ascii="Arial" w:cs="Arial" w:eastAsia="Arial" w:hAnsi="Arial"/>
          <w:sz w:val="18"/>
          <w:szCs w:val="18"/>
          <w:color w:val="auto"/>
        </w:rPr>
        <w:t>in relation to the Original Lender, the aggregate amount in HK dollars set opposite its name under the heading “Revolving Facility Commitment” in Part 2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and the amount of any other Revolving Facility Commitment transferred to it under this Agreement or assumed by it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540" w:right="820" w:hanging="535"/>
        <w:spacing w:after="0" w:line="277" w:lineRule="auto"/>
        <w:tabs>
          <w:tab w:leader="none" w:pos="540" w:val="left"/>
        </w:tabs>
        <w:numPr>
          <w:ilvl w:val="0"/>
          <w:numId w:val="857"/>
        </w:numPr>
        <w:rPr>
          <w:rFonts w:ascii="Arial" w:cs="Arial" w:eastAsia="Arial" w:hAnsi="Arial"/>
          <w:sz w:val="18"/>
          <w:szCs w:val="18"/>
          <w:color w:val="auto"/>
        </w:rPr>
      </w:pPr>
      <w:r>
        <w:rPr>
          <w:rFonts w:ascii="Arial" w:cs="Arial" w:eastAsia="Arial" w:hAnsi="Arial"/>
          <w:sz w:val="18"/>
          <w:szCs w:val="18"/>
          <w:color w:val="auto"/>
        </w:rPr>
        <w:t>in relation to any other Lender, the amount in HK dollars of any Revolving Facility Commitment transferred to it under this Agreement or assumed by it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Facility Lender</w:t>
      </w:r>
      <w:r>
        <w:rPr>
          <w:rFonts w:ascii="Arial" w:cs="Arial" w:eastAsia="Arial" w:hAnsi="Arial"/>
          <w:sz w:val="18"/>
          <w:szCs w:val="18"/>
          <w:color w:val="auto"/>
        </w:rPr>
        <w:t>” means:</w:t>
      </w:r>
    </w:p>
    <w:p>
      <w:pPr>
        <w:spacing w:after="0" w:line="135" w:lineRule="exact"/>
        <w:rPr>
          <w:sz w:val="20"/>
          <w:szCs w:val="20"/>
          <w:color w:val="auto"/>
        </w:rPr>
      </w:pPr>
    </w:p>
    <w:p>
      <w:pPr>
        <w:ind w:left="540" w:hanging="535"/>
        <w:spacing w:after="0"/>
        <w:tabs>
          <w:tab w:leader="none" w:pos="540" w:val="left"/>
        </w:tabs>
        <w:numPr>
          <w:ilvl w:val="0"/>
          <w:numId w:val="858"/>
        </w:numPr>
        <w:rPr>
          <w:rFonts w:ascii="Arial" w:cs="Arial" w:eastAsia="Arial" w:hAnsi="Arial"/>
          <w:sz w:val="18"/>
          <w:szCs w:val="18"/>
          <w:color w:val="auto"/>
        </w:rPr>
      </w:pPr>
      <w:r>
        <w:rPr>
          <w:rFonts w:ascii="Arial" w:cs="Arial" w:eastAsia="Arial" w:hAnsi="Arial"/>
          <w:sz w:val="18"/>
          <w:szCs w:val="18"/>
          <w:color w:val="auto"/>
        </w:rPr>
        <w:t>the Original Revolving Facility Lender identified as such in Part 2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540" w:right="80" w:hanging="535"/>
        <w:spacing w:after="0" w:line="277" w:lineRule="auto"/>
        <w:tabs>
          <w:tab w:leader="none" w:pos="540" w:val="left"/>
        </w:tabs>
        <w:numPr>
          <w:ilvl w:val="0"/>
          <w:numId w:val="858"/>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Revolving Facility Lender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 or Clause 25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which, in each case, has not ceased to be a Party as a Revolving Facility Lender in accordance with the terms of this Agreement.</w:t>
      </w:r>
    </w:p>
    <w:p>
      <w:pPr>
        <w:spacing w:after="0" w:line="1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Facility Loan</w:t>
      </w:r>
      <w:r>
        <w:rPr>
          <w:rFonts w:ascii="Arial" w:cs="Arial" w:eastAsia="Arial" w:hAnsi="Arial"/>
          <w:sz w:val="18"/>
          <w:szCs w:val="18"/>
          <w:color w:val="auto"/>
        </w:rPr>
        <w:t>” means a loan made or to be made under the Revolving Facility or the principal amount outstanding for the time being of that loan.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Rollover Loan</w:t>
      </w:r>
      <w:r>
        <w:rPr>
          <w:rFonts w:ascii="Arial" w:cs="Arial" w:eastAsia="Arial" w:hAnsi="Arial"/>
          <w:sz w:val="18"/>
          <w:szCs w:val="18"/>
          <w:color w:val="auto"/>
        </w:rPr>
        <w:t>” means one or more Revolving Facility Loans:</w:t>
      </w:r>
    </w:p>
    <w:p>
      <w:pPr>
        <w:spacing w:after="0" w:line="135" w:lineRule="exact"/>
        <w:rPr>
          <w:sz w:val="20"/>
          <w:szCs w:val="20"/>
          <w:color w:val="auto"/>
        </w:rPr>
      </w:pPr>
    </w:p>
    <w:p>
      <w:pPr>
        <w:ind w:left="540" w:hanging="535"/>
        <w:spacing w:after="0"/>
        <w:tabs>
          <w:tab w:leader="none" w:pos="540" w:val="left"/>
        </w:tabs>
        <w:numPr>
          <w:ilvl w:val="0"/>
          <w:numId w:val="859"/>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Revolving Facility Loan is due to be repaid;</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59"/>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amount of the maturing Revolving Facility Loan; and</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59"/>
        </w:numPr>
        <w:rPr>
          <w:rFonts w:ascii="Arial" w:cs="Arial" w:eastAsia="Arial" w:hAnsi="Arial"/>
          <w:sz w:val="18"/>
          <w:szCs w:val="18"/>
          <w:color w:val="auto"/>
        </w:rPr>
      </w:pPr>
      <w:r>
        <w:rPr>
          <w:rFonts w:ascii="Arial" w:cs="Arial" w:eastAsia="Arial" w:hAnsi="Arial"/>
          <w:sz w:val="18"/>
          <w:szCs w:val="18"/>
          <w:color w:val="auto"/>
        </w:rPr>
        <w:t>made or to be made to the Borrower for the purpose of refinancing a maturing Revolving Facility Loan.</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SCE</w:t>
      </w:r>
      <w:r>
        <w:rPr>
          <w:rFonts w:ascii="Arial" w:cs="Arial" w:eastAsia="Arial" w:hAnsi="Arial"/>
          <w:sz w:val="18"/>
          <w:szCs w:val="18"/>
          <w:color w:val="auto"/>
        </w:rPr>
        <w:t>” means Studio City Entertainment Limited (formerly known as MSC Diversões, Limitada and previously as New Cotai Entertainment (Macau) Limited), a company incorporated under the laws of the Macau SAR, registered with the Macau Commercial Registry number 27610 SO, with registered office at Avenida da Praia Grande, no. 594, 15/Floor “A”, Macau.</w:t>
      </w:r>
    </w:p>
    <w:p>
      <w:pPr>
        <w:spacing w:after="0" w:line="112"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1" w:right="439" w:bottom="1440" w:gutter="0" w:footer="0" w:header="0"/>
        </w:sectPr>
      </w:pPr>
    </w:p>
    <w:bookmarkStart w:id="641" w:name="page642"/>
    <w:bookmarkEnd w:id="641"/>
    <w:p>
      <w:pPr>
        <w:ind w:right="60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SCH5</w:t>
      </w:r>
      <w:r>
        <w:rPr>
          <w:rFonts w:ascii="Arial" w:cs="Arial" w:eastAsia="Arial" w:hAnsi="Arial"/>
          <w:sz w:val="16"/>
          <w:szCs w:val="16"/>
          <w:color w:val="auto"/>
        </w:rPr>
        <w:t>” means Studio City Holdings Five Limited, a BVI business company incorporated under the laws of the British Virgin Islands (registered number 1789892), whose registered office is at Jayla Place, Wickhams Cay I, Road Town, Tortola, British Virgin Islands.</w:t>
      </w:r>
    </w:p>
    <w:p>
      <w:pPr>
        <w:spacing w:after="0" w:line="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SCIH</w:t>
      </w:r>
      <w:r>
        <w:rPr>
          <w:rFonts w:ascii="Arial" w:cs="Arial" w:eastAsia="Arial" w:hAnsi="Arial"/>
          <w:sz w:val="18"/>
          <w:szCs w:val="18"/>
          <w:color w:val="auto"/>
        </w:rPr>
        <w:t>” means Studio City International Holdings Limited, an exempted company incorporated with limited liability under the laws of Cayman Islands (company number 343696), whose registered office is at Walkers Corporate Limited, Cayman Corporate Centre, 27 Hospital Road, George Town, Grand Cayman KY1-9008, Cayman Islands.</w:t>
      </w:r>
    </w:p>
    <w:p>
      <w:pPr>
        <w:spacing w:after="0" w:line="6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in relation to HIBOR, the Hong Kong interbank offered rate administered by Hong Kong Association of Banks (or any other person which takes over the administration of that rate) for the relevant period displayed on page HKABHIBOR of the Reuters screen (or any replacement Reuters page which displays the rate), or an appropriate page of such other information service which publishes that rate from time to time in place of Reuters. If such page or service ceases to be available, the Agent may specify another page or service displaying the relevant rate after consultation with the Borrower.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 Document</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given to that term in the Intercreditor Agreement.</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the Common Security Agent.</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Selection Notice</w:t>
      </w:r>
      <w:r>
        <w:rPr>
          <w:rFonts w:ascii="Arial" w:cs="Arial" w:eastAsia="Arial" w:hAnsi="Arial"/>
          <w:sz w:val="18"/>
          <w:szCs w:val="18"/>
          <w:color w:val="auto"/>
        </w:rPr>
        <w:t>” means a notice substantially in the form set out in Part 2 of Schedule 3 (</w:t>
      </w:r>
      <w:r>
        <w:rPr>
          <w:rFonts w:ascii="Arial" w:cs="Arial" w:eastAsia="Arial" w:hAnsi="Arial"/>
          <w:sz w:val="18"/>
          <w:szCs w:val="18"/>
          <w:i w:val="1"/>
          <w:iCs w:val="1"/>
          <w:color w:val="auto"/>
        </w:rPr>
        <w:t>Requests and notices</w:t>
      </w:r>
      <w:r>
        <w:rPr>
          <w:rFonts w:ascii="Arial" w:cs="Arial" w:eastAsia="Arial" w:hAnsi="Arial"/>
          <w:sz w:val="18"/>
          <w:szCs w:val="18"/>
          <w:color w:val="auto"/>
        </w:rPr>
        <w:t>) given in accordance with Clause 12 (</w:t>
      </w:r>
      <w:r>
        <w:rPr>
          <w:rFonts w:ascii="Arial" w:cs="Arial" w:eastAsia="Arial" w:hAnsi="Arial"/>
          <w:sz w:val="18"/>
          <w:szCs w:val="18"/>
          <w:i w:val="1"/>
          <w:iCs w:val="1"/>
          <w:color w:val="auto"/>
        </w:rPr>
        <w:t>Interest Periods</w:t>
      </w:r>
      <w:r>
        <w:rPr>
          <w:rFonts w:ascii="Arial" w:cs="Arial" w:eastAsia="Arial" w:hAnsi="Arial"/>
          <w:sz w:val="18"/>
          <w:szCs w:val="18"/>
          <w:color w:val="auto"/>
        </w:rPr>
        <w:t>) in relation to the Facility A Loan.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Debt</w:t>
      </w:r>
      <w:r>
        <w:rPr>
          <w:rFonts w:ascii="Arial" w:cs="Arial" w:eastAsia="Arial" w:hAnsi="Arial"/>
          <w:sz w:val="18"/>
          <w:szCs w:val="18"/>
          <w:color w:val="auto"/>
        </w:rPr>
        <w:t>” means any Financial Indebtedness outstanding under any Pari Passu Debt Document.</w:t>
      </w:r>
    </w:p>
    <w:p>
      <w:pPr>
        <w:spacing w:after="0" w:line="117" w:lineRule="exact"/>
        <w:rPr>
          <w:sz w:val="20"/>
          <w:szCs w:val="20"/>
          <w:color w:val="auto"/>
        </w:rPr>
      </w:pPr>
    </w:p>
    <w:p>
      <w:pPr>
        <w:ind w:right="3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Services and Right to Use Agreement</w:t>
      </w:r>
      <w:r>
        <w:rPr>
          <w:rFonts w:ascii="Arial" w:cs="Arial" w:eastAsia="Arial" w:hAnsi="Arial"/>
          <w:sz w:val="16"/>
          <w:szCs w:val="16"/>
          <w:color w:val="auto"/>
        </w:rPr>
        <w:t>” means the services and right to use agreement dated 11 May 2007 and originally made between SCE, New Cotai Entertainment, LLC and Melco Resorts Macau as amended, restated and supplemented from time to time, including pursuant to a supplemental agreement dated 15 June 2012 made between SCE, Melco Resorts Macau and New Cotai Entertainment, LLC.</w:t>
      </w:r>
    </w:p>
    <w:p>
      <w:pPr>
        <w:spacing w:after="0" w:line="3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 and Right to Use Agreement Confidential Information</w:t>
      </w:r>
      <w:r>
        <w:rPr>
          <w:rFonts w:ascii="Arial" w:cs="Arial" w:eastAsia="Arial" w:hAnsi="Arial"/>
          <w:sz w:val="18"/>
          <w:szCs w:val="18"/>
          <w:color w:val="auto"/>
        </w:rPr>
        <w:t>” means any Confidential Information which relates to, which contains or is derived or copied from the Services and Right to Use Agreement and/or the Reimbursement Agreement.</w:t>
      </w:r>
    </w:p>
    <w:p>
      <w:pPr>
        <w:spacing w:after="0" w:line="54"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 and Right to Use Direct Agreement</w:t>
      </w:r>
      <w:r>
        <w:rPr>
          <w:rFonts w:ascii="Arial" w:cs="Arial" w:eastAsia="Arial" w:hAnsi="Arial"/>
          <w:sz w:val="18"/>
          <w:szCs w:val="18"/>
          <w:color w:val="auto"/>
        </w:rPr>
        <w:t>” means the direct agreement dated 26 November 2013 and entered into between, among others, SCE, Melco Resorts Macau and the Common Security Agent in relation to the Services and Right to Use Agreement and the Reimbursement Agreement, as amended or modified from time to time.</w:t>
      </w:r>
    </w:p>
    <w:p>
      <w:pPr>
        <w:spacing w:after="0" w:line="6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means the shareholders’ agreement dated 27 July 2011 and made between MCO Cotai, New Cotai, LLC and others (as amended from time to time).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Silverpoint</w:t>
      </w:r>
      <w:r>
        <w:rPr>
          <w:rFonts w:ascii="Arial" w:cs="Arial" w:eastAsia="Arial" w:hAnsi="Arial"/>
          <w:sz w:val="18"/>
          <w:szCs w:val="18"/>
          <w:color w:val="auto"/>
        </w:rPr>
        <w:t>” means Silver Point Capital, L.P. and any successor to the investment management business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w:t>
      </w:r>
      <w:r>
        <w:rPr>
          <w:rFonts w:ascii="Arial" w:cs="Arial" w:eastAsia="Arial" w:hAnsi="Arial"/>
          <w:sz w:val="18"/>
          <w:szCs w:val="18"/>
          <w:color w:val="auto"/>
        </w:rPr>
        <w:t>” means the land described in the Amended Land Concession.</w:t>
      </w:r>
    </w:p>
    <w:p>
      <w:pPr>
        <w:spacing w:after="0" w:line="162"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0" w:right="439" w:bottom="1440" w:gutter="0" w:footer="0" w:header="0"/>
        </w:sectPr>
      </w:pPr>
    </w:p>
    <w:bookmarkStart w:id="642" w:name="page643"/>
    <w:bookmarkEnd w:id="6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Specific Contracts</w:t>
      </w:r>
      <w:r>
        <w:rPr>
          <w:rFonts w:ascii="Arial" w:cs="Arial" w:eastAsia="Arial" w:hAnsi="Arial"/>
          <w:sz w:val="16"/>
          <w:szCs w:val="16"/>
          <w:color w:val="auto"/>
        </w:rPr>
        <w:t>” means, for the purpose of any Continuing Document, the Hedging Agreements (other than SA Hedging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Affiliate</w:t>
      </w:r>
      <w:r>
        <w:rPr>
          <w:rFonts w:ascii="Arial" w:cs="Arial" w:eastAsia="Arial" w:hAnsi="Arial"/>
          <w:sz w:val="18"/>
          <w:szCs w:val="18"/>
          <w:color w:val="auto"/>
        </w:rPr>
        <w:t>” means:</w:t>
      </w:r>
    </w:p>
    <w:p>
      <w:pPr>
        <w:spacing w:after="0" w:line="135" w:lineRule="exact"/>
        <w:rPr>
          <w:sz w:val="20"/>
          <w:szCs w:val="20"/>
          <w:color w:val="auto"/>
        </w:rPr>
      </w:pPr>
    </w:p>
    <w:p>
      <w:pPr>
        <w:ind w:left="540" w:hanging="535"/>
        <w:spacing w:after="0"/>
        <w:tabs>
          <w:tab w:leader="none" w:pos="540" w:val="left"/>
        </w:tabs>
        <w:numPr>
          <w:ilvl w:val="0"/>
          <w:numId w:val="860"/>
        </w:numPr>
        <w:rPr>
          <w:rFonts w:ascii="Arial" w:cs="Arial" w:eastAsia="Arial" w:hAnsi="Arial"/>
          <w:sz w:val="18"/>
          <w:szCs w:val="18"/>
          <w:color w:val="auto"/>
        </w:rPr>
      </w:pPr>
      <w:r>
        <w:rPr>
          <w:rFonts w:ascii="Arial" w:cs="Arial" w:eastAsia="Arial" w:hAnsi="Arial"/>
          <w:sz w:val="18"/>
          <w:szCs w:val="18"/>
          <w:color w:val="auto"/>
        </w:rPr>
        <w:t>in the case of Melco Resorts, Melco Resorts and its Subsidiaries (other than any member of the Group);</w:t>
      </w:r>
    </w:p>
    <w:p>
      <w:pPr>
        <w:spacing w:after="0" w:line="130" w:lineRule="exact"/>
        <w:rPr>
          <w:rFonts w:ascii="Arial" w:cs="Arial" w:eastAsia="Arial" w:hAnsi="Arial"/>
          <w:sz w:val="18"/>
          <w:szCs w:val="18"/>
          <w:color w:val="auto"/>
        </w:rPr>
      </w:pPr>
    </w:p>
    <w:p>
      <w:pPr>
        <w:ind w:left="540" w:right="60" w:hanging="535"/>
        <w:spacing w:after="0" w:line="272" w:lineRule="auto"/>
        <w:tabs>
          <w:tab w:leader="none" w:pos="540" w:val="left"/>
        </w:tabs>
        <w:numPr>
          <w:ilvl w:val="0"/>
          <w:numId w:val="860"/>
        </w:numPr>
        <w:rPr>
          <w:rFonts w:ascii="Arial" w:cs="Arial" w:eastAsia="Arial" w:hAnsi="Arial"/>
          <w:sz w:val="17"/>
          <w:szCs w:val="17"/>
          <w:color w:val="auto"/>
        </w:rPr>
      </w:pPr>
      <w:r>
        <w:rPr>
          <w:rFonts w:ascii="Arial" w:cs="Arial" w:eastAsia="Arial" w:hAnsi="Arial"/>
          <w:sz w:val="17"/>
          <w:szCs w:val="17"/>
          <w:color w:val="auto"/>
        </w:rPr>
        <w:t xml:space="preserve">in the case of Silverpoint, Silverpoint, each of its Affiliates (other than any member of the Group), any trust of which Silverpoint or any of such Affiliates is a trustee, any partnership of which Silverpoint or any of such Affiliates is a partner and any trust, fund or other entity which is managed by, or is under the control of, Silverpoint or any of such Affiliates,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such trust, fund or other entity which has been established for at least 6 months solely for the purpose of making, purchasing or investing in loans or debt securities and which is managed or controlled independently from all other trusts, funds or other entities managed or controlled by Silverpoint or any of such Affiliates which have been established for the primary or main purpose of investing in the share capital of companies shall not constitute a Sponsor Affiliate;</w:t>
      </w:r>
    </w:p>
    <w:p>
      <w:pPr>
        <w:spacing w:after="0" w:line="82" w:lineRule="exact"/>
        <w:rPr>
          <w:rFonts w:ascii="Arial" w:cs="Arial" w:eastAsia="Arial" w:hAnsi="Arial"/>
          <w:sz w:val="17"/>
          <w:szCs w:val="17"/>
          <w:color w:val="auto"/>
        </w:rPr>
      </w:pPr>
    </w:p>
    <w:p>
      <w:pPr>
        <w:ind w:left="540" w:right="20" w:hanging="535"/>
        <w:spacing w:after="0" w:line="254" w:lineRule="auto"/>
        <w:tabs>
          <w:tab w:leader="none" w:pos="540" w:val="left"/>
        </w:tabs>
        <w:numPr>
          <w:ilvl w:val="0"/>
          <w:numId w:val="860"/>
        </w:numPr>
        <w:rPr>
          <w:rFonts w:ascii="Arial" w:cs="Arial" w:eastAsia="Arial" w:hAnsi="Arial"/>
          <w:sz w:val="18"/>
          <w:szCs w:val="18"/>
          <w:color w:val="auto"/>
        </w:rPr>
      </w:pPr>
      <w:r>
        <w:rPr>
          <w:rFonts w:ascii="Arial" w:cs="Arial" w:eastAsia="Arial" w:hAnsi="Arial"/>
          <w:sz w:val="18"/>
          <w:szCs w:val="18"/>
          <w:color w:val="auto"/>
        </w:rPr>
        <w:t xml:space="preserve">in the case of Oaktree, Oaktree, each of its Affiliates (other than any member of the Group), any trust of which Oaktree or any of such Affiliates is a trustee, any partnership of which Oaktree or any of its Affiliates is a partner and any trust, fund or other entity which is managed by, or is under the control of, Oaktree or any of such Affiliates,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trust, fund or other entity which has been established for at least 6 months solely for the purpose of making, purchasing or investing in loans or debt securities and which is managed or controlled independently from all other trusts, funds or other entities managed or controlled by Oaktree or any of such Affiliates which have been established for the primary or main purpose of investing in the share capital of companies shall not constitute a Sponsor Affiliate; and</w:t>
      </w:r>
    </w:p>
    <w:p>
      <w:pPr>
        <w:spacing w:after="0" w:line="100" w:lineRule="exact"/>
        <w:rPr>
          <w:rFonts w:ascii="Arial" w:cs="Arial" w:eastAsia="Arial" w:hAnsi="Arial"/>
          <w:sz w:val="18"/>
          <w:szCs w:val="18"/>
          <w:color w:val="auto"/>
        </w:rPr>
      </w:pPr>
    </w:p>
    <w:p>
      <w:pPr>
        <w:ind w:left="540" w:right="120" w:hanging="535"/>
        <w:spacing w:after="0" w:line="291" w:lineRule="auto"/>
        <w:tabs>
          <w:tab w:leader="none" w:pos="540" w:val="left"/>
        </w:tabs>
        <w:numPr>
          <w:ilvl w:val="0"/>
          <w:numId w:val="860"/>
        </w:numPr>
        <w:rPr>
          <w:rFonts w:ascii="Arial" w:cs="Arial" w:eastAsia="Arial" w:hAnsi="Arial"/>
          <w:sz w:val="16"/>
          <w:szCs w:val="16"/>
          <w:color w:val="auto"/>
        </w:rPr>
      </w:pPr>
      <w:r>
        <w:rPr>
          <w:rFonts w:ascii="Arial" w:cs="Arial" w:eastAsia="Arial" w:hAnsi="Arial"/>
          <w:sz w:val="16"/>
          <w:szCs w:val="16"/>
          <w:color w:val="auto"/>
        </w:rPr>
        <w:t xml:space="preserve">in the case of a New Sponsor, the New Sponsor, each of its Affiliates (other than any member of the Group), any trust of which the New Sponsor or any of such Affiliates is a trustee, any partnership of which the New Sponsor or any of its Affiliates is a partner and any trust, fund or other entity which is managed by, or is under the control of, the New Sponsor or any of such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any such trust, fund or other entity which has been established for at least 6 months solely for the purpose of making, purchasing</w:t>
      </w:r>
      <w:r>
        <w:rPr>
          <w:rFonts w:ascii="Arial" w:cs="Arial" w:eastAsia="Arial" w:hAnsi="Arial"/>
          <w:sz w:val="16"/>
          <w:szCs w:val="16"/>
          <w:i w:val="1"/>
          <w:iCs w:val="1"/>
          <w:color w:val="auto"/>
        </w:rPr>
        <w:t xml:space="preserve"> </w:t>
      </w:r>
      <w:r>
        <w:rPr>
          <w:rFonts w:ascii="Arial" w:cs="Arial" w:eastAsia="Arial" w:hAnsi="Arial"/>
          <w:sz w:val="16"/>
          <w:szCs w:val="16"/>
          <w:color w:val="auto"/>
        </w:rPr>
        <w:t>or investing in loans or debt securities and which is managed or controlled independently from all other trusts, funds or other entities managed or controlled by the New Sponsor or any of such Affiliates which have been established for the primary or main purpose of investing in the share capital of companies shall not constitute a Sponsor Affiliate.</w:t>
      </w:r>
    </w:p>
    <w:p>
      <w:pPr>
        <w:spacing w:after="0" w:line="54" w:lineRule="exact"/>
        <w:rPr>
          <w:sz w:val="20"/>
          <w:szCs w:val="20"/>
          <w:color w:val="auto"/>
        </w:rPr>
      </w:pPr>
    </w:p>
    <w:p>
      <w:pPr>
        <w:jc w:val="both"/>
        <w:ind w:right="7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Sponsor Group Loans</w:t>
      </w:r>
      <w:r>
        <w:rPr>
          <w:rFonts w:ascii="Arial" w:cs="Arial" w:eastAsia="Arial" w:hAnsi="Arial"/>
          <w:sz w:val="17"/>
          <w:szCs w:val="17"/>
          <w:color w:val="auto"/>
        </w:rPr>
        <w:t>” means any Financial Indebtedness owed by the Parent to any Sponsor Group Shareholder pursuant to any document or instrument setting out the terms of any credit facility, loan, notes, indenture or debt security or, as the case may be, any undocumented arrangement or contract (whether by way of book entry or otherwise) establishing the same.</w:t>
      </w:r>
    </w:p>
    <w:p>
      <w:pPr>
        <w:spacing w:after="0" w:line="5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Group Shareholder</w:t>
      </w:r>
      <w:r>
        <w:rPr>
          <w:rFonts w:ascii="Arial" w:cs="Arial" w:eastAsia="Arial" w:hAnsi="Arial"/>
          <w:sz w:val="18"/>
          <w:szCs w:val="18"/>
          <w:color w:val="auto"/>
        </w:rPr>
        <w:t>” means any direct or indirect shareholder of the Parent which is a Sponsor Affiliate, a Subsidiary of a Sponsor Affiliate or which would be a Subsidiary of a Sponsor Affiliate were the rights and interests of each Sponsor Affiliate in respect thereof to be combined.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Sponsors</w:t>
      </w:r>
      <w:r>
        <w:rPr>
          <w:rFonts w:ascii="Arial" w:cs="Arial" w:eastAsia="Arial" w:hAnsi="Arial"/>
          <w:sz w:val="18"/>
          <w:szCs w:val="18"/>
          <w:color w:val="auto"/>
        </w:rPr>
        <w:t>” means Melco Resorts, Silverpoint, Oaktree and any New Sponsor and “</w:t>
      </w:r>
      <w:r>
        <w:rPr>
          <w:rFonts w:ascii="Arial" w:cs="Arial" w:eastAsia="Arial" w:hAnsi="Arial"/>
          <w:sz w:val="18"/>
          <w:szCs w:val="18"/>
          <w:b w:val="1"/>
          <w:bCs w:val="1"/>
          <w:color w:val="auto"/>
        </w:rPr>
        <w:t>Sponsor</w:t>
      </w:r>
      <w:r>
        <w:rPr>
          <w:rFonts w:ascii="Arial" w:cs="Arial" w:eastAsia="Arial" w:hAnsi="Arial"/>
          <w:sz w:val="18"/>
          <w:szCs w:val="18"/>
          <w:color w:val="auto"/>
        </w:rPr>
        <w:t>” means each of them.</w:t>
      </w:r>
    </w:p>
    <w:p>
      <w:pPr>
        <w:spacing w:after="0" w:line="162"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1" w:right="439" w:bottom="1440" w:gutter="0" w:footer="0" w:header="0"/>
        </w:sectPr>
      </w:pPr>
    </w:p>
    <w:bookmarkStart w:id="643" w:name="page644"/>
    <w:bookmarkEnd w:id="6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Standard &amp; Poor’s</w:t>
      </w:r>
      <w:r>
        <w:rPr>
          <w:rFonts w:ascii="Arial" w:cs="Arial" w:eastAsia="Arial" w:hAnsi="Arial"/>
          <w:sz w:val="18"/>
          <w:szCs w:val="18"/>
          <w:color w:val="auto"/>
        </w:rPr>
        <w:t>” or “</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McGraw-Hill Companies, Inc..</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Creditor</w:t>
      </w:r>
      <w:r>
        <w:rPr>
          <w:rFonts w:ascii="Arial" w:cs="Arial" w:eastAsia="Arial" w:hAnsi="Arial"/>
          <w:sz w:val="18"/>
          <w:szCs w:val="18"/>
          <w:color w:val="auto"/>
        </w:rPr>
        <w:t>” means, for the purpose of any Continuing Document, each person that was an original party, or who has acceded, to the Intercreditor Agreement as a Subordinated Creditor or Intra-Group Lender.</w:t>
      </w:r>
    </w:p>
    <w:p>
      <w:pPr>
        <w:spacing w:after="0" w:line="54"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means, for the purpose of any Continuing Document, the Financial Indebtedness owed by any Obligor to another Obligor or a Sponsor Group Shareholder that is subordinated in accordance with the terms provided in respect thereof by the Intercreditor Agreement.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Deed</w:t>
      </w:r>
      <w:r>
        <w:rPr>
          <w:rFonts w:ascii="Arial" w:cs="Arial" w:eastAsia="Arial" w:hAnsi="Arial"/>
          <w:sz w:val="18"/>
          <w:szCs w:val="18"/>
          <w:color w:val="auto"/>
        </w:rPr>
        <w:t>” means, for the purpose of any Continuing Document, the Intercreditor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or corporation, a company or corporation:</w:t>
      </w:r>
    </w:p>
    <w:p>
      <w:pPr>
        <w:spacing w:after="0" w:line="135" w:lineRule="exact"/>
        <w:rPr>
          <w:sz w:val="20"/>
          <w:szCs w:val="20"/>
          <w:color w:val="auto"/>
        </w:rPr>
      </w:pPr>
    </w:p>
    <w:p>
      <w:pPr>
        <w:ind w:left="540" w:hanging="535"/>
        <w:spacing w:after="0"/>
        <w:tabs>
          <w:tab w:leader="none" w:pos="540" w:val="left"/>
        </w:tabs>
        <w:numPr>
          <w:ilvl w:val="0"/>
          <w:numId w:val="861"/>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first mentioned company or corporation;</w:t>
      </w:r>
    </w:p>
    <w:p>
      <w:pPr>
        <w:spacing w:after="0" w:line="130" w:lineRule="exact"/>
        <w:rPr>
          <w:rFonts w:ascii="Arial" w:cs="Arial" w:eastAsia="Arial" w:hAnsi="Arial"/>
          <w:sz w:val="18"/>
          <w:szCs w:val="18"/>
          <w:color w:val="auto"/>
        </w:rPr>
      </w:pPr>
    </w:p>
    <w:p>
      <w:pPr>
        <w:ind w:left="540" w:right="120" w:hanging="535"/>
        <w:spacing w:after="0" w:line="263" w:lineRule="auto"/>
        <w:tabs>
          <w:tab w:leader="none" w:pos="540" w:val="left"/>
        </w:tabs>
        <w:numPr>
          <w:ilvl w:val="0"/>
          <w:numId w:val="861"/>
        </w:numPr>
        <w:rPr>
          <w:rFonts w:ascii="Arial" w:cs="Arial" w:eastAsia="Arial" w:hAnsi="Arial"/>
          <w:sz w:val="18"/>
          <w:szCs w:val="18"/>
          <w:color w:val="auto"/>
        </w:rPr>
      </w:pPr>
      <w:r>
        <w:rPr>
          <w:rFonts w:ascii="Arial" w:cs="Arial" w:eastAsia="Arial" w:hAnsi="Arial"/>
          <w:sz w:val="18"/>
          <w:szCs w:val="18"/>
          <w:color w:val="auto"/>
        </w:rPr>
        <w:t>more than half the issued share capital of which (or, in the case of any company or corporation in which SCH5 owns a Golden Share, more than half the issued share capital of which, excluding for these purposes that Golden Share from such issued share capital) is beneficially owned, directly or indirectly by the first mentioned company or corporation; or</w:t>
      </w:r>
    </w:p>
    <w:p>
      <w:pPr>
        <w:spacing w:after="0" w:line="89" w:lineRule="exact"/>
        <w:rPr>
          <w:rFonts w:ascii="Arial" w:cs="Arial" w:eastAsia="Arial" w:hAnsi="Arial"/>
          <w:sz w:val="18"/>
          <w:szCs w:val="18"/>
          <w:color w:val="auto"/>
        </w:rPr>
      </w:pPr>
    </w:p>
    <w:p>
      <w:pPr>
        <w:ind w:left="540" w:hanging="535"/>
        <w:spacing w:after="0"/>
        <w:tabs>
          <w:tab w:leader="none" w:pos="540" w:val="left"/>
        </w:tabs>
        <w:numPr>
          <w:ilvl w:val="0"/>
          <w:numId w:val="861"/>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first mentioned company or corporation,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5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w:t>
      </w:r>
      <w:r>
        <w:rPr>
          <w:rFonts w:ascii="Arial" w:cs="Arial" w:eastAsia="Arial" w:hAnsi="Arial"/>
          <w:sz w:val="18"/>
          <w:szCs w:val="18"/>
          <w:color w:val="auto"/>
        </w:rPr>
        <w:t>” means, for the purpose of any Continuing Document, Facility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in relation to a Facility, the Final Repayment Date of that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Commitments</w:t>
      </w:r>
      <w:r>
        <w:rPr>
          <w:rFonts w:ascii="Arial" w:cs="Arial" w:eastAsia="Arial" w:hAnsi="Arial"/>
          <w:sz w:val="18"/>
          <w:szCs w:val="18"/>
          <w:color w:val="auto"/>
        </w:rPr>
        <w:t>” means the Total Revolving Facility Commitments.</w:t>
      </w:r>
    </w:p>
    <w:p>
      <w:pPr>
        <w:spacing w:after="0" w:line="11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Facility A Participation</w:t>
      </w:r>
      <w:r>
        <w:rPr>
          <w:rFonts w:ascii="Arial" w:cs="Arial" w:eastAsia="Arial" w:hAnsi="Arial"/>
          <w:sz w:val="18"/>
          <w:szCs w:val="18"/>
          <w:color w:val="auto"/>
        </w:rPr>
        <w:t>” means the aggregate of the Facility A Participations, being HK$1,000,000 at the 2016 Amendment and Restatement Effective Date.</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Facility Commitments</w:t>
      </w:r>
      <w:r>
        <w:rPr>
          <w:rFonts w:ascii="Arial" w:cs="Arial" w:eastAsia="Arial" w:hAnsi="Arial"/>
          <w:sz w:val="18"/>
          <w:szCs w:val="18"/>
          <w:color w:val="auto"/>
        </w:rPr>
        <w:t>” means the aggregate of the Revolving Facility Commitments, being HK$233,000,000 at the 2016 Amendment and Restatement Effective Date.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w:t>
      </w:r>
    </w:p>
    <w:p>
      <w:pPr>
        <w:spacing w:after="0" w:line="135" w:lineRule="exact"/>
        <w:rPr>
          <w:sz w:val="20"/>
          <w:szCs w:val="20"/>
          <w:color w:val="auto"/>
        </w:rPr>
      </w:pPr>
    </w:p>
    <w:p>
      <w:pPr>
        <w:ind w:left="540" w:hanging="535"/>
        <w:spacing w:after="0"/>
        <w:tabs>
          <w:tab w:leader="none" w:pos="540" w:val="left"/>
        </w:tabs>
        <w:numPr>
          <w:ilvl w:val="0"/>
          <w:numId w:val="862"/>
        </w:numPr>
        <w:rPr>
          <w:rFonts w:ascii="Arial" w:cs="Arial" w:eastAsia="Arial" w:hAnsi="Arial"/>
          <w:sz w:val="18"/>
          <w:szCs w:val="18"/>
          <w:color w:val="auto"/>
        </w:rPr>
      </w:pPr>
      <w:r>
        <w:rPr>
          <w:rFonts w:ascii="Arial" w:cs="Arial" w:eastAsia="Arial" w:hAnsi="Arial"/>
          <w:sz w:val="18"/>
          <w:szCs w:val="18"/>
          <w:color w:val="auto"/>
        </w:rPr>
        <w:t>the Finance Documents; and</w:t>
      </w:r>
    </w:p>
    <w:p>
      <w:pPr>
        <w:spacing w:after="0" w:line="130" w:lineRule="exact"/>
        <w:rPr>
          <w:rFonts w:ascii="Arial" w:cs="Arial" w:eastAsia="Arial" w:hAnsi="Arial"/>
          <w:sz w:val="18"/>
          <w:szCs w:val="18"/>
          <w:color w:val="auto"/>
        </w:rPr>
      </w:pPr>
    </w:p>
    <w:p>
      <w:pPr>
        <w:ind w:left="540" w:hanging="535"/>
        <w:spacing w:after="0"/>
        <w:tabs>
          <w:tab w:leader="none" w:pos="540" w:val="left"/>
        </w:tabs>
        <w:numPr>
          <w:ilvl w:val="0"/>
          <w:numId w:val="862"/>
        </w:numPr>
        <w:rPr>
          <w:rFonts w:ascii="Arial" w:cs="Arial" w:eastAsia="Arial" w:hAnsi="Arial"/>
          <w:sz w:val="18"/>
          <w:szCs w:val="18"/>
          <w:color w:val="auto"/>
        </w:rPr>
      </w:pPr>
      <w:r>
        <w:rPr>
          <w:rFonts w:ascii="Arial" w:cs="Arial" w:eastAsia="Arial" w:hAnsi="Arial"/>
          <w:sz w:val="18"/>
          <w:szCs w:val="18"/>
          <w:color w:val="auto"/>
        </w:rPr>
        <w:t>the Constitutional Documents of each Obligor.</w:t>
      </w:r>
    </w:p>
    <w:p>
      <w:pPr>
        <w:spacing w:after="0" w:line="11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Security</w:t>
      </w:r>
      <w:r>
        <w:rPr>
          <w:rFonts w:ascii="Arial" w:cs="Arial" w:eastAsia="Arial" w:hAnsi="Arial"/>
          <w:sz w:val="18"/>
          <w:szCs w:val="18"/>
          <w:color w:val="auto"/>
        </w:rPr>
        <w:t>” means the Security or other collateral created, evidenced or expressed to be created or evidenced pursuant to the Transaction Security Documents.</w:t>
      </w:r>
    </w:p>
    <w:p>
      <w:pPr>
        <w:spacing w:after="0" w:line="98"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0" w:right="439" w:bottom="1440" w:gutter="0" w:footer="0" w:header="0"/>
        </w:sectPr>
      </w:pPr>
    </w:p>
    <w:bookmarkStart w:id="644" w:name="page645"/>
    <w:bookmarkEnd w:id="644"/>
    <w:p>
      <w:pPr>
        <w:ind w:right="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Transaction Security Documents</w:t>
      </w:r>
      <w:r>
        <w:rPr>
          <w:rFonts w:ascii="Arial" w:cs="Arial" w:eastAsia="Arial" w:hAnsi="Arial"/>
          <w:sz w:val="17"/>
          <w:szCs w:val="17"/>
          <w:color w:val="auto"/>
        </w:rPr>
        <w:t>” means the Services and Right to Use Direct Agreement and each of the other documents listed as being a Transaction Security Document in schedule 4 (</w:t>
      </w:r>
      <w:r>
        <w:rPr>
          <w:rFonts w:ascii="Arial" w:cs="Arial" w:eastAsia="Arial" w:hAnsi="Arial"/>
          <w:sz w:val="17"/>
          <w:szCs w:val="17"/>
          <w:i w:val="1"/>
          <w:iCs w:val="1"/>
          <w:color w:val="auto"/>
        </w:rPr>
        <w:t>Transaction Security Documents</w:t>
      </w:r>
      <w:r>
        <w:rPr>
          <w:rFonts w:ascii="Arial" w:cs="Arial" w:eastAsia="Arial" w:hAnsi="Arial"/>
          <w:sz w:val="17"/>
          <w:szCs w:val="17"/>
          <w:color w:val="auto"/>
        </w:rPr>
        <w:t>) of the Intercreditor Agreement together with any other document entered into by any Obligor or other person creating or expressed to create any Security or other collateral over all or any part of its assets in respect of the obligations of any of the Obligors under any of the Finance Documents, each as amended, supplemented and/or confirmed from time to time (including, without limitation, the Facility A Cash Collateral).</w:t>
      </w:r>
    </w:p>
    <w:p>
      <w:pPr>
        <w:spacing w:after="0" w:line="6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a novation of rights and obligations, an assignment of rights, an assignment of rights combined with an assumption of certain obligations and release of certain obligations, a participation or sub-participation or a declaration of trust (or equivalent), in each case, in relation to, or any other arrangement under which payments are to be made or may be made by reference to, one or more Finance Documents, the Facilities or the Borrower or any other transfer howsoever described or arranged whereby rights or obligations under the Finance Documents or in relation to the Facilities or the Borrower are transferred from one person to another (and “</w:t>
      </w:r>
      <w:r>
        <w:rPr>
          <w:rFonts w:ascii="Arial" w:cs="Arial" w:eastAsia="Arial" w:hAnsi="Arial"/>
          <w:sz w:val="18"/>
          <w:szCs w:val="18"/>
          <w:b w:val="1"/>
          <w:bCs w:val="1"/>
          <w:color w:val="auto"/>
        </w:rPr>
        <w:t>transferred</w:t>
      </w:r>
      <w:r>
        <w:rPr>
          <w:rFonts w:ascii="Arial" w:cs="Arial" w:eastAsia="Arial" w:hAnsi="Arial"/>
          <w:sz w:val="18"/>
          <w:szCs w:val="18"/>
          <w:color w:val="auto"/>
        </w:rPr>
        <w:t>” (and similar expressions) will be construed accordingly).</w:t>
      </w:r>
    </w:p>
    <w:p>
      <w:pPr>
        <w:spacing w:after="0" w:line="7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means an agreement substantially in the form set out in Schedule 4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 form agreed between the Agent and the Borrower.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an assignment or transfer, the later of:</w:t>
      </w:r>
    </w:p>
    <w:p>
      <w:pPr>
        <w:spacing w:after="0" w:line="135" w:lineRule="exact"/>
        <w:rPr>
          <w:sz w:val="20"/>
          <w:szCs w:val="20"/>
          <w:color w:val="auto"/>
        </w:rPr>
      </w:pPr>
    </w:p>
    <w:p>
      <w:pPr>
        <w:ind w:left="540" w:right="960" w:hanging="535"/>
        <w:spacing w:after="0" w:line="277" w:lineRule="auto"/>
        <w:tabs>
          <w:tab w:leader="none" w:pos="54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Transfer Certificate or Assignment Agreement and Lender Accession Undertaking; and</w:t>
      </w:r>
    </w:p>
    <w:p>
      <w:pPr>
        <w:spacing w:after="0" w:line="75" w:lineRule="exact"/>
        <w:rPr>
          <w:rFonts w:ascii="Arial" w:cs="Arial" w:eastAsia="Arial" w:hAnsi="Arial"/>
          <w:sz w:val="18"/>
          <w:szCs w:val="18"/>
          <w:color w:val="auto"/>
        </w:rPr>
      </w:pPr>
    </w:p>
    <w:p>
      <w:pPr>
        <w:ind w:left="540" w:hanging="535"/>
        <w:spacing w:after="0"/>
        <w:tabs>
          <w:tab w:leader="none" w:pos="540" w:val="left"/>
        </w:tabs>
        <w:numPr>
          <w:ilvl w:val="0"/>
          <w:numId w:val="863"/>
        </w:numPr>
        <w:rPr>
          <w:rFonts w:ascii="Arial" w:cs="Arial" w:eastAsia="Arial" w:hAnsi="Arial"/>
          <w:sz w:val="16"/>
          <w:szCs w:val="16"/>
          <w:color w:val="auto"/>
        </w:rPr>
      </w:pPr>
      <w:r>
        <w:rPr>
          <w:rFonts w:ascii="Arial" w:cs="Arial" w:eastAsia="Arial" w:hAnsi="Arial"/>
          <w:sz w:val="16"/>
          <w:szCs w:val="16"/>
          <w:color w:val="auto"/>
        </w:rPr>
        <w:t>the date on which the Agent executes the relevant Transfer Certificate or Assignment Agreement and Lender Accession Undertaking.</w:t>
      </w:r>
    </w:p>
    <w:p>
      <w:pPr>
        <w:spacing w:after="0" w:line="13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Transaction</w:t>
      </w:r>
      <w:r>
        <w:rPr>
          <w:rFonts w:ascii="Arial" w:cs="Arial" w:eastAsia="Arial" w:hAnsi="Arial"/>
          <w:sz w:val="18"/>
          <w:szCs w:val="18"/>
          <w:color w:val="auto"/>
        </w:rPr>
        <w:t>” means any derivative transaction entered into in connection with protection against or benefit from fluctuation in any rate or price.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an Obligor under the Finance Documents.</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 its territories, possessions and other areas subject to the jurisdiction of the United States of America.</w:t>
      </w:r>
    </w:p>
    <w:p>
      <w:pPr>
        <w:spacing w:after="0" w:line="5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Public Law 107-56.</w:t>
      </w:r>
    </w:p>
    <w:p>
      <w:pPr>
        <w:spacing w:after="0" w:line="5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Bankruptcy Code</w:t>
      </w:r>
      <w:r>
        <w:rPr>
          <w:rFonts w:ascii="Arial" w:cs="Arial" w:eastAsia="Arial" w:hAnsi="Arial"/>
          <w:sz w:val="18"/>
          <w:szCs w:val="18"/>
          <w:color w:val="auto"/>
        </w:rPr>
        <w:t>” means Title 11 of The United States Code (entitled “Bankruptcy”), as amended from time to time and as now or hereafter in effect, or any successor thereto.</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denotes the lawful currency of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whose jurisdiction of organization is a state of the United States or the District of Columbia.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on which a Revolving Facility Loan is made.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form set out in Part 1 of Schedule 3 (</w:t>
      </w:r>
      <w:r>
        <w:rPr>
          <w:rFonts w:ascii="Arial" w:cs="Arial" w:eastAsia="Arial" w:hAnsi="Arial"/>
          <w:sz w:val="18"/>
          <w:szCs w:val="18"/>
          <w:i w:val="1"/>
          <w:iCs w:val="1"/>
          <w:color w:val="auto"/>
        </w:rPr>
        <w:t>Requests and notices</w:t>
      </w:r>
      <w:r>
        <w:rPr>
          <w:rFonts w:ascii="Arial" w:cs="Arial" w:eastAsia="Arial" w:hAnsi="Arial"/>
          <w:sz w:val="18"/>
          <w:szCs w:val="18"/>
          <w:color w:val="auto"/>
        </w:rPr>
        <w:t>).</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Participation</w:t>
      </w:r>
      <w:r>
        <w:rPr>
          <w:rFonts w:ascii="Arial" w:cs="Arial" w:eastAsia="Arial" w:hAnsi="Arial"/>
          <w:sz w:val="17"/>
          <w:szCs w:val="17"/>
          <w:color w:val="auto"/>
        </w:rPr>
        <w:t>” means a Participation which involves a transfer of any voting rights, directly or indirectly, under, or in relation to, the Finance Documents (including arising as a result of being able to direct the way that another person exercises its voting rights).</w:t>
      </w:r>
    </w:p>
    <w:p>
      <w:pPr>
        <w:spacing w:after="0" w:line="76"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1" w:right="439" w:bottom="1440" w:gutter="0" w:footer="0" w:header="0"/>
        </w:sectPr>
      </w:pPr>
    </w:p>
    <w:bookmarkStart w:id="645" w:name="page646"/>
    <w:bookmarkEnd w:id="645"/>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Construction</w:t>
      </w:r>
    </w:p>
    <w:p>
      <w:pPr>
        <w:spacing w:after="0" w:line="135" w:lineRule="exact"/>
        <w:rPr>
          <w:sz w:val="20"/>
          <w:szCs w:val="20"/>
          <w:color w:val="auto"/>
        </w:rPr>
      </w:pPr>
    </w:p>
    <w:p>
      <w:pPr>
        <w:ind w:left="1300" w:hanging="535"/>
        <w:spacing w:after="0"/>
        <w:tabs>
          <w:tab w:leader="none" w:pos="1300" w:val="left"/>
        </w:tabs>
        <w:numPr>
          <w:ilvl w:val="0"/>
          <w:numId w:val="864"/>
        </w:numPr>
        <w:rPr>
          <w:rFonts w:ascii="Arial" w:cs="Arial" w:eastAsia="Arial" w:hAnsi="Arial"/>
          <w:sz w:val="18"/>
          <w:szCs w:val="18"/>
          <w:color w:val="auto"/>
        </w:rPr>
      </w:pPr>
      <w:r>
        <w:rPr>
          <w:rFonts w:ascii="Arial" w:cs="Arial" w:eastAsia="Arial" w:hAnsi="Arial"/>
          <w:sz w:val="18"/>
          <w:szCs w:val="18"/>
          <w:color w:val="auto"/>
        </w:rPr>
        <w:t>Unless a contrary indication appears a reference in this Agreement to:</w:t>
      </w:r>
    </w:p>
    <w:p>
      <w:pPr>
        <w:spacing w:after="0" w:line="126" w:lineRule="exact"/>
        <w:rPr>
          <w:rFonts w:ascii="Arial" w:cs="Arial" w:eastAsia="Arial" w:hAnsi="Arial"/>
          <w:sz w:val="18"/>
          <w:szCs w:val="18"/>
          <w:color w:val="auto"/>
        </w:rPr>
      </w:pPr>
    </w:p>
    <w:p>
      <w:pPr>
        <w:ind w:left="1960" w:hanging="655"/>
        <w:spacing w:after="0"/>
        <w:tabs>
          <w:tab w:leader="none" w:pos="1960" w:val="left"/>
        </w:tabs>
        <w:numPr>
          <w:ilvl w:val="1"/>
          <w:numId w:val="86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Agent</w:t>
      </w:r>
      <w:r>
        <w:rPr>
          <w:rFonts w:ascii="Arial" w:cs="Arial" w:eastAsia="Arial" w:hAnsi="Arial"/>
          <w:sz w:val="18"/>
          <w:szCs w:val="18"/>
          <w:color w:val="auto"/>
        </w:rPr>
        <w:t>”, the “</w:t>
      </w:r>
      <w:r>
        <w:rPr>
          <w:rFonts w:ascii="Arial" w:cs="Arial" w:eastAsia="Arial" w:hAnsi="Arial"/>
          <w:sz w:val="18"/>
          <w:szCs w:val="18"/>
          <w:b w:val="1"/>
          <w:bCs w:val="1"/>
          <w:color w:val="auto"/>
        </w:rPr>
        <w:t>Common Security Agent</w:t>
      </w:r>
      <w:r>
        <w:rPr>
          <w:rFonts w:ascii="Arial" w:cs="Arial" w:eastAsia="Arial" w:hAnsi="Arial"/>
          <w:sz w:val="18"/>
          <w:szCs w:val="18"/>
          <w:color w:val="auto"/>
        </w:rPr>
        <w:t>”, any “</w:t>
      </w:r>
      <w:r>
        <w:rPr>
          <w:rFonts w:ascii="Arial" w:cs="Arial" w:eastAsia="Arial" w:hAnsi="Arial"/>
          <w:sz w:val="18"/>
          <w:szCs w:val="18"/>
          <w:b w:val="1"/>
          <w:bCs w:val="1"/>
          <w:color w:val="auto"/>
        </w:rPr>
        <w:t>Finance Party</w:t>
      </w:r>
      <w:r>
        <w:rPr>
          <w:rFonts w:ascii="Arial" w:cs="Arial" w:eastAsia="Arial" w:hAnsi="Arial"/>
          <w:sz w:val="18"/>
          <w:szCs w:val="18"/>
          <w:color w:val="auto"/>
        </w:rPr>
        <w:t>”, the “</w:t>
      </w:r>
      <w:r>
        <w:rPr>
          <w:rFonts w:ascii="Arial" w:cs="Arial" w:eastAsia="Arial" w:hAnsi="Arial"/>
          <w:sz w:val="18"/>
          <w:szCs w:val="18"/>
          <w:b w:val="1"/>
          <w:bCs w:val="1"/>
          <w:color w:val="auto"/>
        </w:rPr>
        <w:t>Intercreditor Agent</w:t>
      </w:r>
      <w:r>
        <w:rPr>
          <w:rFonts w:ascii="Arial" w:cs="Arial" w:eastAsia="Arial" w:hAnsi="Arial"/>
          <w:sz w:val="18"/>
          <w:szCs w:val="18"/>
          <w:color w:val="auto"/>
        </w:rPr>
        <w:t>”, any “</w:t>
      </w:r>
      <w:r>
        <w:rPr>
          <w:rFonts w:ascii="Arial" w:cs="Arial" w:eastAsia="Arial" w:hAnsi="Arial"/>
          <w:sz w:val="18"/>
          <w:szCs w:val="18"/>
          <w:b w:val="1"/>
          <w:bCs w:val="1"/>
          <w:color w:val="auto"/>
        </w:rPr>
        <w:t>Lender</w:t>
      </w:r>
      <w:r>
        <w:rPr>
          <w:rFonts w:ascii="Arial" w:cs="Arial" w:eastAsia="Arial" w:hAnsi="Arial"/>
          <w:sz w:val="18"/>
          <w:szCs w:val="18"/>
          <w:color w:val="auto"/>
        </w:rPr>
        <w:t>”, any</w:t>
      </w:r>
    </w:p>
    <w:p>
      <w:pPr>
        <w:spacing w:after="0" w:line="27" w:lineRule="exact"/>
        <w:rPr>
          <w:rFonts w:ascii="Arial" w:cs="Arial" w:eastAsia="Arial" w:hAnsi="Arial"/>
          <w:sz w:val="18"/>
          <w:szCs w:val="18"/>
          <w:color w:val="auto"/>
        </w:rPr>
      </w:pPr>
    </w:p>
    <w:p>
      <w:pPr>
        <w:ind w:left="1960" w:right="120"/>
        <w:spacing w:after="0" w:line="25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any “</w:t>
      </w:r>
      <w:r>
        <w:rPr>
          <w:rFonts w:ascii="Arial" w:cs="Arial" w:eastAsia="Arial" w:hAnsi="Arial"/>
          <w:sz w:val="18"/>
          <w:szCs w:val="18"/>
          <w:b w:val="1"/>
          <w:bCs w:val="1"/>
          <w:color w:val="auto"/>
        </w:rPr>
        <w:t>Party</w:t>
      </w:r>
      <w:r>
        <w:rPr>
          <w:rFonts w:ascii="Arial" w:cs="Arial" w:eastAsia="Arial" w:hAnsi="Arial"/>
          <w:sz w:val="18"/>
          <w:szCs w:val="18"/>
          <w:color w:val="auto"/>
        </w:rPr>
        <w:t>”, the “</w:t>
      </w:r>
      <w:r>
        <w:rPr>
          <w:rFonts w:ascii="Arial" w:cs="Arial" w:eastAsia="Arial" w:hAnsi="Arial"/>
          <w:sz w:val="18"/>
          <w:szCs w:val="18"/>
          <w:b w:val="1"/>
          <w:bCs w:val="1"/>
          <w:color w:val="auto"/>
        </w:rPr>
        <w:t>POA Agent</w:t>
      </w:r>
      <w:r>
        <w:rPr>
          <w:rFonts w:ascii="Arial" w:cs="Arial" w:eastAsia="Arial" w:hAnsi="Arial"/>
          <w:sz w:val="18"/>
          <w:szCs w:val="18"/>
          <w:color w:val="auto"/>
        </w:rPr>
        <w:t>”, any “</w:t>
      </w:r>
      <w:r>
        <w:rPr>
          <w:rFonts w:ascii="Arial" w:cs="Arial" w:eastAsia="Arial" w:hAnsi="Arial"/>
          <w:sz w:val="18"/>
          <w:szCs w:val="18"/>
          <w:b w:val="1"/>
          <w:bCs w:val="1"/>
          <w:color w:val="auto"/>
        </w:rPr>
        <w:t>Secured Party</w:t>
      </w:r>
      <w:r>
        <w:rPr>
          <w:rFonts w:ascii="Arial" w:cs="Arial" w:eastAsia="Arial" w:hAnsi="Arial"/>
          <w:sz w:val="18"/>
          <w:szCs w:val="18"/>
          <w:color w:val="auto"/>
        </w:rPr>
        <w:t>” or any other person shall be construed so as to include its successors in title, permitted assigns and permitted transferees and, in the case of the Common Security Agent, any person for the time being appointed as Common Security Agent or Common Security Agents in accordance with the Finance Documents;</w:t>
      </w:r>
    </w:p>
    <w:p>
      <w:pPr>
        <w:spacing w:after="0" w:line="94" w:lineRule="exact"/>
        <w:rPr>
          <w:rFonts w:ascii="Arial" w:cs="Arial" w:eastAsia="Arial" w:hAnsi="Arial"/>
          <w:sz w:val="18"/>
          <w:szCs w:val="18"/>
          <w:color w:val="auto"/>
        </w:rPr>
      </w:pPr>
    </w:p>
    <w:p>
      <w:pPr>
        <w:ind w:left="1960" w:right="100" w:hanging="655"/>
        <w:spacing w:after="0" w:line="282" w:lineRule="auto"/>
        <w:tabs>
          <w:tab w:leader="none" w:pos="1960" w:val="left"/>
        </w:tabs>
        <w:numPr>
          <w:ilvl w:val="1"/>
          <w:numId w:val="864"/>
        </w:numPr>
        <w:rPr>
          <w:rFonts w:ascii="Arial" w:cs="Arial" w:eastAsia="Arial" w:hAnsi="Arial"/>
          <w:sz w:val="18"/>
          <w:szCs w:val="18"/>
          <w:color w:val="auto"/>
        </w:rPr>
      </w:pPr>
      <w:r>
        <w:rPr>
          <w:rFonts w:ascii="Arial" w:cs="Arial" w:eastAsia="Arial" w:hAnsi="Arial"/>
          <w:sz w:val="18"/>
          <w:szCs w:val="18"/>
          <w:color w:val="auto"/>
        </w:rPr>
        <w:t>a document in “</w:t>
      </w:r>
      <w:r>
        <w:rPr>
          <w:rFonts w:ascii="Arial" w:cs="Arial" w:eastAsia="Arial" w:hAnsi="Arial"/>
          <w:sz w:val="18"/>
          <w:szCs w:val="18"/>
          <w:b w:val="1"/>
          <w:bCs w:val="1"/>
          <w:color w:val="auto"/>
        </w:rPr>
        <w:t>agreed form</w:t>
      </w:r>
      <w:r>
        <w:rPr>
          <w:rFonts w:ascii="Arial" w:cs="Arial" w:eastAsia="Arial" w:hAnsi="Arial"/>
          <w:sz w:val="18"/>
          <w:szCs w:val="18"/>
          <w:color w:val="auto"/>
        </w:rPr>
        <w:t>” is a document which is in a form previously agreed in writing by or on behalf of the Borrower and the Agent or, if not so agreed, is in the form specified by the Agent;</w:t>
      </w:r>
    </w:p>
    <w:p>
      <w:pPr>
        <w:spacing w:after="0" w:line="67" w:lineRule="exact"/>
        <w:rPr>
          <w:rFonts w:ascii="Arial" w:cs="Arial" w:eastAsia="Arial" w:hAnsi="Arial"/>
          <w:sz w:val="18"/>
          <w:szCs w:val="18"/>
          <w:color w:val="auto"/>
        </w:rPr>
      </w:pPr>
    </w:p>
    <w:p>
      <w:pPr>
        <w:ind w:left="1960" w:hanging="655"/>
        <w:spacing w:after="0"/>
        <w:tabs>
          <w:tab w:leader="none" w:pos="1960" w:val="left"/>
        </w:tabs>
        <w:numPr>
          <w:ilvl w:val="1"/>
          <w:numId w:val="8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30" w:lineRule="exact"/>
        <w:rPr>
          <w:rFonts w:ascii="Arial" w:cs="Arial" w:eastAsia="Arial" w:hAnsi="Arial"/>
          <w:sz w:val="18"/>
          <w:szCs w:val="18"/>
          <w:color w:val="auto"/>
        </w:rPr>
      </w:pPr>
    </w:p>
    <w:p>
      <w:pPr>
        <w:ind w:left="1960" w:right="220" w:hanging="655"/>
        <w:spacing w:after="0" w:line="266" w:lineRule="auto"/>
        <w:tabs>
          <w:tab w:leader="none" w:pos="1960" w:val="left"/>
        </w:tabs>
        <w:numPr>
          <w:ilvl w:val="1"/>
          <w:numId w:val="86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 “</w:t>
      </w:r>
      <w:r>
        <w:rPr>
          <w:rFonts w:ascii="Arial" w:cs="Arial" w:eastAsia="Arial" w:hAnsi="Arial"/>
          <w:sz w:val="18"/>
          <w:szCs w:val="18"/>
          <w:b w:val="1"/>
          <w:bCs w:val="1"/>
          <w:color w:val="auto"/>
        </w:rPr>
        <w:t>Transaction Document</w:t>
      </w:r>
      <w:r>
        <w:rPr>
          <w:rFonts w:ascii="Arial" w:cs="Arial" w:eastAsia="Arial" w:hAnsi="Arial"/>
          <w:sz w:val="18"/>
          <w:szCs w:val="18"/>
          <w:color w:val="auto"/>
        </w:rPr>
        <w:t>” or any other agreement or instrument is a reference to that Finance Document or Transaction Document or other agreement or instrument as amended, novated, supplemented, extended, replaced or restated (in each case, however fundamentally);</w:t>
      </w:r>
    </w:p>
    <w:p>
      <w:pPr>
        <w:spacing w:after="0" w:line="81" w:lineRule="exact"/>
        <w:rPr>
          <w:rFonts w:ascii="Arial" w:cs="Arial" w:eastAsia="Arial" w:hAnsi="Arial"/>
          <w:sz w:val="18"/>
          <w:szCs w:val="18"/>
          <w:color w:val="auto"/>
        </w:rPr>
      </w:pPr>
    </w:p>
    <w:p>
      <w:pPr>
        <w:ind w:left="1960" w:right="180" w:hanging="655"/>
        <w:spacing w:after="0" w:line="303" w:lineRule="auto"/>
        <w:tabs>
          <w:tab w:leader="none" w:pos="1960" w:val="left"/>
        </w:tabs>
        <w:numPr>
          <w:ilvl w:val="1"/>
          <w:numId w:val="8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(other than in Clause 20 (</w:t>
      </w:r>
      <w:r>
        <w:rPr>
          <w:rFonts w:ascii="Arial" w:cs="Arial" w:eastAsia="Arial" w:hAnsi="Arial"/>
          <w:sz w:val="16"/>
          <w:szCs w:val="16"/>
          <w:i w:val="1"/>
          <w:iCs w:val="1"/>
          <w:color w:val="auto"/>
        </w:rPr>
        <w:t>Guarantee and indemnity</w:t>
      </w:r>
      <w:r>
        <w:rPr>
          <w:rFonts w:ascii="Arial" w:cs="Arial" w:eastAsia="Arial" w:hAnsi="Arial"/>
          <w:sz w:val="16"/>
          <w:szCs w:val="16"/>
          <w:color w:val="auto"/>
        </w:rPr>
        <w:t>))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56" w:lineRule="exact"/>
        <w:rPr>
          <w:rFonts w:ascii="Arial" w:cs="Arial" w:eastAsia="Arial" w:hAnsi="Arial"/>
          <w:sz w:val="16"/>
          <w:szCs w:val="16"/>
          <w:color w:val="auto"/>
        </w:rPr>
      </w:pPr>
    </w:p>
    <w:p>
      <w:pPr>
        <w:ind w:left="1960" w:right="100" w:hanging="655"/>
        <w:spacing w:after="0" w:line="282" w:lineRule="auto"/>
        <w:tabs>
          <w:tab w:leader="none" w:pos="1960" w:val="left"/>
        </w:tabs>
        <w:numPr>
          <w:ilvl w:val="1"/>
          <w:numId w:val="8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67" w:lineRule="exact"/>
        <w:rPr>
          <w:rFonts w:ascii="Arial" w:cs="Arial" w:eastAsia="Arial" w:hAnsi="Arial"/>
          <w:sz w:val="18"/>
          <w:szCs w:val="18"/>
          <w:color w:val="auto"/>
        </w:rPr>
      </w:pPr>
    </w:p>
    <w:p>
      <w:pPr>
        <w:ind w:left="1960" w:right="160" w:hanging="655"/>
        <w:spacing w:after="0" w:line="312" w:lineRule="auto"/>
        <w:tabs>
          <w:tab w:leader="none" w:pos="1960" w:val="left"/>
        </w:tabs>
        <w:numPr>
          <w:ilvl w:val="1"/>
          <w:numId w:val="864"/>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person</w:t>
      </w:r>
      <w:r>
        <w:rPr>
          <w:rFonts w:ascii="Arial" w:cs="Arial" w:eastAsia="Arial" w:hAnsi="Arial"/>
          <w:sz w:val="17"/>
          <w:szCs w:val="17"/>
          <w:color w:val="auto"/>
        </w:rPr>
        <w:t>” includes any person, firm, company, corporation, government, state or agency of a state or any association, trust or partnership (whether or not having separate legal personality) of two or more of the foregoing;</w:t>
      </w:r>
    </w:p>
    <w:p>
      <w:pPr>
        <w:spacing w:after="0" w:line="45" w:lineRule="exact"/>
        <w:rPr>
          <w:rFonts w:ascii="Arial" w:cs="Arial" w:eastAsia="Arial" w:hAnsi="Arial"/>
          <w:sz w:val="17"/>
          <w:szCs w:val="17"/>
          <w:color w:val="auto"/>
        </w:rPr>
      </w:pPr>
    </w:p>
    <w:p>
      <w:pPr>
        <w:ind w:left="1960" w:right="180" w:hanging="655"/>
        <w:spacing w:after="0" w:line="266" w:lineRule="auto"/>
        <w:tabs>
          <w:tab w:leader="none" w:pos="1960" w:val="left"/>
        </w:tabs>
        <w:numPr>
          <w:ilvl w:val="1"/>
          <w:numId w:val="86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81" w:lineRule="exact"/>
        <w:rPr>
          <w:rFonts w:ascii="Arial" w:cs="Arial" w:eastAsia="Arial" w:hAnsi="Arial"/>
          <w:sz w:val="18"/>
          <w:szCs w:val="18"/>
          <w:color w:val="auto"/>
        </w:rPr>
      </w:pPr>
    </w:p>
    <w:p>
      <w:pPr>
        <w:ind w:left="1960" w:right="20" w:hanging="655"/>
        <w:spacing w:after="0" w:line="273" w:lineRule="auto"/>
        <w:tabs>
          <w:tab w:leader="none" w:pos="1960" w:val="left"/>
        </w:tabs>
        <w:numPr>
          <w:ilvl w:val="1"/>
          <w:numId w:val="864"/>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b w:val="1"/>
          <w:bCs w:val="1"/>
          <w:color w:val="auto"/>
        </w:rPr>
        <w:t>equivalent amount in other currencies</w:t>
      </w:r>
      <w:r>
        <w:rPr>
          <w:rFonts w:ascii="Arial" w:cs="Arial" w:eastAsia="Arial" w:hAnsi="Arial"/>
          <w:sz w:val="17"/>
          <w:szCs w:val="17"/>
          <w:color w:val="auto"/>
        </w:rPr>
        <w:t>”, “</w:t>
      </w:r>
      <w:r>
        <w:rPr>
          <w:rFonts w:ascii="Arial" w:cs="Arial" w:eastAsia="Arial" w:hAnsi="Arial"/>
          <w:sz w:val="17"/>
          <w:szCs w:val="17"/>
          <w:b w:val="1"/>
          <w:bCs w:val="1"/>
          <w:color w:val="auto"/>
        </w:rPr>
        <w:t>equivalent amount in HK$</w:t>
      </w:r>
      <w:r>
        <w:rPr>
          <w:rFonts w:ascii="Arial" w:cs="Arial" w:eastAsia="Arial" w:hAnsi="Arial"/>
          <w:sz w:val="17"/>
          <w:szCs w:val="17"/>
          <w:color w:val="auto"/>
        </w:rPr>
        <w:t>”, “</w:t>
      </w:r>
      <w:r>
        <w:rPr>
          <w:rFonts w:ascii="Arial" w:cs="Arial" w:eastAsia="Arial" w:hAnsi="Arial"/>
          <w:sz w:val="17"/>
          <w:szCs w:val="17"/>
          <w:b w:val="1"/>
          <w:bCs w:val="1"/>
          <w:color w:val="auto"/>
        </w:rPr>
        <w:t>equivalent amount in US$</w:t>
      </w:r>
      <w:r>
        <w:rPr>
          <w:rFonts w:ascii="Arial" w:cs="Arial" w:eastAsia="Arial" w:hAnsi="Arial"/>
          <w:sz w:val="17"/>
          <w:szCs w:val="17"/>
          <w:color w:val="auto"/>
        </w:rPr>
        <w:t>” or “</w:t>
      </w:r>
      <w:r>
        <w:rPr>
          <w:rFonts w:ascii="Arial" w:cs="Arial" w:eastAsia="Arial" w:hAnsi="Arial"/>
          <w:sz w:val="17"/>
          <w:szCs w:val="17"/>
          <w:b w:val="1"/>
          <w:bCs w:val="1"/>
          <w:color w:val="auto"/>
        </w:rPr>
        <w:t>its</w:t>
      </w:r>
      <w:r>
        <w:rPr>
          <w:rFonts w:ascii="Arial" w:cs="Arial" w:eastAsia="Arial" w:hAnsi="Arial"/>
          <w:sz w:val="17"/>
          <w:szCs w:val="17"/>
          <w:color w:val="auto"/>
        </w:rPr>
        <w:t xml:space="preserve"> </w:t>
      </w:r>
      <w:r>
        <w:rPr>
          <w:rFonts w:ascii="Arial" w:cs="Arial" w:eastAsia="Arial" w:hAnsi="Arial"/>
          <w:sz w:val="17"/>
          <w:szCs w:val="17"/>
          <w:b w:val="1"/>
          <w:bCs w:val="1"/>
          <w:color w:val="auto"/>
        </w:rPr>
        <w:t>equivalent</w:t>
      </w:r>
      <w:r>
        <w:rPr>
          <w:rFonts w:ascii="Arial" w:cs="Arial" w:eastAsia="Arial" w:hAnsi="Arial"/>
          <w:sz w:val="17"/>
          <w:szCs w:val="17"/>
          <w:color w:val="auto"/>
        </w:rPr>
        <w:t>” means, in relation to an amount in one currency, that amount converted on any relevant date into the relevant</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HK$ or US$ (as the case may be) at the Agent’s Spot Rate of Exchange on that date and other than for the purposes of determining compliance with any basket amount, threshold and any other exceptions to any undertaking under Clause 23 (</w:t>
      </w:r>
      <w:r>
        <w:rPr>
          <w:rFonts w:ascii="Arial" w:cs="Arial" w:eastAsia="Arial" w:hAnsi="Arial"/>
          <w:sz w:val="17"/>
          <w:szCs w:val="17"/>
          <w:i w:val="1"/>
          <w:iCs w:val="1"/>
          <w:color w:val="auto"/>
        </w:rPr>
        <w:t>General undertakings</w:t>
      </w:r>
      <w:r>
        <w:rPr>
          <w:rFonts w:ascii="Arial" w:cs="Arial" w:eastAsia="Arial" w:hAnsi="Arial"/>
          <w:sz w:val="17"/>
          <w:szCs w:val="17"/>
          <w:color w:val="auto"/>
        </w:rPr>
        <w:t>) and any Event of Default under Clause 24 (</w:t>
      </w:r>
      <w:r>
        <w:rPr>
          <w:rFonts w:ascii="Arial" w:cs="Arial" w:eastAsia="Arial" w:hAnsi="Arial"/>
          <w:sz w:val="17"/>
          <w:szCs w:val="17"/>
          <w:i w:val="1"/>
          <w:iCs w:val="1"/>
          <w:color w:val="auto"/>
        </w:rPr>
        <w:t>Events of Default</w:t>
      </w:r>
      <w:r>
        <w:rPr>
          <w:rFonts w:ascii="Arial" w:cs="Arial" w:eastAsia="Arial" w:hAnsi="Arial"/>
          <w:sz w:val="17"/>
          <w:szCs w:val="17"/>
          <w:color w:val="auto"/>
        </w:rPr>
        <w:t>), the equivalent to any amount in HK dollars or the equivalent to any amount in US dollars shall be determined as at the time of the applicable incurrence, disposal, acquisition, investment, lease, loan, guarantee or other relevant action;</w:t>
      </w:r>
    </w:p>
    <w:p>
      <w:pPr>
        <w:spacing w:after="0" w:line="108"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46" w:name="page647"/>
    <w:bookmarkEnd w:id="646"/>
    <w:p>
      <w:pPr>
        <w:ind w:left="1200" w:right="120" w:hanging="655"/>
        <w:spacing w:after="0" w:line="263" w:lineRule="auto"/>
        <w:tabs>
          <w:tab w:leader="none" w:pos="1200" w:val="left"/>
        </w:tabs>
        <w:numPr>
          <w:ilvl w:val="1"/>
          <w:numId w:val="8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breach of any undertaking under Clause 23 (</w:t>
      </w:r>
      <w:r>
        <w:rPr>
          <w:rFonts w:ascii="Arial" w:cs="Arial" w:eastAsia="Arial" w:hAnsi="Arial"/>
          <w:sz w:val="18"/>
          <w:szCs w:val="18"/>
          <w:i w:val="1"/>
          <w:iCs w:val="1"/>
          <w:color w:val="auto"/>
        </w:rPr>
        <w:t>General undertakings</w:t>
      </w:r>
      <w:r>
        <w:rPr>
          <w:rFonts w:ascii="Arial" w:cs="Arial" w:eastAsia="Arial" w:hAnsi="Arial"/>
          <w:sz w:val="18"/>
          <w:szCs w:val="18"/>
          <w:color w:val="auto"/>
        </w:rPr>
        <w:t>) and any Event of Default under Clause 24 (</w:t>
      </w:r>
      <w:r>
        <w:rPr>
          <w:rFonts w:ascii="Arial" w:cs="Arial" w:eastAsia="Arial" w:hAnsi="Arial"/>
          <w:sz w:val="18"/>
          <w:szCs w:val="18"/>
          <w:i w:val="1"/>
          <w:iCs w:val="1"/>
          <w:color w:val="auto"/>
        </w:rPr>
        <w:t>Events of</w:t>
      </w:r>
      <w:r>
        <w:rPr>
          <w:rFonts w:ascii="Arial" w:cs="Arial" w:eastAsia="Arial" w:hAnsi="Arial"/>
          <w:sz w:val="18"/>
          <w:szCs w:val="18"/>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 shall arise merely as a result of a subsequent change in the US dollar equivalent or HK dollar equivalent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amount due to fluctuation in exchange rates;</w:t>
      </w:r>
    </w:p>
    <w:p>
      <w:pPr>
        <w:spacing w:after="0" w:line="89" w:lineRule="exact"/>
        <w:rPr>
          <w:rFonts w:ascii="Arial" w:cs="Arial" w:eastAsia="Arial" w:hAnsi="Arial"/>
          <w:sz w:val="18"/>
          <w:szCs w:val="18"/>
          <w:color w:val="auto"/>
        </w:rPr>
      </w:pPr>
    </w:p>
    <w:p>
      <w:pPr>
        <w:ind w:left="1200" w:hanging="655"/>
        <w:spacing w:after="0"/>
        <w:tabs>
          <w:tab w:leader="none" w:pos="120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and</w:t>
      </w:r>
    </w:p>
    <w:p>
      <w:pPr>
        <w:spacing w:after="0" w:line="130" w:lineRule="exact"/>
        <w:rPr>
          <w:rFonts w:ascii="Arial" w:cs="Arial" w:eastAsia="Arial" w:hAnsi="Arial"/>
          <w:sz w:val="18"/>
          <w:szCs w:val="18"/>
          <w:color w:val="auto"/>
        </w:rPr>
      </w:pPr>
    </w:p>
    <w:p>
      <w:pPr>
        <w:ind w:left="1200" w:hanging="655"/>
        <w:spacing w:after="0"/>
        <w:tabs>
          <w:tab w:leader="none" w:pos="120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a time of day is a reference to Hong Kong time.</w:t>
      </w:r>
    </w:p>
    <w:p>
      <w:pPr>
        <w:spacing w:after="0" w:line="126" w:lineRule="exact"/>
        <w:rPr>
          <w:rFonts w:ascii="Arial" w:cs="Arial" w:eastAsia="Arial" w:hAnsi="Arial"/>
          <w:sz w:val="18"/>
          <w:szCs w:val="18"/>
          <w:color w:val="auto"/>
        </w:rPr>
      </w:pPr>
    </w:p>
    <w:p>
      <w:pPr>
        <w:ind w:left="540" w:right="60" w:hanging="535"/>
        <w:spacing w:after="0" w:line="266" w:lineRule="auto"/>
        <w:tabs>
          <w:tab w:leader="none" w:pos="54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Any reference to the Agent “</w:t>
      </w:r>
      <w:r>
        <w:rPr>
          <w:rFonts w:ascii="Arial" w:cs="Arial" w:eastAsia="Arial" w:hAnsi="Arial"/>
          <w:sz w:val="18"/>
          <w:szCs w:val="18"/>
          <w:b w:val="1"/>
          <w:bCs w:val="1"/>
          <w:color w:val="auto"/>
        </w:rPr>
        <w:t>acting reasonably</w:t>
      </w:r>
      <w:r>
        <w:rPr>
          <w:rFonts w:ascii="Arial" w:cs="Arial" w:eastAsia="Arial" w:hAnsi="Arial"/>
          <w:sz w:val="18"/>
          <w:szCs w:val="18"/>
          <w:color w:val="auto"/>
        </w:rPr>
        <w:t>” shall, to the extent that the Agent seeks instructions from the Lenders or a group of Lenders in respect of any matter, be construed so as to require the Lenders or that group of Lenders to act reasonably in respect of that matter.</w:t>
      </w:r>
    </w:p>
    <w:p>
      <w:pPr>
        <w:spacing w:after="0" w:line="85" w:lineRule="exact"/>
        <w:rPr>
          <w:rFonts w:ascii="Arial" w:cs="Arial" w:eastAsia="Arial" w:hAnsi="Arial"/>
          <w:sz w:val="18"/>
          <w:szCs w:val="18"/>
          <w:color w:val="auto"/>
        </w:rPr>
      </w:pPr>
    </w:p>
    <w:p>
      <w:pPr>
        <w:ind w:left="540" w:hanging="535"/>
        <w:spacing w:after="0"/>
        <w:tabs>
          <w:tab w:leader="none" w:pos="54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30" w:lineRule="exact"/>
        <w:rPr>
          <w:rFonts w:ascii="Arial" w:cs="Arial" w:eastAsia="Arial" w:hAnsi="Arial"/>
          <w:sz w:val="18"/>
          <w:szCs w:val="18"/>
          <w:color w:val="auto"/>
        </w:rPr>
      </w:pPr>
    </w:p>
    <w:p>
      <w:pPr>
        <w:ind w:left="540" w:right="360" w:hanging="535"/>
        <w:spacing w:after="0" w:line="311" w:lineRule="auto"/>
        <w:tabs>
          <w:tab w:leader="none" w:pos="540" w:val="left"/>
        </w:tabs>
        <w:numPr>
          <w:ilvl w:val="0"/>
          <w:numId w:val="866"/>
        </w:numPr>
        <w:rPr>
          <w:rFonts w:ascii="Arial" w:cs="Arial" w:eastAsia="Arial" w:hAnsi="Arial"/>
          <w:sz w:val="16"/>
          <w:szCs w:val="16"/>
          <w:color w:val="auto"/>
        </w:rPr>
      </w:pPr>
      <w:r>
        <w:rPr>
          <w:rFonts w:ascii="Arial" w:cs="Arial" w:eastAsia="Arial" w:hAnsi="Arial"/>
          <w:sz w:val="16"/>
          <w:szCs w:val="16"/>
          <w:color w:val="auto"/>
        </w:rPr>
        <w:t>Unless a contrary indication appears, (i) a term used in any other Finance Document or in any notice given under or in connection with any Finance Document has the same meaning in that Finance Document or notice as in this Agreement; and (ii) the word “including” shall be construed as “including without limitation” (and cognate expressions shall be construed similarly).</w:t>
      </w:r>
    </w:p>
    <w:p>
      <w:pPr>
        <w:spacing w:after="0" w:line="50" w:lineRule="exact"/>
        <w:rPr>
          <w:rFonts w:ascii="Arial" w:cs="Arial" w:eastAsia="Arial" w:hAnsi="Arial"/>
          <w:sz w:val="16"/>
          <w:szCs w:val="16"/>
          <w:color w:val="auto"/>
        </w:rPr>
      </w:pPr>
    </w:p>
    <w:p>
      <w:pPr>
        <w:ind w:left="540" w:right="300" w:hanging="535"/>
        <w:spacing w:after="0" w:line="282" w:lineRule="auto"/>
        <w:tabs>
          <w:tab w:leader="none" w:pos="54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A Borrower providing “</w:t>
      </w:r>
      <w:r>
        <w:rPr>
          <w:rFonts w:ascii="Arial" w:cs="Arial" w:eastAsia="Arial" w:hAnsi="Arial"/>
          <w:sz w:val="18"/>
          <w:szCs w:val="18"/>
          <w:b w:val="1"/>
          <w:bCs w:val="1"/>
          <w:color w:val="auto"/>
        </w:rPr>
        <w:t>cash cover</w:t>
      </w:r>
      <w:r>
        <w:rPr>
          <w:rFonts w:ascii="Arial" w:cs="Arial" w:eastAsia="Arial" w:hAnsi="Arial"/>
          <w:sz w:val="18"/>
          <w:szCs w:val="18"/>
          <w:color w:val="auto"/>
        </w:rPr>
        <w:t>” for an Ancillary Facility means a Borrower paying an amount in the currency of the Ancillary Facility to an interest-bearing account in the name of a Borrower and the following conditions being met:</w:t>
      </w:r>
    </w:p>
    <w:p>
      <w:pPr>
        <w:spacing w:after="0" w:line="71" w:lineRule="exact"/>
        <w:rPr>
          <w:rFonts w:ascii="Arial" w:cs="Arial" w:eastAsia="Arial" w:hAnsi="Arial"/>
          <w:sz w:val="18"/>
          <w:szCs w:val="18"/>
          <w:color w:val="auto"/>
        </w:rPr>
      </w:pPr>
    </w:p>
    <w:p>
      <w:pPr>
        <w:ind w:left="1200" w:hanging="655"/>
        <w:spacing w:after="0"/>
        <w:tabs>
          <w:tab w:leader="none" w:pos="1200" w:val="left"/>
        </w:tabs>
        <w:numPr>
          <w:ilvl w:val="1"/>
          <w:numId w:val="866"/>
        </w:numPr>
        <w:rPr>
          <w:rFonts w:ascii="Arial" w:cs="Arial" w:eastAsia="Arial" w:hAnsi="Arial"/>
          <w:sz w:val="18"/>
          <w:szCs w:val="18"/>
          <w:color w:val="auto"/>
        </w:rPr>
      </w:pPr>
      <w:r>
        <w:rPr>
          <w:rFonts w:ascii="Arial" w:cs="Arial" w:eastAsia="Arial" w:hAnsi="Arial"/>
          <w:sz w:val="18"/>
          <w:szCs w:val="18"/>
          <w:color w:val="auto"/>
        </w:rPr>
        <w:t>the account is with the Ancillary Lender for which that cash cover is to be provided;</w:t>
      </w:r>
    </w:p>
    <w:p>
      <w:pPr>
        <w:spacing w:after="0" w:line="130" w:lineRule="exact"/>
        <w:rPr>
          <w:rFonts w:ascii="Arial" w:cs="Arial" w:eastAsia="Arial" w:hAnsi="Arial"/>
          <w:sz w:val="18"/>
          <w:szCs w:val="18"/>
          <w:color w:val="auto"/>
        </w:rPr>
      </w:pPr>
    </w:p>
    <w:p>
      <w:pPr>
        <w:ind w:left="1200" w:right="160" w:hanging="655"/>
        <w:spacing w:after="0" w:line="342" w:lineRule="auto"/>
        <w:tabs>
          <w:tab w:leader="none" w:pos="1200" w:val="left"/>
        </w:tabs>
        <w:numPr>
          <w:ilvl w:val="1"/>
          <w:numId w:val="866"/>
        </w:numPr>
        <w:rPr>
          <w:rFonts w:ascii="Arial" w:cs="Arial" w:eastAsia="Arial" w:hAnsi="Arial"/>
          <w:sz w:val="16"/>
          <w:szCs w:val="16"/>
          <w:color w:val="auto"/>
        </w:rPr>
      </w:pPr>
      <w:r>
        <w:rPr>
          <w:rFonts w:ascii="Arial" w:cs="Arial" w:eastAsia="Arial" w:hAnsi="Arial"/>
          <w:sz w:val="16"/>
          <w:szCs w:val="16"/>
          <w:color w:val="auto"/>
        </w:rPr>
        <w:t>until no amount is or may be outstanding under that Ancillary Facility, withdrawals from the account may only be made to pay the relevant Finance Party amounts due and payable to it under this Agreement in respect of that Ancillary Facility; and</w:t>
      </w:r>
    </w:p>
    <w:p>
      <w:pPr>
        <w:spacing w:after="0" w:line="29" w:lineRule="exact"/>
        <w:rPr>
          <w:rFonts w:ascii="Arial" w:cs="Arial" w:eastAsia="Arial" w:hAnsi="Arial"/>
          <w:sz w:val="16"/>
          <w:szCs w:val="16"/>
          <w:color w:val="auto"/>
        </w:rPr>
      </w:pPr>
    </w:p>
    <w:p>
      <w:pPr>
        <w:ind w:left="1200" w:right="580" w:hanging="655"/>
        <w:spacing w:after="0" w:line="277" w:lineRule="auto"/>
        <w:tabs>
          <w:tab w:leader="none" w:pos="1200" w:val="left"/>
        </w:tabs>
        <w:numPr>
          <w:ilvl w:val="1"/>
          <w:numId w:val="866"/>
        </w:numPr>
        <w:rPr>
          <w:rFonts w:ascii="Arial" w:cs="Arial" w:eastAsia="Arial" w:hAnsi="Arial"/>
          <w:sz w:val="18"/>
          <w:szCs w:val="18"/>
          <w:color w:val="auto"/>
        </w:rPr>
      </w:pPr>
      <w:r>
        <w:rPr>
          <w:rFonts w:ascii="Arial" w:cs="Arial" w:eastAsia="Arial" w:hAnsi="Arial"/>
          <w:sz w:val="18"/>
          <w:szCs w:val="18"/>
          <w:color w:val="auto"/>
        </w:rPr>
        <w:t>a Borrower has executed a security document, in form and substance satisfactory to the Finance Party with which that account is held, creating a first ranking security interest over that account.</w:t>
      </w:r>
    </w:p>
    <w:p>
      <w:pPr>
        <w:spacing w:after="0" w:line="71" w:lineRule="exact"/>
        <w:rPr>
          <w:rFonts w:ascii="Arial" w:cs="Arial" w:eastAsia="Arial" w:hAnsi="Arial"/>
          <w:sz w:val="18"/>
          <w:szCs w:val="18"/>
          <w:color w:val="auto"/>
        </w:rPr>
      </w:pPr>
    </w:p>
    <w:p>
      <w:pPr>
        <w:ind w:left="540" w:right="240" w:hanging="535"/>
        <w:spacing w:after="0" w:line="266" w:lineRule="auto"/>
        <w:tabs>
          <w:tab w:leader="none" w:pos="54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A Default (including, for the avoidance of doubt,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Acceleration Event is “</w:t>
      </w:r>
      <w:r>
        <w:rPr>
          <w:rFonts w:ascii="Arial" w:cs="Arial" w:eastAsia="Arial" w:hAnsi="Arial"/>
          <w:sz w:val="18"/>
          <w:szCs w:val="18"/>
          <w:b w:val="1"/>
          <w:bCs w:val="1"/>
          <w:color w:val="auto"/>
        </w:rPr>
        <w:t>continuing</w:t>
      </w:r>
      <w:r>
        <w:rPr>
          <w:rFonts w:ascii="Arial" w:cs="Arial" w:eastAsia="Arial" w:hAnsi="Arial"/>
          <w:sz w:val="18"/>
          <w:szCs w:val="18"/>
          <w:color w:val="auto"/>
        </w:rPr>
        <w:t>” if the notice in relation to such Acceleration Event has not been withdrawn, cancelled or otherwise ceased to have effect.</w:t>
      </w:r>
    </w:p>
    <w:p>
      <w:pPr>
        <w:spacing w:after="0" w:line="81" w:lineRule="exact"/>
        <w:rPr>
          <w:rFonts w:ascii="Arial" w:cs="Arial" w:eastAsia="Arial" w:hAnsi="Arial"/>
          <w:sz w:val="18"/>
          <w:szCs w:val="18"/>
          <w:color w:val="auto"/>
        </w:rPr>
      </w:pPr>
    </w:p>
    <w:p>
      <w:pPr>
        <w:ind w:left="540" w:hanging="535"/>
        <w:spacing w:after="0"/>
        <w:tabs>
          <w:tab w:leader="none" w:pos="54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A Borrower “</w:t>
      </w:r>
      <w:r>
        <w:rPr>
          <w:rFonts w:ascii="Arial" w:cs="Arial" w:eastAsia="Arial" w:hAnsi="Arial"/>
          <w:sz w:val="18"/>
          <w:szCs w:val="18"/>
          <w:b w:val="1"/>
          <w:bCs w:val="1"/>
          <w:color w:val="auto"/>
        </w:rPr>
        <w:t>repaying</w:t>
      </w:r>
      <w:r>
        <w:rPr>
          <w:rFonts w:ascii="Arial" w:cs="Arial" w:eastAsia="Arial" w:hAnsi="Arial"/>
          <w:sz w:val="18"/>
          <w:szCs w:val="18"/>
          <w:color w:val="auto"/>
        </w:rPr>
        <w:t>” or “</w:t>
      </w:r>
      <w:r>
        <w:rPr>
          <w:rFonts w:ascii="Arial" w:cs="Arial" w:eastAsia="Arial" w:hAnsi="Arial"/>
          <w:sz w:val="18"/>
          <w:szCs w:val="18"/>
          <w:b w:val="1"/>
          <w:bCs w:val="1"/>
          <w:color w:val="auto"/>
        </w:rPr>
        <w:t>prepaying</w:t>
      </w:r>
      <w:r>
        <w:rPr>
          <w:rFonts w:ascii="Arial" w:cs="Arial" w:eastAsia="Arial" w:hAnsi="Arial"/>
          <w:sz w:val="18"/>
          <w:szCs w:val="18"/>
          <w:color w:val="auto"/>
        </w:rPr>
        <w:t>” Ancillary Outstandings means:</w:t>
      </w:r>
    </w:p>
    <w:p>
      <w:pPr>
        <w:spacing w:after="0" w:line="134" w:lineRule="exact"/>
        <w:rPr>
          <w:rFonts w:ascii="Arial" w:cs="Arial" w:eastAsia="Arial" w:hAnsi="Arial"/>
          <w:sz w:val="18"/>
          <w:szCs w:val="18"/>
          <w:color w:val="auto"/>
        </w:rPr>
      </w:pPr>
    </w:p>
    <w:p>
      <w:pPr>
        <w:ind w:left="1200" w:hanging="655"/>
        <w:spacing w:after="0"/>
        <w:tabs>
          <w:tab w:leader="none" w:pos="1200" w:val="left"/>
        </w:tabs>
        <w:numPr>
          <w:ilvl w:val="1"/>
          <w:numId w:val="866"/>
        </w:numPr>
        <w:rPr>
          <w:rFonts w:ascii="Arial" w:cs="Arial" w:eastAsia="Arial" w:hAnsi="Arial"/>
          <w:sz w:val="18"/>
          <w:szCs w:val="18"/>
          <w:color w:val="auto"/>
        </w:rPr>
      </w:pPr>
      <w:r>
        <w:rPr>
          <w:rFonts w:ascii="Arial" w:cs="Arial" w:eastAsia="Arial" w:hAnsi="Arial"/>
          <w:sz w:val="18"/>
          <w:szCs w:val="18"/>
          <w:color w:val="auto"/>
        </w:rPr>
        <w:t>that Borrower providing cash cover in respect of the Ancillary Outstandings;</w:t>
      </w:r>
    </w:p>
    <w:p>
      <w:pPr>
        <w:spacing w:after="0" w:line="130" w:lineRule="exact"/>
        <w:rPr>
          <w:rFonts w:ascii="Arial" w:cs="Arial" w:eastAsia="Arial" w:hAnsi="Arial"/>
          <w:sz w:val="18"/>
          <w:szCs w:val="18"/>
          <w:color w:val="auto"/>
        </w:rPr>
      </w:pPr>
    </w:p>
    <w:p>
      <w:pPr>
        <w:ind w:left="1200" w:hanging="655"/>
        <w:spacing w:after="0"/>
        <w:tabs>
          <w:tab w:leader="none" w:pos="1200" w:val="left"/>
        </w:tabs>
        <w:numPr>
          <w:ilvl w:val="1"/>
          <w:numId w:val="866"/>
        </w:numPr>
        <w:rPr>
          <w:rFonts w:ascii="Arial" w:cs="Arial" w:eastAsia="Arial" w:hAnsi="Arial"/>
          <w:sz w:val="17"/>
          <w:szCs w:val="17"/>
          <w:color w:val="auto"/>
        </w:rPr>
      </w:pPr>
      <w:r>
        <w:rPr>
          <w:rFonts w:ascii="Arial" w:cs="Arial" w:eastAsia="Arial" w:hAnsi="Arial"/>
          <w:sz w:val="17"/>
          <w:szCs w:val="17"/>
          <w:color w:val="auto"/>
        </w:rPr>
        <w:t>the maximum amount payable under the Ancillary Facility being reduced or cancelled in accordance with its terms; or</w:t>
      </w:r>
    </w:p>
    <w:p>
      <w:pPr>
        <w:spacing w:after="0" w:line="142" w:lineRule="exact"/>
        <w:rPr>
          <w:rFonts w:ascii="Arial" w:cs="Arial" w:eastAsia="Arial" w:hAnsi="Arial"/>
          <w:sz w:val="17"/>
          <w:szCs w:val="17"/>
          <w:color w:val="auto"/>
        </w:rPr>
      </w:pPr>
    </w:p>
    <w:p>
      <w:pPr>
        <w:ind w:left="1200" w:hanging="655"/>
        <w:spacing w:after="0"/>
        <w:tabs>
          <w:tab w:leader="none" w:pos="1200" w:val="left"/>
        </w:tabs>
        <w:numPr>
          <w:ilvl w:val="1"/>
          <w:numId w:val="866"/>
        </w:numPr>
        <w:rPr>
          <w:rFonts w:ascii="Arial" w:cs="Arial" w:eastAsia="Arial" w:hAnsi="Arial"/>
          <w:sz w:val="18"/>
          <w:szCs w:val="18"/>
          <w:color w:val="auto"/>
        </w:rPr>
      </w:pPr>
      <w:r>
        <w:rPr>
          <w:rFonts w:ascii="Arial" w:cs="Arial" w:eastAsia="Arial" w:hAnsi="Arial"/>
          <w:sz w:val="18"/>
          <w:szCs w:val="18"/>
          <w:color w:val="auto"/>
        </w:rPr>
        <w:t>the relevant Ancillary Lender being satisfied that it has no further liability under that Ancillary Facility,</w:t>
      </w:r>
    </w:p>
    <w:p>
      <w:pPr>
        <w:spacing w:after="0" w:line="11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and the amount by which the Ancillary Outstandings are repaid or prepaid under paragraphs (i) and (ii) above is the amount of the relevant cash cover, reduction or cancellation.</w:t>
      </w:r>
    </w:p>
    <w:p>
      <w:pPr>
        <w:spacing w:after="0" w:line="76" w:lineRule="exact"/>
        <w:rPr>
          <w:sz w:val="20"/>
          <w:szCs w:val="20"/>
          <w:color w:val="auto"/>
        </w:rPr>
      </w:pPr>
    </w:p>
    <w:p>
      <w:pPr>
        <w:ind w:left="540" w:hanging="535"/>
        <w:spacing w:after="0"/>
        <w:tabs>
          <w:tab w:leader="none" w:pos="540" w:val="left"/>
        </w:tabs>
        <w:numPr>
          <w:ilvl w:val="0"/>
          <w:numId w:val="867"/>
        </w:numPr>
        <w:rPr>
          <w:rFonts w:ascii="Arial" w:cs="Arial" w:eastAsia="Arial" w:hAnsi="Arial"/>
          <w:sz w:val="18"/>
          <w:szCs w:val="18"/>
          <w:color w:val="auto"/>
        </w:rPr>
      </w:pPr>
      <w:r>
        <w:rPr>
          <w:rFonts w:ascii="Arial" w:cs="Arial" w:eastAsia="Arial" w:hAnsi="Arial"/>
          <w:sz w:val="18"/>
          <w:szCs w:val="18"/>
          <w:color w:val="auto"/>
        </w:rPr>
        <w:t>An amount borrowed includes any amount utilised under an Ancillary Facility.</w:t>
      </w:r>
    </w:p>
    <w:p>
      <w:pPr>
        <w:spacing w:after="0" w:line="158"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647" w:name="page648"/>
    <w:bookmarkEnd w:id="647"/>
    <w:p>
      <w:pPr>
        <w:ind w:left="1300" w:right="40" w:hanging="535"/>
        <w:spacing w:after="0" w:line="259" w:lineRule="auto"/>
        <w:tabs>
          <w:tab w:leader="none" w:pos="1300" w:val="left"/>
        </w:tabs>
        <w:numPr>
          <w:ilvl w:val="0"/>
          <w:numId w:val="8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any Finance Document, none of the steps set out or described in, or any actions done or contemplated by, the Services and Right to Use Direct Agreement or the actions or intermediate steps necessary to implement any of those steps or actions shall constitute a breach of any representation or warranty, a breach of any undertaking or otherwise result in the occurrence of a Default or an Event of Default under a Finance Document.</w:t>
      </w:r>
    </w:p>
    <w:p>
      <w:pPr>
        <w:spacing w:after="0" w:line="88" w:lineRule="exact"/>
        <w:rPr>
          <w:rFonts w:ascii="Arial" w:cs="Arial" w:eastAsia="Arial" w:hAnsi="Arial"/>
          <w:sz w:val="18"/>
          <w:szCs w:val="18"/>
          <w:color w:val="auto"/>
        </w:rPr>
      </w:pPr>
    </w:p>
    <w:p>
      <w:pPr>
        <w:ind w:left="1300" w:right="80" w:hanging="535"/>
        <w:spacing w:after="0" w:line="266" w:lineRule="auto"/>
        <w:tabs>
          <w:tab w:leader="none" w:pos="1300" w:val="left"/>
        </w:tabs>
        <w:numPr>
          <w:ilvl w:val="0"/>
          <w:numId w:val="868"/>
        </w:numPr>
        <w:rPr>
          <w:rFonts w:ascii="Arial" w:cs="Arial" w:eastAsia="Arial" w:hAnsi="Arial"/>
          <w:sz w:val="18"/>
          <w:szCs w:val="18"/>
          <w:color w:val="auto"/>
        </w:rPr>
      </w:pPr>
      <w:r>
        <w:rPr>
          <w:rFonts w:ascii="Arial" w:cs="Arial" w:eastAsia="Arial" w:hAnsi="Arial"/>
          <w:sz w:val="18"/>
          <w:szCs w:val="18"/>
          <w:color w:val="auto"/>
        </w:rPr>
        <w:t>References in this Agreement to “</w:t>
      </w:r>
      <w:r>
        <w:rPr>
          <w:rFonts w:ascii="Arial" w:cs="Arial" w:eastAsia="Arial" w:hAnsi="Arial"/>
          <w:sz w:val="18"/>
          <w:szCs w:val="18"/>
          <w:b w:val="1"/>
          <w:bCs w:val="1"/>
          <w:color w:val="auto"/>
        </w:rPr>
        <w:t>the original date hereof</w:t>
      </w:r>
      <w:r>
        <w:rPr>
          <w:rFonts w:ascii="Arial" w:cs="Arial" w:eastAsia="Arial" w:hAnsi="Arial"/>
          <w:sz w:val="18"/>
          <w:szCs w:val="18"/>
          <w:color w:val="auto"/>
        </w:rPr>
        <w:t>”, “</w:t>
      </w:r>
      <w:r>
        <w:rPr>
          <w:rFonts w:ascii="Arial" w:cs="Arial" w:eastAsia="Arial" w:hAnsi="Arial"/>
          <w:sz w:val="18"/>
          <w:szCs w:val="18"/>
          <w:b w:val="1"/>
          <w:bCs w:val="1"/>
          <w:color w:val="auto"/>
        </w:rPr>
        <w:t>the original date of this Agreement</w:t>
      </w:r>
      <w:r>
        <w:rPr>
          <w:rFonts w:ascii="Arial" w:cs="Arial" w:eastAsia="Arial" w:hAnsi="Arial"/>
          <w:sz w:val="18"/>
          <w:szCs w:val="18"/>
          <w:color w:val="auto"/>
        </w:rPr>
        <w:t>”, and any other like expressions shall mean 28 January 2013 and references in this Agreement to “</w:t>
      </w:r>
      <w:r>
        <w:rPr>
          <w:rFonts w:ascii="Arial" w:cs="Arial" w:eastAsia="Arial" w:hAnsi="Arial"/>
          <w:sz w:val="18"/>
          <w:szCs w:val="18"/>
          <w:b w:val="1"/>
          <w:bCs w:val="1"/>
          <w:color w:val="auto"/>
        </w:rPr>
        <w:t>the date hereof</w:t>
      </w:r>
      <w:r>
        <w:rPr>
          <w:rFonts w:ascii="Arial" w:cs="Arial" w:eastAsia="Arial" w:hAnsi="Arial"/>
          <w:sz w:val="18"/>
          <w:szCs w:val="18"/>
          <w:color w:val="auto"/>
        </w:rPr>
        <w:t>”, “</w:t>
      </w:r>
      <w:r>
        <w:rPr>
          <w:rFonts w:ascii="Arial" w:cs="Arial" w:eastAsia="Arial" w:hAnsi="Arial"/>
          <w:sz w:val="18"/>
          <w:szCs w:val="18"/>
          <w:b w:val="1"/>
          <w:bCs w:val="1"/>
          <w:color w:val="auto"/>
        </w:rPr>
        <w:t>the date of this Agreement</w:t>
      </w:r>
      <w:r>
        <w:rPr>
          <w:rFonts w:ascii="Arial" w:cs="Arial" w:eastAsia="Arial" w:hAnsi="Arial"/>
          <w:sz w:val="18"/>
          <w:szCs w:val="18"/>
          <w:color w:val="auto"/>
        </w:rPr>
        <w:t>”, and any other like expressions shall mean the 2016 Amendment and Restatement Effective Date.</w:t>
      </w:r>
    </w:p>
    <w:p>
      <w:pPr>
        <w:spacing w:after="0" w:line="85" w:lineRule="exact"/>
        <w:rPr>
          <w:rFonts w:ascii="Arial" w:cs="Arial" w:eastAsia="Arial" w:hAnsi="Arial"/>
          <w:sz w:val="18"/>
          <w:szCs w:val="18"/>
          <w:color w:val="auto"/>
        </w:rPr>
      </w:pPr>
    </w:p>
    <w:p>
      <w:pPr>
        <w:ind w:left="1300" w:right="140" w:hanging="535"/>
        <w:spacing w:after="0" w:line="272" w:lineRule="auto"/>
        <w:tabs>
          <w:tab w:leader="none" w:pos="1300" w:val="left"/>
        </w:tabs>
        <w:numPr>
          <w:ilvl w:val="0"/>
          <w:numId w:val="868"/>
        </w:numPr>
        <w:rPr>
          <w:rFonts w:ascii="Arial" w:cs="Arial" w:eastAsia="Arial" w:hAnsi="Arial"/>
          <w:sz w:val="17"/>
          <w:szCs w:val="17"/>
          <w:color w:val="auto"/>
        </w:rPr>
      </w:pPr>
      <w:r>
        <w:rPr>
          <w:rFonts w:ascii="Arial" w:cs="Arial" w:eastAsia="Arial" w:hAnsi="Arial"/>
          <w:sz w:val="17"/>
          <w:szCs w:val="17"/>
          <w:color w:val="auto"/>
        </w:rPr>
        <w:t>The principles of construction and interpretation contained or referred to in paragraph (m) of clause 1.2 (</w:t>
      </w:r>
      <w:r>
        <w:rPr>
          <w:rFonts w:ascii="Arial" w:cs="Arial" w:eastAsia="Arial" w:hAnsi="Arial"/>
          <w:sz w:val="17"/>
          <w:szCs w:val="17"/>
          <w:i w:val="1"/>
          <w:iCs w:val="1"/>
          <w:color w:val="auto"/>
        </w:rPr>
        <w:t>Construction</w:t>
      </w:r>
      <w:r>
        <w:rPr>
          <w:rFonts w:ascii="Arial" w:cs="Arial" w:eastAsia="Arial" w:hAnsi="Arial"/>
          <w:sz w:val="17"/>
          <w:szCs w:val="17"/>
          <w:color w:val="auto"/>
        </w:rPr>
        <w:t>) of the Intercreditor Agreement shall apply to the construction and interpretation of the Services and Right to Use Direct Agreement, including to any capitalised term incorporated into the Services and Right to Use Direct Agreement by reference to this Agreement (whether or not such term is expressly defined in this Agreement). In the event of any inconsistency between the principles of construction contained or referred to in paragraph (m) of clause 1.2 (</w:t>
      </w:r>
      <w:r>
        <w:rPr>
          <w:rFonts w:ascii="Arial" w:cs="Arial" w:eastAsia="Arial" w:hAnsi="Arial"/>
          <w:sz w:val="17"/>
          <w:szCs w:val="17"/>
          <w:i w:val="1"/>
          <w:iCs w:val="1"/>
          <w:color w:val="auto"/>
        </w:rPr>
        <w:t>Construction</w:t>
      </w:r>
      <w:r>
        <w:rPr>
          <w:rFonts w:ascii="Arial" w:cs="Arial" w:eastAsia="Arial" w:hAnsi="Arial"/>
          <w:sz w:val="17"/>
          <w:szCs w:val="17"/>
          <w:color w:val="auto"/>
        </w:rPr>
        <w:t>) of the Intercreditor Agreement and a term defined in this Agreement, the principles of construction contained or referred to in paragraph (m) of clause 1.2 (</w:t>
      </w:r>
      <w:r>
        <w:rPr>
          <w:rFonts w:ascii="Arial" w:cs="Arial" w:eastAsia="Arial" w:hAnsi="Arial"/>
          <w:sz w:val="17"/>
          <w:szCs w:val="17"/>
          <w:i w:val="1"/>
          <w:iCs w:val="1"/>
          <w:color w:val="auto"/>
        </w:rPr>
        <w:t>Construction</w:t>
      </w:r>
      <w:r>
        <w:rPr>
          <w:rFonts w:ascii="Arial" w:cs="Arial" w:eastAsia="Arial" w:hAnsi="Arial"/>
          <w:sz w:val="17"/>
          <w:szCs w:val="17"/>
          <w:color w:val="auto"/>
        </w:rPr>
        <w:t>) of the Intercreditor Agreement shall take precedence.</w:t>
      </w:r>
    </w:p>
    <w:p>
      <w:pPr>
        <w:spacing w:after="0" w:line="82" w:lineRule="exact"/>
        <w:rPr>
          <w:rFonts w:ascii="Arial" w:cs="Arial" w:eastAsia="Arial" w:hAnsi="Arial"/>
          <w:sz w:val="17"/>
          <w:szCs w:val="17"/>
          <w:color w:val="auto"/>
        </w:rPr>
      </w:pPr>
    </w:p>
    <w:p>
      <w:pPr>
        <w:ind w:left="1300" w:right="20" w:hanging="535"/>
        <w:spacing w:after="0" w:line="293" w:lineRule="auto"/>
        <w:tabs>
          <w:tab w:leader="none" w:pos="1300" w:val="left"/>
        </w:tabs>
        <w:numPr>
          <w:ilvl w:val="0"/>
          <w:numId w:val="868"/>
        </w:numPr>
        <w:rPr>
          <w:rFonts w:ascii="Arial" w:cs="Arial" w:eastAsia="Arial" w:hAnsi="Arial"/>
          <w:sz w:val="16"/>
          <w:szCs w:val="16"/>
          <w:color w:val="auto"/>
        </w:rPr>
      </w:pPr>
      <w:r>
        <w:rPr>
          <w:rFonts w:ascii="Arial" w:cs="Arial" w:eastAsia="Arial" w:hAnsi="Arial"/>
          <w:sz w:val="16"/>
          <w:szCs w:val="16"/>
          <w:color w:val="auto"/>
        </w:rPr>
        <w:t>The principles of construction and interpretation contained or referred to in paragraph (n) of clause 1.2 (</w:t>
      </w:r>
      <w:r>
        <w:rPr>
          <w:rFonts w:ascii="Arial" w:cs="Arial" w:eastAsia="Arial" w:hAnsi="Arial"/>
          <w:sz w:val="16"/>
          <w:szCs w:val="16"/>
          <w:i w:val="1"/>
          <w:iCs w:val="1"/>
          <w:color w:val="auto"/>
        </w:rPr>
        <w:t>Construction</w:t>
      </w:r>
      <w:r>
        <w:rPr>
          <w:rFonts w:ascii="Arial" w:cs="Arial" w:eastAsia="Arial" w:hAnsi="Arial"/>
          <w:sz w:val="16"/>
          <w:szCs w:val="16"/>
          <w:color w:val="auto"/>
        </w:rPr>
        <w:t>) of the Intercreditor Agreement shall apply to the construction and interpretation of any Continuing Document, including to any capitalised term incorporated into any Continuing Document by reference to this Agreement (whether or not such term is expressly defined in this Agreement). In the event of any inconsistency between the principles of construction contained or referred to in paragraph (n) of clause 1.2 (</w:t>
      </w:r>
      <w:r>
        <w:rPr>
          <w:rFonts w:ascii="Arial" w:cs="Arial" w:eastAsia="Arial" w:hAnsi="Arial"/>
          <w:sz w:val="16"/>
          <w:szCs w:val="16"/>
          <w:i w:val="1"/>
          <w:iCs w:val="1"/>
          <w:color w:val="auto"/>
        </w:rPr>
        <w:t>Construction</w:t>
      </w:r>
      <w:r>
        <w:rPr>
          <w:rFonts w:ascii="Arial" w:cs="Arial" w:eastAsia="Arial" w:hAnsi="Arial"/>
          <w:sz w:val="16"/>
          <w:szCs w:val="16"/>
          <w:color w:val="auto"/>
        </w:rPr>
        <w:t>) of the Intercreditor Agreement and a term defined in this Agreement, the principles of construction contained or referred to in paragraph (n) of clause 1.2 (</w:t>
      </w:r>
      <w:r>
        <w:rPr>
          <w:rFonts w:ascii="Arial" w:cs="Arial" w:eastAsia="Arial" w:hAnsi="Arial"/>
          <w:sz w:val="16"/>
          <w:szCs w:val="16"/>
          <w:i w:val="1"/>
          <w:iCs w:val="1"/>
          <w:color w:val="auto"/>
        </w:rPr>
        <w:t>Construction</w:t>
      </w:r>
      <w:r>
        <w:rPr>
          <w:rFonts w:ascii="Arial" w:cs="Arial" w:eastAsia="Arial" w:hAnsi="Arial"/>
          <w:sz w:val="16"/>
          <w:szCs w:val="16"/>
          <w:color w:val="auto"/>
        </w:rPr>
        <w:t>) of the Intercreditor Agreement shall take precedence.</w:t>
      </w:r>
    </w:p>
    <w:p>
      <w:pPr>
        <w:spacing w:after="0" w:line="3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Third party rights</w:t>
      </w:r>
    </w:p>
    <w:p>
      <w:pPr>
        <w:spacing w:after="0" w:line="135" w:lineRule="exact"/>
        <w:rPr>
          <w:sz w:val="20"/>
          <w:szCs w:val="20"/>
          <w:color w:val="auto"/>
        </w:rPr>
      </w:pPr>
    </w:p>
    <w:p>
      <w:pPr>
        <w:ind w:left="1300" w:right="80" w:hanging="535"/>
        <w:spacing w:after="0" w:line="342" w:lineRule="auto"/>
        <w:tabs>
          <w:tab w:leader="none" w:pos="1300" w:val="left"/>
        </w:tabs>
        <w:numPr>
          <w:ilvl w:val="0"/>
          <w:numId w:val="869"/>
        </w:numPr>
        <w:rPr>
          <w:rFonts w:ascii="Arial" w:cs="Arial" w:eastAsia="Arial" w:hAnsi="Arial"/>
          <w:sz w:val="16"/>
          <w:szCs w:val="16"/>
          <w:color w:val="auto"/>
        </w:rPr>
      </w:pPr>
      <w:r>
        <w:rPr>
          <w:rFonts w:ascii="Arial" w:cs="Arial" w:eastAsia="Arial" w:hAnsi="Arial"/>
          <w:sz w:val="16"/>
          <w:szCs w:val="16"/>
          <w:color w:val="auto"/>
        </w:rPr>
        <w:t>Unless expressly provided to the contrary in a Finance Document a person who is not a Party has no right under the Contracts (Rights of Third Parties) Act 1999 (the “</w:t>
      </w:r>
      <w:r>
        <w:rPr>
          <w:rFonts w:ascii="Arial" w:cs="Arial" w:eastAsia="Arial" w:hAnsi="Arial"/>
          <w:sz w:val="16"/>
          <w:szCs w:val="16"/>
          <w:b w:val="1"/>
          <w:bCs w:val="1"/>
          <w:color w:val="auto"/>
        </w:rPr>
        <w:t>Third Parties Act</w:t>
      </w:r>
      <w:r>
        <w:rPr>
          <w:rFonts w:ascii="Arial" w:cs="Arial" w:eastAsia="Arial" w:hAnsi="Arial"/>
          <w:sz w:val="16"/>
          <w:szCs w:val="16"/>
          <w:color w:val="auto"/>
        </w:rPr>
        <w:t>”) to enforce or enjoy the benefit of any term of any Finance Document.</w:t>
      </w:r>
    </w:p>
    <w:p>
      <w:pPr>
        <w:spacing w:after="0" w:line="29" w:lineRule="exact"/>
        <w:rPr>
          <w:rFonts w:ascii="Arial" w:cs="Arial" w:eastAsia="Arial" w:hAnsi="Arial"/>
          <w:sz w:val="16"/>
          <w:szCs w:val="16"/>
          <w:color w:val="auto"/>
        </w:rPr>
      </w:pPr>
    </w:p>
    <w:p>
      <w:pPr>
        <w:ind w:left="1300" w:right="260" w:hanging="535"/>
        <w:spacing w:after="0" w:line="277" w:lineRule="auto"/>
        <w:tabs>
          <w:tab w:leader="none" w:pos="1300" w:val="left"/>
        </w:tabs>
        <w:numPr>
          <w:ilvl w:val="0"/>
          <w:numId w:val="869"/>
        </w:numPr>
        <w:rPr>
          <w:rFonts w:ascii="Arial" w:cs="Arial" w:eastAsia="Arial" w:hAnsi="Arial"/>
          <w:sz w:val="18"/>
          <w:szCs w:val="18"/>
          <w:color w:val="auto"/>
        </w:rPr>
      </w:pPr>
      <w:r>
        <w:rPr>
          <w:rFonts w:ascii="Arial" w:cs="Arial" w:eastAsia="Arial" w:hAnsi="Arial"/>
          <w:sz w:val="18"/>
          <w:szCs w:val="18"/>
          <w:color w:val="auto"/>
        </w:rPr>
        <w:t>Notwithstanding any term of any Finance Document, the consent of any person who is not a Party is not required to rescind or vary any Finance Document at any time.</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Intercreditor Agreement</w:t>
      </w:r>
    </w:p>
    <w:p>
      <w:pPr>
        <w:spacing w:after="0" w:line="121" w:lineRule="exact"/>
        <w:rPr>
          <w:sz w:val="20"/>
          <w:szCs w:val="20"/>
          <w:color w:val="auto"/>
        </w:rPr>
      </w:pPr>
    </w:p>
    <w:p>
      <w:pPr>
        <w:ind w:left="760" w:right="360"/>
        <w:spacing w:after="0" w:line="277" w:lineRule="auto"/>
        <w:rPr>
          <w:sz w:val="20"/>
          <w:szCs w:val="20"/>
          <w:color w:val="auto"/>
        </w:rPr>
      </w:pPr>
      <w:r>
        <w:rPr>
          <w:rFonts w:ascii="Arial" w:cs="Arial" w:eastAsia="Arial" w:hAnsi="Arial"/>
          <w:sz w:val="18"/>
          <w:szCs w:val="18"/>
          <w:color w:val="auto"/>
        </w:rPr>
        <w:t>This Agreement is subject to the Intercreditor Agreement. In the event of any inconsistency between this Agreement and the Intercreditor Agreement, the Intercreditor Agreement shall prevail.</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Terms defined in the covenants</w:t>
      </w:r>
    </w:p>
    <w:p>
      <w:pPr>
        <w:spacing w:after="0" w:line="121" w:lineRule="exact"/>
        <w:rPr>
          <w:sz w:val="20"/>
          <w:szCs w:val="20"/>
          <w:color w:val="auto"/>
        </w:rPr>
      </w:pPr>
    </w:p>
    <w:p>
      <w:pPr>
        <w:ind w:left="760" w:right="480"/>
        <w:spacing w:after="0" w:line="277" w:lineRule="auto"/>
        <w:rPr>
          <w:sz w:val="20"/>
          <w:szCs w:val="20"/>
          <w:color w:val="auto"/>
        </w:rPr>
      </w:pPr>
      <w:r>
        <w:rPr>
          <w:rFonts w:ascii="Arial" w:cs="Arial" w:eastAsia="Arial" w:hAnsi="Arial"/>
          <w:sz w:val="18"/>
          <w:szCs w:val="18"/>
          <w:color w:val="auto"/>
        </w:rPr>
        <w:t>Unless a contrary intention appears, capitalised terms used in this Agreement which are not defined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have the meaning given to them in Schedule 10 (</w:t>
      </w:r>
      <w:r>
        <w:rPr>
          <w:rFonts w:ascii="Arial" w:cs="Arial" w:eastAsia="Arial" w:hAnsi="Arial"/>
          <w:sz w:val="18"/>
          <w:szCs w:val="18"/>
          <w:i w:val="1"/>
          <w:iCs w:val="1"/>
          <w:color w:val="auto"/>
        </w:rPr>
        <w:t>Covenants</w:t>
      </w:r>
      <w:r>
        <w:rPr>
          <w:rFonts w:ascii="Arial" w:cs="Arial" w:eastAsia="Arial" w:hAnsi="Arial"/>
          <w:sz w:val="18"/>
          <w:szCs w:val="18"/>
          <w:color w:val="auto"/>
        </w:rPr>
        <w:t>) and Schedule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03"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48" w:name="page649"/>
    <w:bookmarkEnd w:id="64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FACILITIES</w:t>
      </w:r>
    </w:p>
    <w:p>
      <w:pPr>
        <w:spacing w:after="0" w:line="234" w:lineRule="exact"/>
        <w:rPr>
          <w:sz w:val="20"/>
          <w:szCs w:val="20"/>
          <w:color w:val="auto"/>
        </w:rPr>
      </w:pPr>
    </w:p>
    <w:p>
      <w:pPr>
        <w:ind w:left="764" w:hanging="764"/>
        <w:spacing w:after="0"/>
        <w:tabs>
          <w:tab w:leader="none" w:pos="764" w:val="left"/>
        </w:tabs>
        <w:numPr>
          <w:ilvl w:val="0"/>
          <w:numId w:val="870"/>
        </w:numPr>
        <w:rPr>
          <w:rFonts w:ascii="Arial" w:cs="Arial" w:eastAsia="Arial" w:hAnsi="Arial"/>
          <w:sz w:val="18"/>
          <w:szCs w:val="18"/>
          <w:b w:val="1"/>
          <w:bCs w:val="1"/>
          <w:color w:val="auto"/>
        </w:rPr>
      </w:pPr>
      <w:r>
        <w:rPr>
          <w:rFonts w:ascii="Arial" w:cs="Arial" w:eastAsia="Arial" w:hAnsi="Arial"/>
          <w:sz w:val="18"/>
          <w:szCs w:val="18"/>
          <w:b w:val="1"/>
          <w:bCs w:val="1"/>
          <w:color w:val="auto"/>
        </w:rPr>
        <w:t>The Facilities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The Facilities</w:t>
      </w:r>
    </w:p>
    <w:p>
      <w:pPr>
        <w:spacing w:after="0" w:line="134" w:lineRule="exact"/>
        <w:rPr>
          <w:rFonts w:ascii="Arial" w:cs="Arial" w:eastAsia="Arial" w:hAnsi="Arial"/>
          <w:sz w:val="18"/>
          <w:szCs w:val="18"/>
          <w:b w:val="1"/>
          <w:bCs w:val="1"/>
          <w:color w:val="auto"/>
        </w:rPr>
      </w:pPr>
    </w:p>
    <w:p>
      <w:pPr>
        <w:ind w:left="1304" w:right="100" w:hanging="535"/>
        <w:spacing w:after="0" w:line="277" w:lineRule="auto"/>
        <w:tabs>
          <w:tab w:leader="none" w:pos="1304" w:val="left"/>
        </w:tabs>
        <w:numPr>
          <w:ilvl w:val="1"/>
          <w:numId w:val="870"/>
        </w:numPr>
        <w:rPr>
          <w:rFonts w:ascii="Arial" w:cs="Arial" w:eastAsia="Arial" w:hAnsi="Arial"/>
          <w:sz w:val="18"/>
          <w:szCs w:val="18"/>
          <w:color w:val="auto"/>
        </w:rPr>
      </w:pPr>
      <w:r>
        <w:rPr>
          <w:rFonts w:ascii="Arial" w:cs="Arial" w:eastAsia="Arial" w:hAnsi="Arial"/>
          <w:sz w:val="18"/>
          <w:szCs w:val="18"/>
          <w:color w:val="auto"/>
        </w:rPr>
        <w:t>The Original Lender has made available a Base Currency term loan in an aggregate amount equal to the Total Facility A Participation that has been re-designated as the Facility A Loan.</w:t>
      </w:r>
    </w:p>
    <w:p>
      <w:pPr>
        <w:spacing w:after="0" w:line="75" w:lineRule="exact"/>
        <w:rPr>
          <w:rFonts w:ascii="Arial" w:cs="Arial" w:eastAsia="Arial" w:hAnsi="Arial"/>
          <w:sz w:val="18"/>
          <w:szCs w:val="18"/>
          <w:color w:val="auto"/>
        </w:rPr>
      </w:pPr>
    </w:p>
    <w:p>
      <w:pPr>
        <w:ind w:left="1304" w:right="340" w:hanging="535"/>
        <w:spacing w:after="0" w:line="277" w:lineRule="auto"/>
        <w:tabs>
          <w:tab w:leader="none" w:pos="1304" w:val="left"/>
        </w:tabs>
        <w:numPr>
          <w:ilvl w:val="1"/>
          <w:numId w:val="870"/>
        </w:numPr>
        <w:rPr>
          <w:rFonts w:ascii="Arial" w:cs="Arial" w:eastAsia="Arial" w:hAnsi="Arial"/>
          <w:sz w:val="18"/>
          <w:szCs w:val="18"/>
          <w:color w:val="auto"/>
        </w:rPr>
      </w:pPr>
      <w:r>
        <w:rPr>
          <w:rFonts w:ascii="Arial" w:cs="Arial" w:eastAsia="Arial" w:hAnsi="Arial"/>
          <w:sz w:val="18"/>
          <w:szCs w:val="18"/>
          <w:color w:val="auto"/>
        </w:rPr>
        <w:t>Subject to the terms of this Agreement, the Revolving Facility Lenders make available to the Borrower a Base Currency revolving loan facility in an aggregate amount equal to the Total Revolving Facility Commitments.</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Increase</w:t>
      </w:r>
    </w:p>
    <w:p>
      <w:pPr>
        <w:spacing w:after="0" w:line="135" w:lineRule="exact"/>
        <w:rPr>
          <w:sz w:val="20"/>
          <w:szCs w:val="20"/>
          <w:color w:val="auto"/>
        </w:rPr>
      </w:pPr>
    </w:p>
    <w:p>
      <w:pPr>
        <w:ind w:left="1304" w:right="140" w:hanging="535"/>
        <w:spacing w:after="0" w:line="293" w:lineRule="auto"/>
        <w:tabs>
          <w:tab w:leader="none" w:pos="1304" w:val="left"/>
        </w:tabs>
        <w:numPr>
          <w:ilvl w:val="0"/>
          <w:numId w:val="871"/>
        </w:numPr>
        <w:rPr>
          <w:rFonts w:ascii="Arial" w:cs="Arial" w:eastAsia="Arial" w:hAnsi="Arial"/>
          <w:sz w:val="16"/>
          <w:szCs w:val="16"/>
          <w:color w:val="auto"/>
        </w:rPr>
      </w:pPr>
      <w:r>
        <w:rPr>
          <w:rFonts w:ascii="Arial" w:cs="Arial" w:eastAsia="Arial" w:hAnsi="Arial"/>
          <w:sz w:val="16"/>
          <w:szCs w:val="16"/>
          <w:color w:val="auto"/>
        </w:rPr>
        <w:t>The Borrower may by giving prior notice to the Agent by no later than the date falling 10 Business Days after the effective date of a cancellation of the Available Commitment or the Revolving Facility Commitment of an Illegal Lender in accordance with Clause 8.1 (</w:t>
      </w:r>
      <w:r>
        <w:rPr>
          <w:rFonts w:ascii="Arial" w:cs="Arial" w:eastAsia="Arial" w:hAnsi="Arial"/>
          <w:sz w:val="16"/>
          <w:szCs w:val="16"/>
          <w:i w:val="1"/>
          <w:iCs w:val="1"/>
          <w:color w:val="auto"/>
        </w:rPr>
        <w:t>Illegality</w:t>
      </w:r>
      <w:r>
        <w:rPr>
          <w:rFonts w:ascii="Arial" w:cs="Arial" w:eastAsia="Arial" w:hAnsi="Arial"/>
          <w:sz w:val="16"/>
          <w:szCs w:val="16"/>
          <w:color w:val="auto"/>
        </w:rPr>
        <w:t>) or Replaceable Lender in accordance with Clause 37.7 (</w:t>
      </w:r>
      <w:r>
        <w:rPr>
          <w:rFonts w:ascii="Arial" w:cs="Arial" w:eastAsia="Arial" w:hAnsi="Arial"/>
          <w:sz w:val="16"/>
          <w:szCs w:val="16"/>
          <w:i w:val="1"/>
          <w:iCs w:val="1"/>
          <w:color w:val="auto"/>
        </w:rPr>
        <w:t>Cancellation and repayment of a Replaceable Lender (other than</w:t>
      </w:r>
      <w:r>
        <w:rPr>
          <w:rFonts w:ascii="Arial" w:cs="Arial" w:eastAsia="Arial" w:hAnsi="Arial"/>
          <w:sz w:val="16"/>
          <w:szCs w:val="16"/>
          <w:color w:val="auto"/>
        </w:rPr>
        <w:t xml:space="preserve"> </w:t>
      </w:r>
      <w:r>
        <w:rPr>
          <w:rFonts w:ascii="Arial" w:cs="Arial" w:eastAsia="Arial" w:hAnsi="Arial"/>
          <w:sz w:val="16"/>
          <w:szCs w:val="16"/>
          <w:i w:val="1"/>
          <w:iCs w:val="1"/>
          <w:color w:val="auto"/>
        </w:rPr>
        <w:t>an Illegal Lender</w:t>
      </w:r>
      <w:r>
        <w:rPr>
          <w:rFonts w:ascii="Arial" w:cs="Arial" w:eastAsia="Arial" w:hAnsi="Arial"/>
          <w:sz w:val="16"/>
          <w:szCs w:val="16"/>
          <w:color w:val="auto"/>
        </w:rPr>
        <w:t>)) (such Available Commitment or Revolving Facility Commitment so cancelled being the “</w:t>
      </w:r>
      <w:r>
        <w:rPr>
          <w:rFonts w:ascii="Arial" w:cs="Arial" w:eastAsia="Arial" w:hAnsi="Arial"/>
          <w:sz w:val="16"/>
          <w:szCs w:val="16"/>
          <w:b w:val="1"/>
          <w:bCs w:val="1"/>
          <w:color w:val="auto"/>
        </w:rPr>
        <w:t>Cancelled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Commitment</w:t>
      </w:r>
      <w:r>
        <w:rPr>
          <w:rFonts w:ascii="Arial" w:cs="Arial" w:eastAsia="Arial" w:hAnsi="Arial"/>
          <w:sz w:val="16"/>
          <w:szCs w:val="16"/>
          <w:color w:val="auto"/>
        </w:rPr>
        <w:t>”) request that the Revolving Facility Commitments be increased (and the Revolving Facility Commitments shall be so</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increased) by an aggregate amount in Hong Kong dollars of up to the amount of the Cancelled Commitment as follows:</w:t>
      </w:r>
    </w:p>
    <w:p>
      <w:pPr>
        <w:spacing w:after="0" w:line="69" w:lineRule="exact"/>
        <w:rPr>
          <w:rFonts w:ascii="Arial" w:cs="Arial" w:eastAsia="Arial" w:hAnsi="Arial"/>
          <w:sz w:val="16"/>
          <w:szCs w:val="16"/>
          <w:color w:val="auto"/>
        </w:rPr>
      </w:pPr>
    </w:p>
    <w:p>
      <w:pPr>
        <w:ind w:left="1964" w:right="200" w:hanging="655"/>
        <w:spacing w:after="0" w:line="257" w:lineRule="auto"/>
        <w:tabs>
          <w:tab w:leader="none" w:pos="1964" w:val="left"/>
        </w:tabs>
        <w:numPr>
          <w:ilvl w:val="1"/>
          <w:numId w:val="871"/>
        </w:numPr>
        <w:rPr>
          <w:rFonts w:ascii="Arial" w:cs="Arial" w:eastAsia="Arial" w:hAnsi="Arial"/>
          <w:sz w:val="18"/>
          <w:szCs w:val="18"/>
          <w:color w:val="auto"/>
        </w:rPr>
      </w:pPr>
      <w:r>
        <w:rPr>
          <w:rFonts w:ascii="Arial" w:cs="Arial" w:eastAsia="Arial" w:hAnsi="Arial"/>
          <w:sz w:val="18"/>
          <w:szCs w:val="18"/>
          <w:color w:val="auto"/>
        </w:rPr>
        <w:t>such increased Revolving Facility Commitments will be assumed by one or more Lenders or persons (other than a Group Member) (each an “</w:t>
      </w:r>
      <w:r>
        <w:rPr>
          <w:rFonts w:ascii="Arial" w:cs="Arial" w:eastAsia="Arial" w:hAnsi="Arial"/>
          <w:sz w:val="18"/>
          <w:szCs w:val="18"/>
          <w:b w:val="1"/>
          <w:bCs w:val="1"/>
          <w:color w:val="auto"/>
        </w:rPr>
        <w:t>Increase Lender</w:t>
      </w:r>
      <w:r>
        <w:rPr>
          <w:rFonts w:ascii="Arial" w:cs="Arial" w:eastAsia="Arial" w:hAnsi="Arial"/>
          <w:sz w:val="18"/>
          <w:szCs w:val="18"/>
          <w:color w:val="auto"/>
        </w:rPr>
        <w:t>”) selected by the Borrower and each of which confirms its willingness to assume and does assume all the obligations of a Lender corresponding to that part of such increased Revolving Facility Commitments under that Facility which it is to assume (the “</w:t>
      </w:r>
      <w:r>
        <w:rPr>
          <w:rFonts w:ascii="Arial" w:cs="Arial" w:eastAsia="Arial" w:hAnsi="Arial"/>
          <w:sz w:val="18"/>
          <w:szCs w:val="18"/>
          <w:b w:val="1"/>
          <w:bCs w:val="1"/>
          <w:color w:val="auto"/>
        </w:rPr>
        <w:t>Assumed Commitment</w:t>
      </w:r>
      <w:r>
        <w:rPr>
          <w:rFonts w:ascii="Arial" w:cs="Arial" w:eastAsia="Arial" w:hAnsi="Arial"/>
          <w:sz w:val="18"/>
          <w:szCs w:val="18"/>
          <w:color w:val="auto"/>
        </w:rPr>
        <w:t>” of such Increase Lender), as if it had been an Original Lender;</w:t>
      </w:r>
    </w:p>
    <w:p>
      <w:pPr>
        <w:spacing w:after="0" w:line="93" w:lineRule="exact"/>
        <w:rPr>
          <w:rFonts w:ascii="Arial" w:cs="Arial" w:eastAsia="Arial" w:hAnsi="Arial"/>
          <w:sz w:val="18"/>
          <w:szCs w:val="18"/>
          <w:color w:val="auto"/>
        </w:rPr>
      </w:pPr>
    </w:p>
    <w:p>
      <w:pPr>
        <w:ind w:left="1964" w:right="100" w:hanging="655"/>
        <w:spacing w:after="0" w:line="279" w:lineRule="auto"/>
        <w:tabs>
          <w:tab w:leader="none" w:pos="1964" w:val="left"/>
        </w:tabs>
        <w:numPr>
          <w:ilvl w:val="1"/>
          <w:numId w:val="871"/>
        </w:numPr>
        <w:rPr>
          <w:rFonts w:ascii="Arial" w:cs="Arial" w:eastAsia="Arial" w:hAnsi="Arial"/>
          <w:sz w:val="17"/>
          <w:szCs w:val="17"/>
          <w:color w:val="auto"/>
        </w:rPr>
      </w:pPr>
      <w:r>
        <w:rPr>
          <w:rFonts w:ascii="Arial" w:cs="Arial" w:eastAsia="Arial" w:hAnsi="Arial"/>
          <w:sz w:val="17"/>
          <w:szCs w:val="17"/>
          <w:color w:val="auto"/>
        </w:rPr>
        <w:t>each of the Obligors and any Increase Lender shall assume obligations towards one another and/or acquire rights against one another as the Obligors and the Increase Lender would have assumed and/or acquired had that Increase Lender been an Original Lender (with the Assumed Commitment in respect of such Increase Lender, in addition to any other Commitment which such Increase Lender may otherwise have in accordance with this Agreement);</w:t>
      </w:r>
    </w:p>
    <w:p>
      <w:pPr>
        <w:spacing w:after="0" w:line="76" w:lineRule="exact"/>
        <w:rPr>
          <w:rFonts w:ascii="Arial" w:cs="Arial" w:eastAsia="Arial" w:hAnsi="Arial"/>
          <w:sz w:val="17"/>
          <w:szCs w:val="17"/>
          <w:color w:val="auto"/>
        </w:rPr>
      </w:pPr>
    </w:p>
    <w:p>
      <w:pPr>
        <w:ind w:left="1964" w:right="20" w:hanging="655"/>
        <w:spacing w:after="0" w:line="257" w:lineRule="auto"/>
        <w:tabs>
          <w:tab w:leader="none" w:pos="1964" w:val="left"/>
        </w:tabs>
        <w:numPr>
          <w:ilvl w:val="1"/>
          <w:numId w:val="871"/>
        </w:numPr>
        <w:rPr>
          <w:rFonts w:ascii="Arial" w:cs="Arial" w:eastAsia="Arial" w:hAnsi="Arial"/>
          <w:sz w:val="18"/>
          <w:szCs w:val="18"/>
          <w:color w:val="auto"/>
        </w:rPr>
      </w:pPr>
      <w:r>
        <w:rPr>
          <w:rFonts w:ascii="Arial" w:cs="Arial" w:eastAsia="Arial" w:hAnsi="Arial"/>
          <w:sz w:val="18"/>
          <w:szCs w:val="18"/>
          <w:color w:val="auto"/>
        </w:rPr>
        <w:t>each Increase Lender shall become a Party as a “Lender” and any Increase Lender (with the Assumed Commitment in respect of such Increase Lender, in addition to any other Commitment which such Increase Lender may otherwise have in accordance with this Agreement) and each of the other Finance Parties shall assume obligations towards one another and acquire rights against one another as that Increase Lender and those Finance Parties would have assumed and/or acquired had the Increase Lender been an Original Lender;</w:t>
      </w:r>
    </w:p>
    <w:p>
      <w:pPr>
        <w:spacing w:after="0" w:line="93" w:lineRule="exact"/>
        <w:rPr>
          <w:rFonts w:ascii="Arial" w:cs="Arial" w:eastAsia="Arial" w:hAnsi="Arial"/>
          <w:sz w:val="18"/>
          <w:szCs w:val="18"/>
          <w:color w:val="auto"/>
        </w:rPr>
      </w:pPr>
    </w:p>
    <w:p>
      <w:pPr>
        <w:ind w:left="1964" w:hanging="655"/>
        <w:spacing w:after="0"/>
        <w:tabs>
          <w:tab w:leader="none" w:pos="1964" w:val="left"/>
        </w:tabs>
        <w:numPr>
          <w:ilvl w:val="1"/>
          <w:numId w:val="871"/>
        </w:numPr>
        <w:rPr>
          <w:rFonts w:ascii="Arial" w:cs="Arial" w:eastAsia="Arial" w:hAnsi="Arial"/>
          <w:sz w:val="18"/>
          <w:szCs w:val="18"/>
          <w:color w:val="auto"/>
        </w:rPr>
      </w:pPr>
      <w:r>
        <w:rPr>
          <w:rFonts w:ascii="Arial" w:cs="Arial" w:eastAsia="Arial" w:hAnsi="Arial"/>
          <w:sz w:val="18"/>
          <w:szCs w:val="18"/>
          <w:color w:val="auto"/>
        </w:rPr>
        <w:t>the Commitments of the other Lenders shall continue in full force and effect; and</w:t>
      </w:r>
    </w:p>
    <w:p>
      <w:pPr>
        <w:spacing w:after="0" w:line="158"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49" w:name="page650"/>
    <w:bookmarkEnd w:id="649"/>
    <w:p>
      <w:pPr>
        <w:ind w:left="1960" w:right="180" w:hanging="655"/>
        <w:spacing w:after="0" w:line="263" w:lineRule="auto"/>
        <w:tabs>
          <w:tab w:leader="none" w:pos="1960" w:val="left"/>
        </w:tabs>
        <w:numPr>
          <w:ilvl w:val="1"/>
          <w:numId w:val="8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increase in the Revolving Facility Commitments shall take effect on the later of (1) the date specified by the Borrower in the notice referred to above or (2) any later date on which the conditions set out in paragraph (b) below are satisfied in respect of such increase.</w:t>
      </w:r>
    </w:p>
    <w:p>
      <w:pPr>
        <w:spacing w:after="0" w:line="89" w:lineRule="exact"/>
        <w:rPr>
          <w:rFonts w:ascii="Arial" w:cs="Arial" w:eastAsia="Arial" w:hAnsi="Arial"/>
          <w:sz w:val="18"/>
          <w:szCs w:val="18"/>
          <w:color w:val="auto"/>
        </w:rPr>
      </w:pPr>
    </w:p>
    <w:p>
      <w:pPr>
        <w:ind w:left="1300" w:hanging="535"/>
        <w:spacing w:after="0"/>
        <w:tabs>
          <w:tab w:leader="none" w:pos="1300" w:val="left"/>
        </w:tabs>
        <w:numPr>
          <w:ilvl w:val="0"/>
          <w:numId w:val="873"/>
        </w:numPr>
        <w:rPr>
          <w:rFonts w:ascii="Arial" w:cs="Arial" w:eastAsia="Arial" w:hAnsi="Arial"/>
          <w:sz w:val="18"/>
          <w:szCs w:val="18"/>
          <w:color w:val="auto"/>
        </w:rPr>
      </w:pPr>
      <w:r>
        <w:rPr>
          <w:rFonts w:ascii="Arial" w:cs="Arial" w:eastAsia="Arial" w:hAnsi="Arial"/>
          <w:sz w:val="18"/>
          <w:szCs w:val="18"/>
          <w:color w:val="auto"/>
        </w:rPr>
        <w:t>An increase in the Revolving Facility Commitments pursuant to this Clause 2.2 will only be effective on:</w:t>
      </w:r>
    </w:p>
    <w:p>
      <w:pPr>
        <w:spacing w:after="0" w:line="130" w:lineRule="exact"/>
        <w:rPr>
          <w:rFonts w:ascii="Arial" w:cs="Arial" w:eastAsia="Arial" w:hAnsi="Arial"/>
          <w:sz w:val="18"/>
          <w:szCs w:val="18"/>
          <w:color w:val="auto"/>
        </w:rPr>
      </w:pPr>
    </w:p>
    <w:p>
      <w:pPr>
        <w:ind w:left="1960" w:right="480" w:hanging="655"/>
        <w:spacing w:after="0" w:line="277" w:lineRule="auto"/>
        <w:tabs>
          <w:tab w:leader="none" w:pos="1960" w:val="left"/>
        </w:tabs>
        <w:numPr>
          <w:ilvl w:val="1"/>
          <w:numId w:val="873"/>
        </w:numPr>
        <w:rPr>
          <w:rFonts w:ascii="Arial" w:cs="Arial" w:eastAsia="Arial" w:hAnsi="Arial"/>
          <w:sz w:val="18"/>
          <w:szCs w:val="18"/>
          <w:color w:val="auto"/>
        </w:rPr>
      </w:pPr>
      <w:r>
        <w:rPr>
          <w:rFonts w:ascii="Arial" w:cs="Arial" w:eastAsia="Arial" w:hAnsi="Arial"/>
          <w:sz w:val="18"/>
          <w:szCs w:val="18"/>
          <w:color w:val="auto"/>
        </w:rPr>
        <w:t>the execution by the Agent of an Increase Confirmation from each relevant Increase Lender in respect of such increase, which the Agent shall execute promptly on request;</w:t>
      </w:r>
    </w:p>
    <w:p>
      <w:pPr>
        <w:spacing w:after="0" w:line="76" w:lineRule="exact"/>
        <w:rPr>
          <w:sz w:val="20"/>
          <w:szCs w:val="20"/>
          <w:color w:val="auto"/>
        </w:rPr>
      </w:pPr>
    </w:p>
    <w:p>
      <w:pPr>
        <w:ind w:left="1960" w:hanging="655"/>
        <w:spacing w:after="0"/>
        <w:tabs>
          <w:tab w:leader="none" w:pos="1960" w:val="left"/>
        </w:tabs>
        <w:numPr>
          <w:ilvl w:val="1"/>
          <w:numId w:val="874"/>
        </w:numPr>
        <w:rPr>
          <w:rFonts w:ascii="Arial" w:cs="Arial" w:eastAsia="Arial" w:hAnsi="Arial"/>
          <w:sz w:val="16"/>
          <w:szCs w:val="16"/>
          <w:color w:val="auto"/>
        </w:rPr>
      </w:pPr>
      <w:r>
        <w:rPr>
          <w:rFonts w:ascii="Arial" w:cs="Arial" w:eastAsia="Arial" w:hAnsi="Arial"/>
          <w:sz w:val="16"/>
          <w:szCs w:val="16"/>
          <w:color w:val="auto"/>
        </w:rPr>
        <w:t>the Increase Lender entering into the documentation required for it to accede as a party to the Intercreditor Agreement; and</w:t>
      </w:r>
    </w:p>
    <w:p>
      <w:pPr>
        <w:spacing w:after="0" w:line="153" w:lineRule="exact"/>
        <w:rPr>
          <w:rFonts w:ascii="Arial" w:cs="Arial" w:eastAsia="Arial" w:hAnsi="Arial"/>
          <w:sz w:val="16"/>
          <w:szCs w:val="16"/>
          <w:color w:val="auto"/>
        </w:rPr>
      </w:pPr>
    </w:p>
    <w:p>
      <w:pPr>
        <w:ind w:left="1960" w:right="200" w:hanging="655"/>
        <w:spacing w:after="0" w:line="259" w:lineRule="auto"/>
        <w:tabs>
          <w:tab w:leader="none" w:pos="1960" w:val="left"/>
        </w:tabs>
        <w:numPr>
          <w:ilvl w:val="1"/>
          <w:numId w:val="874"/>
        </w:numPr>
        <w:rPr>
          <w:rFonts w:ascii="Arial" w:cs="Arial" w:eastAsia="Arial" w:hAnsi="Arial"/>
          <w:sz w:val="18"/>
          <w:szCs w:val="18"/>
          <w:color w:val="auto"/>
        </w:rPr>
      </w:pPr>
      <w:r>
        <w:rPr>
          <w:rFonts w:ascii="Arial" w:cs="Arial" w:eastAsia="Arial" w:hAnsi="Arial"/>
          <w:sz w:val="18"/>
          <w:szCs w:val="18"/>
          <w:color w:val="auto"/>
        </w:rPr>
        <w:t>in relation to an Increase Lender which is not a Lender immediately prior to the relevant increase, the Agent being satisfied that it has complied with all necessary “know your customer” or other similar checks under all applicable laws and regulations in relation to the assumption of the Assumed Commitments by that Increase Lender. The Agent shall promptly notify the Borrower and the Increase Lender upon being so satisfied.</w:t>
      </w:r>
    </w:p>
    <w:p>
      <w:pPr>
        <w:spacing w:after="0" w:line="92" w:lineRule="exact"/>
        <w:rPr>
          <w:rFonts w:ascii="Arial" w:cs="Arial" w:eastAsia="Arial" w:hAnsi="Arial"/>
          <w:sz w:val="18"/>
          <w:szCs w:val="18"/>
          <w:color w:val="auto"/>
        </w:rPr>
      </w:pPr>
    </w:p>
    <w:p>
      <w:pPr>
        <w:ind w:left="1300" w:right="40" w:hanging="535"/>
        <w:spacing w:after="0" w:line="259" w:lineRule="auto"/>
        <w:tabs>
          <w:tab w:leader="none" w:pos="1300" w:val="left"/>
        </w:tabs>
        <w:numPr>
          <w:ilvl w:val="0"/>
          <w:numId w:val="875"/>
        </w:numPr>
        <w:rPr>
          <w:rFonts w:ascii="Arial" w:cs="Arial" w:eastAsia="Arial" w:hAnsi="Arial"/>
          <w:sz w:val="18"/>
          <w:szCs w:val="18"/>
          <w:color w:val="auto"/>
        </w:rPr>
      </w:pPr>
      <w:r>
        <w:rPr>
          <w:rFonts w:ascii="Arial" w:cs="Arial" w:eastAsia="Arial" w:hAnsi="Arial"/>
          <w:sz w:val="18"/>
          <w:szCs w:val="18"/>
          <w:color w:val="auto"/>
        </w:rPr>
        <w:t>Each Increase Lender, by executing an Increase Confirmation, confirms that the Agent has authority to execute on its behalf any amendment or waiver that has been approved by or on behalf of the requisite Lender or Lenders in accordance with this Agreement on or prior to the date on which the increase in Revolving Facility Commitments (to which such Increase Confirmation relates) becomes effective.</w:t>
      </w:r>
    </w:p>
    <w:p>
      <w:pPr>
        <w:spacing w:after="0" w:line="92" w:lineRule="exact"/>
        <w:rPr>
          <w:rFonts w:ascii="Arial" w:cs="Arial" w:eastAsia="Arial" w:hAnsi="Arial"/>
          <w:sz w:val="18"/>
          <w:szCs w:val="18"/>
          <w:color w:val="auto"/>
        </w:rPr>
      </w:pPr>
    </w:p>
    <w:p>
      <w:pPr>
        <w:ind w:left="1300" w:right="80" w:hanging="535"/>
        <w:spacing w:after="0" w:line="259" w:lineRule="auto"/>
        <w:tabs>
          <w:tab w:leader="none" w:pos="1300" w:val="left"/>
        </w:tabs>
        <w:numPr>
          <w:ilvl w:val="0"/>
          <w:numId w:val="875"/>
        </w:numPr>
        <w:rPr>
          <w:rFonts w:ascii="Arial" w:cs="Arial" w:eastAsia="Arial" w:hAnsi="Arial"/>
          <w:sz w:val="18"/>
          <w:szCs w:val="18"/>
          <w:color w:val="auto"/>
        </w:rPr>
      </w:pPr>
      <w:r>
        <w:rPr>
          <w:rFonts w:ascii="Arial" w:cs="Arial" w:eastAsia="Arial" w:hAnsi="Arial"/>
          <w:sz w:val="18"/>
          <w:szCs w:val="18"/>
          <w:color w:val="auto"/>
        </w:rPr>
        <w:t>The Borrower shall promptly on demand pay the Agent and the Common Security Agent the amount of all costs and expenses (including legal fees) reasonably incurred by the Agent or the Common Security Agent (as applicable and, in the case of the Common Security Agent, by any Receiver or Delegate) in connection with any increase in Revolving Facility Commitments under this Clause 2.2.</w:t>
      </w:r>
    </w:p>
    <w:p>
      <w:pPr>
        <w:spacing w:after="0" w:line="92" w:lineRule="exact"/>
        <w:rPr>
          <w:rFonts w:ascii="Arial" w:cs="Arial" w:eastAsia="Arial" w:hAnsi="Arial"/>
          <w:sz w:val="18"/>
          <w:szCs w:val="18"/>
          <w:color w:val="auto"/>
        </w:rPr>
      </w:pPr>
    </w:p>
    <w:p>
      <w:pPr>
        <w:ind w:left="1300" w:right="180" w:hanging="535"/>
        <w:spacing w:after="0" w:line="311" w:lineRule="auto"/>
        <w:tabs>
          <w:tab w:leader="none" w:pos="1300" w:val="left"/>
        </w:tabs>
        <w:numPr>
          <w:ilvl w:val="0"/>
          <w:numId w:val="875"/>
        </w:numPr>
        <w:rPr>
          <w:rFonts w:ascii="Arial" w:cs="Arial" w:eastAsia="Arial" w:hAnsi="Arial"/>
          <w:sz w:val="16"/>
          <w:szCs w:val="16"/>
          <w:color w:val="auto"/>
        </w:rPr>
      </w:pPr>
      <w:r>
        <w:rPr>
          <w:rFonts w:ascii="Arial" w:cs="Arial" w:eastAsia="Arial" w:hAnsi="Arial"/>
          <w:sz w:val="16"/>
          <w:szCs w:val="16"/>
          <w:color w:val="auto"/>
        </w:rPr>
        <w:t>An Increase Lender shall, on the date upon which its assumption of any Assumed Commitment takes effect, pay to the Agent (for its own account) a fee in an amount equal to the fee which would be payable under Clause 25.2 (</w:t>
      </w:r>
      <w:r>
        <w:rPr>
          <w:rFonts w:ascii="Arial" w:cs="Arial" w:eastAsia="Arial" w:hAnsi="Arial"/>
          <w:sz w:val="16"/>
          <w:szCs w:val="16"/>
          <w:i w:val="1"/>
          <w:iCs w:val="1"/>
          <w:color w:val="auto"/>
        </w:rPr>
        <w:t>Assignment or transfer fee</w:t>
      </w:r>
      <w:r>
        <w:rPr>
          <w:rFonts w:ascii="Arial" w:cs="Arial" w:eastAsia="Arial" w:hAnsi="Arial"/>
          <w:sz w:val="16"/>
          <w:szCs w:val="16"/>
          <w:color w:val="auto"/>
        </w:rPr>
        <w:t>) if such assumption was a transfer pursuant to Clause 25.5 (</w:t>
      </w:r>
      <w:r>
        <w:rPr>
          <w:rFonts w:ascii="Arial" w:cs="Arial" w:eastAsia="Arial" w:hAnsi="Arial"/>
          <w:sz w:val="16"/>
          <w:szCs w:val="16"/>
          <w:i w:val="1"/>
          <w:iCs w:val="1"/>
          <w:color w:val="auto"/>
        </w:rPr>
        <w:t>Procedure for transfer</w:t>
      </w:r>
      <w:r>
        <w:rPr>
          <w:rFonts w:ascii="Arial" w:cs="Arial" w:eastAsia="Arial" w:hAnsi="Arial"/>
          <w:sz w:val="16"/>
          <w:szCs w:val="16"/>
          <w:color w:val="auto"/>
        </w:rPr>
        <w:t>) and if the Increase Lender was a New Lender.</w:t>
      </w:r>
    </w:p>
    <w:p>
      <w:pPr>
        <w:spacing w:after="0" w:line="54" w:lineRule="exact"/>
        <w:rPr>
          <w:rFonts w:ascii="Arial" w:cs="Arial" w:eastAsia="Arial" w:hAnsi="Arial"/>
          <w:sz w:val="16"/>
          <w:szCs w:val="16"/>
          <w:color w:val="auto"/>
        </w:rPr>
      </w:pPr>
    </w:p>
    <w:p>
      <w:pPr>
        <w:ind w:left="1300" w:right="400" w:hanging="535"/>
        <w:spacing w:after="0" w:line="277" w:lineRule="auto"/>
        <w:tabs>
          <w:tab w:leader="none" w:pos="1300" w:val="left"/>
        </w:tabs>
        <w:numPr>
          <w:ilvl w:val="0"/>
          <w:numId w:val="875"/>
        </w:numPr>
        <w:rPr>
          <w:rFonts w:ascii="Arial" w:cs="Arial" w:eastAsia="Arial" w:hAnsi="Arial"/>
          <w:sz w:val="18"/>
          <w:szCs w:val="18"/>
          <w:color w:val="auto"/>
        </w:rPr>
      </w:pPr>
      <w:r>
        <w:rPr>
          <w:rFonts w:ascii="Arial" w:cs="Arial" w:eastAsia="Arial" w:hAnsi="Arial"/>
          <w:sz w:val="18"/>
          <w:szCs w:val="18"/>
          <w:color w:val="auto"/>
        </w:rPr>
        <w:t>The Borrower may pay to an Increase Lender a fee in the amount and at the times agreed between the Borrower and that Increase Lender in a Fee Letter.</w:t>
      </w:r>
    </w:p>
    <w:p>
      <w:pPr>
        <w:spacing w:after="0" w:line="75" w:lineRule="exact"/>
        <w:rPr>
          <w:rFonts w:ascii="Arial" w:cs="Arial" w:eastAsia="Arial" w:hAnsi="Arial"/>
          <w:sz w:val="18"/>
          <w:szCs w:val="18"/>
          <w:color w:val="auto"/>
        </w:rPr>
      </w:pPr>
    </w:p>
    <w:p>
      <w:pPr>
        <w:ind w:left="1300" w:right="80" w:hanging="535"/>
        <w:spacing w:after="0" w:line="277" w:lineRule="auto"/>
        <w:tabs>
          <w:tab w:leader="none" w:pos="1300" w:val="left"/>
        </w:tabs>
        <w:numPr>
          <w:ilvl w:val="0"/>
          <w:numId w:val="875"/>
        </w:numPr>
        <w:rPr>
          <w:rFonts w:ascii="Arial" w:cs="Arial" w:eastAsia="Arial" w:hAnsi="Arial"/>
          <w:sz w:val="18"/>
          <w:szCs w:val="18"/>
          <w:color w:val="auto"/>
        </w:rPr>
      </w:pPr>
      <w:r>
        <w:rPr>
          <w:rFonts w:ascii="Arial" w:cs="Arial" w:eastAsia="Arial" w:hAnsi="Arial"/>
          <w:sz w:val="18"/>
          <w:szCs w:val="18"/>
          <w:color w:val="auto"/>
        </w:rPr>
        <w:t>Clause 25.4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this Clause 2.2 in relation to an Increase Lender as if references in that Clause to:</w:t>
      </w:r>
    </w:p>
    <w:p>
      <w:pPr>
        <w:spacing w:after="0" w:line="71" w:lineRule="exact"/>
        <w:rPr>
          <w:rFonts w:ascii="Arial" w:cs="Arial" w:eastAsia="Arial" w:hAnsi="Arial"/>
          <w:sz w:val="18"/>
          <w:szCs w:val="18"/>
          <w:color w:val="auto"/>
        </w:rPr>
      </w:pPr>
    </w:p>
    <w:p>
      <w:pPr>
        <w:ind w:left="1960" w:right="360" w:hanging="655"/>
        <w:spacing w:after="0" w:line="282" w:lineRule="auto"/>
        <w:tabs>
          <w:tab w:leader="none" w:pos="1960" w:val="left"/>
        </w:tabs>
        <w:numPr>
          <w:ilvl w:val="1"/>
          <w:numId w:val="875"/>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Existing Lender</w:t>
      </w:r>
      <w:r>
        <w:rPr>
          <w:rFonts w:ascii="Arial" w:cs="Arial" w:eastAsia="Arial" w:hAnsi="Arial"/>
          <w:sz w:val="18"/>
          <w:szCs w:val="18"/>
          <w:color w:val="auto"/>
        </w:rPr>
        <w:t>” were references to all the Lenders immediately prior to the relevant increase in Revolving Facility Commitments;</w:t>
      </w:r>
    </w:p>
    <w:p>
      <w:pPr>
        <w:spacing w:after="0" w:line="67" w:lineRule="exact"/>
        <w:rPr>
          <w:rFonts w:ascii="Arial" w:cs="Arial" w:eastAsia="Arial" w:hAnsi="Arial"/>
          <w:sz w:val="18"/>
          <w:szCs w:val="18"/>
          <w:color w:val="auto"/>
        </w:rPr>
      </w:pPr>
    </w:p>
    <w:p>
      <w:pPr>
        <w:ind w:left="1960" w:hanging="655"/>
        <w:spacing w:after="0"/>
        <w:tabs>
          <w:tab w:leader="none" w:pos="1960" w:val="left"/>
        </w:tabs>
        <w:numPr>
          <w:ilvl w:val="1"/>
          <w:numId w:val="87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New Lender</w:t>
      </w:r>
      <w:r>
        <w:rPr>
          <w:rFonts w:ascii="Arial" w:cs="Arial" w:eastAsia="Arial" w:hAnsi="Arial"/>
          <w:sz w:val="18"/>
          <w:szCs w:val="18"/>
          <w:color w:val="auto"/>
        </w:rPr>
        <w:t>” were references to that “</w:t>
      </w:r>
      <w:r>
        <w:rPr>
          <w:rFonts w:ascii="Arial" w:cs="Arial" w:eastAsia="Arial" w:hAnsi="Arial"/>
          <w:sz w:val="18"/>
          <w:szCs w:val="18"/>
          <w:b w:val="1"/>
          <w:bCs w:val="1"/>
          <w:color w:val="auto"/>
        </w:rPr>
        <w:t>Increase Lender</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87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re-transfer</w:t>
      </w:r>
      <w:r>
        <w:rPr>
          <w:rFonts w:ascii="Arial" w:cs="Arial" w:eastAsia="Arial" w:hAnsi="Arial"/>
          <w:sz w:val="18"/>
          <w:szCs w:val="18"/>
          <w:color w:val="auto"/>
        </w:rPr>
        <w:t>” and “</w:t>
      </w:r>
      <w:r>
        <w:rPr>
          <w:rFonts w:ascii="Arial" w:cs="Arial" w:eastAsia="Arial" w:hAnsi="Arial"/>
          <w:sz w:val="18"/>
          <w:szCs w:val="18"/>
          <w:b w:val="1"/>
          <w:bCs w:val="1"/>
          <w:color w:val="auto"/>
        </w:rPr>
        <w:t>re-assignment</w:t>
      </w:r>
      <w:r>
        <w:rPr>
          <w:rFonts w:ascii="Arial" w:cs="Arial" w:eastAsia="Arial" w:hAnsi="Arial"/>
          <w:sz w:val="18"/>
          <w:szCs w:val="18"/>
          <w:color w:val="auto"/>
        </w:rPr>
        <w:t>” were references to, respectively, a “</w:t>
      </w:r>
      <w:r>
        <w:rPr>
          <w:rFonts w:ascii="Arial" w:cs="Arial" w:eastAsia="Arial" w:hAnsi="Arial"/>
          <w:sz w:val="18"/>
          <w:szCs w:val="18"/>
          <w:b w:val="1"/>
          <w:bCs w:val="1"/>
          <w:color w:val="auto"/>
        </w:rPr>
        <w:t>transfer</w:t>
      </w:r>
      <w:r>
        <w:rPr>
          <w:rFonts w:ascii="Arial" w:cs="Arial" w:eastAsia="Arial" w:hAnsi="Arial"/>
          <w:sz w:val="18"/>
          <w:szCs w:val="18"/>
          <w:color w:val="auto"/>
        </w:rPr>
        <w:t>” and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37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Finance Parties’ rights and obligations</w:t>
      </w:r>
    </w:p>
    <w:p>
      <w:pPr>
        <w:spacing w:after="0" w:line="135" w:lineRule="exact"/>
        <w:rPr>
          <w:sz w:val="20"/>
          <w:szCs w:val="20"/>
          <w:color w:val="auto"/>
        </w:rPr>
      </w:pPr>
    </w:p>
    <w:p>
      <w:pPr>
        <w:ind w:left="1300" w:right="100" w:hanging="535"/>
        <w:spacing w:after="0" w:line="286" w:lineRule="auto"/>
        <w:tabs>
          <w:tab w:leader="none" w:pos="1300" w:val="left"/>
        </w:tabs>
        <w:numPr>
          <w:ilvl w:val="0"/>
          <w:numId w:val="876"/>
        </w:numPr>
        <w:rPr>
          <w:rFonts w:ascii="Arial" w:cs="Arial" w:eastAsia="Arial" w:hAnsi="Arial"/>
          <w:sz w:val="17"/>
          <w:szCs w:val="17"/>
          <w:color w:val="auto"/>
        </w:rPr>
      </w:pPr>
      <w:r>
        <w:rPr>
          <w:rFonts w:ascii="Arial" w:cs="Arial" w:eastAsia="Arial" w:hAnsi="Arial"/>
          <w:sz w:val="17"/>
          <w:szCs w:val="17"/>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98"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50" w:name="page651"/>
    <w:bookmarkEnd w:id="650"/>
    <w:p>
      <w:pPr>
        <w:ind w:left="1300" w:right="40" w:hanging="535"/>
        <w:spacing w:after="0" w:line="293" w:lineRule="auto"/>
        <w:tabs>
          <w:tab w:leader="none" w:pos="1300" w:val="left"/>
        </w:tabs>
        <w:numPr>
          <w:ilvl w:val="0"/>
          <w:numId w:val="8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of each Finance Party under or in connection with the Finance Documents are separate and independent rights and any debt arising under the Finance Documents to a Finance Party from an Obligor shall be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a Facility or its role under a Finance Document (including any such amount payable to the Agent on its behalf) is a debt owing to that Finance Party by that Obligor.</w:t>
      </w:r>
    </w:p>
    <w:p>
      <w:pPr>
        <w:spacing w:after="0" w:line="69" w:lineRule="exact"/>
        <w:rPr>
          <w:rFonts w:ascii="Arial" w:cs="Arial" w:eastAsia="Arial" w:hAnsi="Arial"/>
          <w:sz w:val="16"/>
          <w:szCs w:val="16"/>
          <w:color w:val="auto"/>
        </w:rPr>
      </w:pPr>
    </w:p>
    <w:p>
      <w:pPr>
        <w:ind w:left="1300" w:right="200" w:hanging="535"/>
        <w:spacing w:after="0" w:line="277" w:lineRule="auto"/>
        <w:tabs>
          <w:tab w:leader="none" w:pos="1300" w:val="left"/>
        </w:tabs>
        <w:numPr>
          <w:ilvl w:val="0"/>
          <w:numId w:val="877"/>
        </w:numPr>
        <w:rPr>
          <w:rFonts w:ascii="Arial" w:cs="Arial" w:eastAsia="Arial" w:hAnsi="Arial"/>
          <w:sz w:val="18"/>
          <w:szCs w:val="18"/>
          <w:color w:val="auto"/>
        </w:rPr>
      </w:pPr>
      <w:r>
        <w:rPr>
          <w:rFonts w:ascii="Arial" w:cs="Arial" w:eastAsia="Arial" w:hAnsi="Arial"/>
          <w:sz w:val="18"/>
          <w:szCs w:val="18"/>
          <w:color w:val="auto"/>
        </w:rPr>
        <w:t>A Finance Party may, except as otherwise stated in the Finance Documents, separately enforce its rights under or in connection with the Finance Documents.</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Obligors’ Agent</w:t>
      </w:r>
    </w:p>
    <w:p>
      <w:pPr>
        <w:spacing w:after="0" w:line="135" w:lineRule="exact"/>
        <w:rPr>
          <w:sz w:val="20"/>
          <w:szCs w:val="20"/>
          <w:color w:val="auto"/>
        </w:rPr>
      </w:pPr>
    </w:p>
    <w:p>
      <w:pPr>
        <w:ind w:left="1300" w:right="160" w:hanging="535"/>
        <w:spacing w:after="0" w:line="277" w:lineRule="auto"/>
        <w:tabs>
          <w:tab w:leader="none" w:pos="1300" w:val="left"/>
        </w:tabs>
        <w:numPr>
          <w:ilvl w:val="0"/>
          <w:numId w:val="878"/>
        </w:numPr>
        <w:rPr>
          <w:rFonts w:ascii="Arial" w:cs="Arial" w:eastAsia="Arial" w:hAnsi="Arial"/>
          <w:sz w:val="18"/>
          <w:szCs w:val="18"/>
          <w:color w:val="auto"/>
        </w:rPr>
      </w:pPr>
      <w:r>
        <w:rPr>
          <w:rFonts w:ascii="Arial" w:cs="Arial" w:eastAsia="Arial" w:hAnsi="Arial"/>
          <w:sz w:val="18"/>
          <w:szCs w:val="18"/>
          <w:color w:val="auto"/>
        </w:rPr>
        <w:t>Each Obligor (other than the Parent) by its execution of this Agreement or an Accession Letter irrevocably appoints the Parent to act on its behalf as its agent in relation to the Finance Documents and irrevocably authorises:</w:t>
      </w:r>
    </w:p>
    <w:p>
      <w:pPr>
        <w:spacing w:after="0" w:line="75" w:lineRule="exact"/>
        <w:rPr>
          <w:rFonts w:ascii="Arial" w:cs="Arial" w:eastAsia="Arial" w:hAnsi="Arial"/>
          <w:sz w:val="18"/>
          <w:szCs w:val="18"/>
          <w:color w:val="auto"/>
        </w:rPr>
      </w:pPr>
    </w:p>
    <w:p>
      <w:pPr>
        <w:ind w:left="1960" w:right="40" w:hanging="655"/>
        <w:spacing w:after="0" w:line="257" w:lineRule="auto"/>
        <w:tabs>
          <w:tab w:leader="none" w:pos="1960" w:val="left"/>
        </w:tabs>
        <w:numPr>
          <w:ilvl w:val="1"/>
          <w:numId w:val="878"/>
        </w:numPr>
        <w:rPr>
          <w:rFonts w:ascii="Arial" w:cs="Arial" w:eastAsia="Arial" w:hAnsi="Arial"/>
          <w:sz w:val="18"/>
          <w:szCs w:val="18"/>
          <w:color w:val="auto"/>
        </w:rPr>
      </w:pPr>
      <w:r>
        <w:rPr>
          <w:rFonts w:ascii="Arial" w:cs="Arial" w:eastAsia="Arial" w:hAnsi="Arial"/>
          <w:sz w:val="18"/>
          <w:szCs w:val="18"/>
          <w:color w:val="auto"/>
        </w:rPr>
        <w:t>the Parent on its behalf to supply all information concerning itself contemplated by this Agreement to the Finance Parties and to give all notices and instructions (including, in the case of the Borrower, Utilisation Requests), to execute on its behalf any Accession Letter, to make such agreements and to effect the relevant amendments, supplements and variations capable of being given, made or effected by any Obligor notwithstanding that they may affect the Obligor, without further reference to or the consent of that Obligor; and</w:t>
      </w:r>
    </w:p>
    <w:p>
      <w:pPr>
        <w:spacing w:after="0" w:line="93" w:lineRule="exact"/>
        <w:rPr>
          <w:rFonts w:ascii="Arial" w:cs="Arial" w:eastAsia="Arial" w:hAnsi="Arial"/>
          <w:sz w:val="18"/>
          <w:szCs w:val="18"/>
          <w:color w:val="auto"/>
        </w:rPr>
      </w:pPr>
    </w:p>
    <w:p>
      <w:pPr>
        <w:ind w:left="1960" w:right="60" w:hanging="655"/>
        <w:spacing w:after="0" w:line="277" w:lineRule="auto"/>
        <w:tabs>
          <w:tab w:leader="none" w:pos="1960" w:val="left"/>
        </w:tabs>
        <w:numPr>
          <w:ilvl w:val="1"/>
          <w:numId w:val="878"/>
        </w:numPr>
        <w:rPr>
          <w:rFonts w:ascii="Arial" w:cs="Arial" w:eastAsia="Arial" w:hAnsi="Arial"/>
          <w:sz w:val="18"/>
          <w:szCs w:val="18"/>
          <w:color w:val="auto"/>
        </w:rPr>
      </w:pPr>
      <w:r>
        <w:rPr>
          <w:rFonts w:ascii="Arial" w:cs="Arial" w:eastAsia="Arial" w:hAnsi="Arial"/>
          <w:sz w:val="18"/>
          <w:szCs w:val="18"/>
          <w:color w:val="auto"/>
        </w:rPr>
        <w:t>each Finance Party to give any notice, demand or other communication to that Obligor pursuant to the Finance Documents to the Parent,</w:t>
      </w:r>
    </w:p>
    <w:p>
      <w:pPr>
        <w:spacing w:after="0" w:line="62" w:lineRule="exact"/>
        <w:rPr>
          <w:sz w:val="20"/>
          <w:szCs w:val="20"/>
          <w:color w:val="auto"/>
        </w:rPr>
      </w:pPr>
    </w:p>
    <w:p>
      <w:pPr>
        <w:jc w:val="both"/>
        <w:ind w:left="1320" w:right="320"/>
        <w:spacing w:after="0" w:line="263" w:lineRule="auto"/>
        <w:rPr>
          <w:sz w:val="20"/>
          <w:szCs w:val="20"/>
          <w:color w:val="auto"/>
        </w:rPr>
      </w:pPr>
      <w:r>
        <w:rPr>
          <w:rFonts w:ascii="Arial" w:cs="Arial" w:eastAsia="Arial" w:hAnsi="Arial"/>
          <w:sz w:val="18"/>
          <w:szCs w:val="18"/>
          <w:color w:val="auto"/>
        </w:rPr>
        <w:t>and in each case the Obligor shall be bound as though the Obligor itself had given the notices and instructions (including, without limitation, any Utilisation Request) or executed or made the agreements or effected the amendments, supplements or variations, or received the relevant notice, demand or other communication.</w:t>
      </w:r>
    </w:p>
    <w:p>
      <w:pPr>
        <w:spacing w:after="0" w:line="89" w:lineRule="exact"/>
        <w:rPr>
          <w:sz w:val="20"/>
          <w:szCs w:val="20"/>
          <w:color w:val="auto"/>
        </w:rPr>
      </w:pPr>
    </w:p>
    <w:p>
      <w:pPr>
        <w:ind w:left="1300" w:right="20" w:hanging="535"/>
        <w:spacing w:after="0" w:line="273" w:lineRule="auto"/>
        <w:tabs>
          <w:tab w:leader="none" w:pos="1300" w:val="left"/>
        </w:tabs>
        <w:numPr>
          <w:ilvl w:val="0"/>
          <w:numId w:val="879"/>
        </w:numPr>
        <w:rPr>
          <w:rFonts w:ascii="Arial" w:cs="Arial" w:eastAsia="Arial" w:hAnsi="Arial"/>
          <w:sz w:val="17"/>
          <w:szCs w:val="17"/>
          <w:color w:val="auto"/>
        </w:rPr>
      </w:pPr>
      <w:r>
        <w:rPr>
          <w:rFonts w:ascii="Arial" w:cs="Arial" w:eastAsia="Arial" w:hAnsi="Arial"/>
          <w:sz w:val="17"/>
          <w:szCs w:val="17"/>
          <w:color w:val="auto"/>
        </w:rPr>
        <w:t>Every act, omission, agreement, undertaking, settlement, waiver, amendment, supplement, variation, notice or other communication given or made by the Obligors’ Agent or given to the Obligors’ Agent under any Finance Document on behalf of another Obligor or in connection with any Finance Document (whether or not known to any other Obligor and whether occurring before or after such other Obligor became an Obligor under any Finance Document) shall be binding for all purposes on that Obligor as if that Obligor had expressly made, given or concurred with it. In the event of any conflict between any notices or other communications of the Obligors’ Agent and any other Obligor, those of the Obligors’ Agent shall prevail.</w:t>
      </w:r>
    </w:p>
    <w:p>
      <w:pPr>
        <w:spacing w:after="0" w:line="110"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51" w:name="page652"/>
    <w:bookmarkEnd w:id="651"/>
    <w:p>
      <w:pPr>
        <w:ind w:left="764" w:hanging="764"/>
        <w:spacing w:after="0"/>
        <w:tabs>
          <w:tab w:leader="none" w:pos="764" w:val="left"/>
        </w:tabs>
        <w:numPr>
          <w:ilvl w:val="0"/>
          <w:numId w:val="8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5"/>
          <w:szCs w:val="15"/>
          <w:b w:val="1"/>
          <w:bCs w:val="1"/>
          <w:color w:val="auto"/>
        </w:rPr>
        <w:t>Purpose</w:t>
      </w:r>
    </w:p>
    <w:p>
      <w:pPr>
        <w:spacing w:after="0" w:line="121" w:lineRule="exact"/>
        <w:rPr>
          <w:sz w:val="20"/>
          <w:szCs w:val="20"/>
          <w:color w:val="auto"/>
        </w:rPr>
      </w:pPr>
    </w:p>
    <w:p>
      <w:pPr>
        <w:ind w:left="764" w:right="480"/>
        <w:spacing w:after="0" w:line="277" w:lineRule="auto"/>
        <w:rPr>
          <w:sz w:val="20"/>
          <w:szCs w:val="20"/>
          <w:color w:val="auto"/>
        </w:rPr>
      </w:pPr>
      <w:r>
        <w:rPr>
          <w:rFonts w:ascii="Arial" w:cs="Arial" w:eastAsia="Arial" w:hAnsi="Arial"/>
          <w:sz w:val="18"/>
          <w:szCs w:val="18"/>
          <w:color w:val="auto"/>
        </w:rPr>
        <w:t>Subject to Clause 5.5 (</w:t>
      </w:r>
      <w:r>
        <w:rPr>
          <w:rFonts w:ascii="Arial" w:cs="Arial" w:eastAsia="Arial" w:hAnsi="Arial"/>
          <w:sz w:val="18"/>
          <w:szCs w:val="18"/>
          <w:i w:val="1"/>
          <w:iCs w:val="1"/>
          <w:color w:val="auto"/>
        </w:rPr>
        <w:t>Limitations on Utilisations</w:t>
      </w:r>
      <w:r>
        <w:rPr>
          <w:rFonts w:ascii="Arial" w:cs="Arial" w:eastAsia="Arial" w:hAnsi="Arial"/>
          <w:sz w:val="18"/>
          <w:szCs w:val="18"/>
          <w:color w:val="auto"/>
        </w:rPr>
        <w:t>), the Borrower shall apply all amounts borrowed by it under the Revolving Facility to finance the general corporate and working capital purposes of the Group, including:</w:t>
      </w:r>
    </w:p>
    <w:p>
      <w:pPr>
        <w:spacing w:after="0" w:line="76" w:lineRule="exact"/>
        <w:rPr>
          <w:sz w:val="20"/>
          <w:szCs w:val="20"/>
          <w:color w:val="auto"/>
        </w:rPr>
      </w:pPr>
    </w:p>
    <w:p>
      <w:pPr>
        <w:ind w:left="1304" w:hanging="535"/>
        <w:spacing w:after="0"/>
        <w:tabs>
          <w:tab w:leader="none" w:pos="1304" w:val="left"/>
        </w:tabs>
        <w:numPr>
          <w:ilvl w:val="0"/>
          <w:numId w:val="881"/>
        </w:numPr>
        <w:rPr>
          <w:rFonts w:ascii="Arial" w:cs="Arial" w:eastAsia="Arial" w:hAnsi="Arial"/>
          <w:sz w:val="18"/>
          <w:szCs w:val="18"/>
          <w:color w:val="auto"/>
        </w:rPr>
      </w:pPr>
      <w:r>
        <w:rPr>
          <w:rFonts w:ascii="Arial" w:cs="Arial" w:eastAsia="Arial" w:hAnsi="Arial"/>
          <w:sz w:val="18"/>
          <w:szCs w:val="18"/>
          <w:color w:val="auto"/>
        </w:rPr>
        <w:t>the payment of fees, costs and expenses; and</w:t>
      </w:r>
    </w:p>
    <w:p>
      <w:pPr>
        <w:spacing w:after="0" w:line="130" w:lineRule="exact"/>
        <w:rPr>
          <w:rFonts w:ascii="Arial" w:cs="Arial" w:eastAsia="Arial" w:hAnsi="Arial"/>
          <w:sz w:val="18"/>
          <w:szCs w:val="18"/>
          <w:color w:val="auto"/>
        </w:rPr>
      </w:pPr>
    </w:p>
    <w:p>
      <w:pPr>
        <w:ind w:left="1304" w:right="780" w:hanging="535"/>
        <w:spacing w:after="0" w:line="277" w:lineRule="auto"/>
        <w:tabs>
          <w:tab w:leader="none" w:pos="1304" w:val="left"/>
        </w:tabs>
        <w:numPr>
          <w:ilvl w:val="0"/>
          <w:numId w:val="881"/>
        </w:numPr>
        <w:rPr>
          <w:rFonts w:ascii="Arial" w:cs="Arial" w:eastAsia="Arial" w:hAnsi="Arial"/>
          <w:sz w:val="18"/>
          <w:szCs w:val="18"/>
          <w:color w:val="auto"/>
        </w:rPr>
      </w:pPr>
      <w:r>
        <w:rPr>
          <w:rFonts w:ascii="Arial" w:cs="Arial" w:eastAsia="Arial" w:hAnsi="Arial"/>
          <w:sz w:val="18"/>
          <w:szCs w:val="18"/>
          <w:color w:val="auto"/>
        </w:rPr>
        <w:t>the financing and refinancing of amounts expended on permitted joint venture investments, capital expenditure and business reorganisations,</w:t>
      </w:r>
    </w:p>
    <w:p>
      <w:pPr>
        <w:spacing w:after="0" w:line="62" w:lineRule="exact"/>
        <w:rPr>
          <w:sz w:val="20"/>
          <w:szCs w:val="20"/>
          <w:color w:val="auto"/>
        </w:rPr>
      </w:pPr>
    </w:p>
    <w:p>
      <w:pPr>
        <w:ind w:left="764" w:right="5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amounts utilised under the Revolving Facility (including any Ancillary Facility) may be applied,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towards any Notes Repurchase or any payments of interest in respect of any Pari Passu Debt Liability.</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Monitoring</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370" w:lineRule="exact"/>
        <w:rPr>
          <w:sz w:val="20"/>
          <w:szCs w:val="20"/>
          <w:color w:val="auto"/>
        </w:rPr>
      </w:pPr>
    </w:p>
    <w:p>
      <w:pPr>
        <w:ind w:left="764" w:hanging="764"/>
        <w:spacing w:after="0"/>
        <w:tabs>
          <w:tab w:leader="none" w:pos="764" w:val="left"/>
        </w:tabs>
        <w:numPr>
          <w:ilvl w:val="0"/>
          <w:numId w:val="88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utilisation</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Utilisation conditions precedent</w:t>
      </w:r>
    </w:p>
    <w:p>
      <w:pPr>
        <w:spacing w:after="0" w:line="121" w:lineRule="exact"/>
        <w:rPr>
          <w:sz w:val="20"/>
          <w:szCs w:val="20"/>
          <w:color w:val="auto"/>
        </w:rPr>
      </w:pPr>
    </w:p>
    <w:p>
      <w:pPr>
        <w:ind w:left="764" w:right="120"/>
        <w:spacing w:after="0" w:line="277" w:lineRule="auto"/>
        <w:rPr>
          <w:sz w:val="20"/>
          <w:szCs w:val="20"/>
          <w:color w:val="auto"/>
        </w:rPr>
      </w:pPr>
      <w:r>
        <w:rPr>
          <w:rFonts w:ascii="Arial" w:cs="Arial" w:eastAsia="Arial" w:hAnsi="Arial"/>
          <w:sz w:val="18"/>
          <w:szCs w:val="18"/>
          <w:color w:val="auto"/>
        </w:rPr>
        <w:t>The Lenders will only be obliged to comply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in relation to a Utilisation under the Revolving Facility if on the date of the Utilisation Request and on the proposed Utilisation Date:</w:t>
      </w:r>
    </w:p>
    <w:p>
      <w:pPr>
        <w:spacing w:after="0" w:line="76" w:lineRule="exact"/>
        <w:rPr>
          <w:sz w:val="20"/>
          <w:szCs w:val="20"/>
          <w:color w:val="auto"/>
        </w:rPr>
      </w:pPr>
    </w:p>
    <w:p>
      <w:pPr>
        <w:ind w:left="1304" w:hanging="535"/>
        <w:spacing w:after="0"/>
        <w:tabs>
          <w:tab w:leader="none" w:pos="1304" w:val="left"/>
        </w:tabs>
        <w:numPr>
          <w:ilvl w:val="0"/>
          <w:numId w:val="883"/>
        </w:numPr>
        <w:rPr>
          <w:rFonts w:ascii="Arial" w:cs="Arial" w:eastAsia="Arial" w:hAnsi="Arial"/>
          <w:sz w:val="18"/>
          <w:szCs w:val="18"/>
          <w:color w:val="auto"/>
        </w:rPr>
      </w:pPr>
      <w:r>
        <w:rPr>
          <w:rFonts w:ascii="Arial" w:cs="Arial" w:eastAsia="Arial" w:hAnsi="Arial"/>
          <w:sz w:val="18"/>
          <w:szCs w:val="18"/>
          <w:color w:val="auto"/>
        </w:rPr>
        <w:t>in the case of a Rollover Loan:</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883"/>
        </w:numPr>
        <w:rPr>
          <w:rFonts w:ascii="Arial" w:cs="Arial" w:eastAsia="Arial" w:hAnsi="Arial"/>
          <w:sz w:val="18"/>
          <w:szCs w:val="18"/>
          <w:color w:val="auto"/>
        </w:rPr>
      </w:pPr>
      <w:r>
        <w:rPr>
          <w:rFonts w:ascii="Arial" w:cs="Arial" w:eastAsia="Arial" w:hAnsi="Arial"/>
          <w:sz w:val="18"/>
          <w:szCs w:val="18"/>
          <w:color w:val="auto"/>
        </w:rPr>
        <w:t>no Acceleration Event is continuing; and</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883"/>
        </w:numPr>
        <w:rPr>
          <w:rFonts w:ascii="Arial" w:cs="Arial" w:eastAsia="Arial" w:hAnsi="Arial"/>
          <w:sz w:val="16"/>
          <w:szCs w:val="16"/>
          <w:color w:val="auto"/>
        </w:rPr>
      </w:pPr>
      <w:r>
        <w:rPr>
          <w:rFonts w:ascii="Arial" w:cs="Arial" w:eastAsia="Arial" w:hAnsi="Arial"/>
          <w:sz w:val="16"/>
          <w:szCs w:val="16"/>
          <w:color w:val="auto"/>
        </w:rPr>
        <w:t>no Event of Default under Clause 24.5 (</w:t>
      </w:r>
      <w:r>
        <w:rPr>
          <w:rFonts w:ascii="Arial" w:cs="Arial" w:eastAsia="Arial" w:hAnsi="Arial"/>
          <w:sz w:val="16"/>
          <w:szCs w:val="16"/>
          <w:i w:val="1"/>
          <w:iCs w:val="1"/>
          <w:color w:val="auto"/>
        </w:rPr>
        <w:t>Insolvency</w:t>
      </w:r>
      <w:r>
        <w:rPr>
          <w:rFonts w:ascii="Arial" w:cs="Arial" w:eastAsia="Arial" w:hAnsi="Arial"/>
          <w:sz w:val="16"/>
          <w:szCs w:val="16"/>
          <w:color w:val="auto"/>
        </w:rPr>
        <w:t>) or Clause 24.6 (</w:t>
      </w:r>
      <w:r>
        <w:rPr>
          <w:rFonts w:ascii="Arial" w:cs="Arial" w:eastAsia="Arial" w:hAnsi="Arial"/>
          <w:sz w:val="16"/>
          <w:szCs w:val="16"/>
          <w:i w:val="1"/>
          <w:iCs w:val="1"/>
          <w:color w:val="auto"/>
        </w:rPr>
        <w:t>Insolvency proceedings</w:t>
      </w:r>
      <w:r>
        <w:rPr>
          <w:rFonts w:ascii="Arial" w:cs="Arial" w:eastAsia="Arial" w:hAnsi="Arial"/>
          <w:sz w:val="16"/>
          <w:szCs w:val="16"/>
          <w:color w:val="auto"/>
        </w:rPr>
        <w:t>) has occurred and is continuing;</w:t>
      </w:r>
    </w:p>
    <w:p>
      <w:pPr>
        <w:spacing w:after="0" w:line="153" w:lineRule="exact"/>
        <w:rPr>
          <w:rFonts w:ascii="Arial" w:cs="Arial" w:eastAsia="Arial" w:hAnsi="Arial"/>
          <w:sz w:val="16"/>
          <w:szCs w:val="16"/>
          <w:color w:val="auto"/>
        </w:rPr>
      </w:pPr>
    </w:p>
    <w:p>
      <w:pPr>
        <w:ind w:left="1304" w:hanging="535"/>
        <w:spacing w:after="0"/>
        <w:tabs>
          <w:tab w:leader="none" w:pos="1304" w:val="left"/>
        </w:tabs>
        <w:numPr>
          <w:ilvl w:val="0"/>
          <w:numId w:val="883"/>
        </w:numPr>
        <w:rPr>
          <w:rFonts w:ascii="Arial" w:cs="Arial" w:eastAsia="Arial" w:hAnsi="Arial"/>
          <w:sz w:val="18"/>
          <w:szCs w:val="18"/>
          <w:color w:val="auto"/>
        </w:rPr>
      </w:pPr>
      <w:r>
        <w:rPr>
          <w:rFonts w:ascii="Arial" w:cs="Arial" w:eastAsia="Arial" w:hAnsi="Arial"/>
          <w:sz w:val="18"/>
          <w:szCs w:val="18"/>
          <w:color w:val="auto"/>
        </w:rPr>
        <w:t>in the case of any other Utilisation:</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883"/>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Utilisation; and</w:t>
      </w:r>
    </w:p>
    <w:p>
      <w:pPr>
        <w:spacing w:after="0" w:line="130" w:lineRule="exact"/>
        <w:rPr>
          <w:rFonts w:ascii="Arial" w:cs="Arial" w:eastAsia="Arial" w:hAnsi="Arial"/>
          <w:sz w:val="18"/>
          <w:szCs w:val="18"/>
          <w:color w:val="auto"/>
        </w:rPr>
      </w:pPr>
    </w:p>
    <w:p>
      <w:pPr>
        <w:ind w:left="1964" w:right="100" w:hanging="655"/>
        <w:spacing w:after="0" w:line="277" w:lineRule="auto"/>
        <w:tabs>
          <w:tab w:leader="none" w:pos="1964" w:val="left"/>
        </w:tabs>
        <w:numPr>
          <w:ilvl w:val="1"/>
          <w:numId w:val="883"/>
        </w:numPr>
        <w:rPr>
          <w:rFonts w:ascii="Arial" w:cs="Arial" w:eastAsia="Arial" w:hAnsi="Arial"/>
          <w:sz w:val="18"/>
          <w:szCs w:val="18"/>
          <w:color w:val="auto"/>
        </w:rPr>
      </w:pPr>
      <w:r>
        <w:rPr>
          <w:rFonts w:ascii="Arial" w:cs="Arial" w:eastAsia="Arial" w:hAnsi="Arial"/>
          <w:sz w:val="18"/>
          <w:szCs w:val="18"/>
          <w:color w:val="auto"/>
        </w:rPr>
        <w:t>all the Repeating Representations are true and correct in all respects or (to the extent such Repeating Representations are not already subject to or qualified as to materiality) all material respects.</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Maximum number of Utilisations</w:t>
      </w:r>
    </w:p>
    <w:p>
      <w:pPr>
        <w:spacing w:after="0" w:line="121" w:lineRule="exact"/>
        <w:rPr>
          <w:sz w:val="20"/>
          <w:szCs w:val="20"/>
          <w:color w:val="auto"/>
        </w:rPr>
      </w:pPr>
    </w:p>
    <w:p>
      <w:pPr>
        <w:ind w:left="764" w:right="340"/>
        <w:spacing w:after="0" w:line="277" w:lineRule="auto"/>
        <w:rPr>
          <w:sz w:val="20"/>
          <w:szCs w:val="20"/>
          <w:color w:val="auto"/>
        </w:rPr>
      </w:pPr>
      <w:r>
        <w:rPr>
          <w:rFonts w:ascii="Arial" w:cs="Arial" w:eastAsia="Arial" w:hAnsi="Arial"/>
          <w:sz w:val="18"/>
          <w:szCs w:val="18"/>
          <w:color w:val="auto"/>
        </w:rPr>
        <w:t>The Borrower may not deliver a Utilisation Request under the Revolving Facility if as a result of the proposed Utilisation more than eight (8) Revolving Facility Loans would be outstanding.</w:t>
      </w:r>
    </w:p>
    <w:p>
      <w:pPr>
        <w:spacing w:after="0" w:line="103"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52" w:name="page653"/>
    <w:bookmarkEnd w:id="65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UTILISATION</w:t>
      </w:r>
    </w:p>
    <w:p>
      <w:pPr>
        <w:spacing w:after="0" w:line="234" w:lineRule="exact"/>
        <w:rPr>
          <w:sz w:val="20"/>
          <w:szCs w:val="20"/>
          <w:color w:val="auto"/>
        </w:rPr>
      </w:pPr>
    </w:p>
    <w:p>
      <w:pPr>
        <w:ind w:left="764" w:hanging="764"/>
        <w:spacing w:after="0"/>
        <w:tabs>
          <w:tab w:leader="none" w:pos="764" w:val="left"/>
        </w:tabs>
        <w:numPr>
          <w:ilvl w:val="0"/>
          <w:numId w:val="884"/>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 – Revolving Facility Loans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6"/>
          <w:szCs w:val="16"/>
          <w:b w:val="1"/>
          <w:bCs w:val="1"/>
          <w:color w:val="auto"/>
        </w:rPr>
        <w:t>Delivery of a Utilisation Request</w:t>
      </w:r>
    </w:p>
    <w:p>
      <w:pPr>
        <w:spacing w:after="0" w:line="121" w:lineRule="exact"/>
        <w:rPr>
          <w:sz w:val="20"/>
          <w:szCs w:val="20"/>
          <w:color w:val="auto"/>
        </w:rPr>
      </w:pPr>
    </w:p>
    <w:p>
      <w:pPr>
        <w:ind w:left="764" w:right="100"/>
        <w:spacing w:after="0" w:line="263" w:lineRule="auto"/>
        <w:rPr>
          <w:sz w:val="20"/>
          <w:szCs w:val="20"/>
          <w:color w:val="auto"/>
        </w:rPr>
      </w:pPr>
      <w:r>
        <w:rPr>
          <w:rFonts w:ascii="Arial" w:cs="Arial" w:eastAsia="Arial" w:hAnsi="Arial"/>
          <w:sz w:val="18"/>
          <w:szCs w:val="18"/>
          <w:color w:val="auto"/>
        </w:rPr>
        <w:t>The Borrower may utilise the Revolving Facility in accordance with Clause 2.1 (</w:t>
      </w:r>
      <w:r>
        <w:rPr>
          <w:rFonts w:ascii="Arial" w:cs="Arial" w:eastAsia="Arial" w:hAnsi="Arial"/>
          <w:sz w:val="18"/>
          <w:szCs w:val="18"/>
          <w:i w:val="1"/>
          <w:iCs w:val="1"/>
          <w:color w:val="auto"/>
        </w:rPr>
        <w:t>The Facilities</w:t>
      </w:r>
      <w:r>
        <w:rPr>
          <w:rFonts w:ascii="Arial" w:cs="Arial" w:eastAsia="Arial" w:hAnsi="Arial"/>
          <w:sz w:val="18"/>
          <w:szCs w:val="18"/>
          <w:color w:val="auto"/>
        </w:rPr>
        <w:t>) by delivery to the Agent of a duly completed Utilisation Request signed by an authorised signatory of the Borrower, not later than 11.00 a.m. on the fifth Business Day prior to the proposed Utilisation Date.</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Completion of a Utilisation Request</w:t>
      </w:r>
    </w:p>
    <w:p>
      <w:pPr>
        <w:spacing w:after="0" w:line="135" w:lineRule="exact"/>
        <w:rPr>
          <w:sz w:val="20"/>
          <w:szCs w:val="20"/>
          <w:color w:val="auto"/>
        </w:rPr>
      </w:pPr>
    </w:p>
    <w:p>
      <w:pPr>
        <w:ind w:left="1304" w:hanging="535"/>
        <w:spacing w:after="0"/>
        <w:tabs>
          <w:tab w:leader="none" w:pos="1304" w:val="left"/>
        </w:tabs>
        <w:numPr>
          <w:ilvl w:val="0"/>
          <w:numId w:val="885"/>
        </w:numPr>
        <w:rPr>
          <w:rFonts w:ascii="Arial" w:cs="Arial" w:eastAsia="Arial" w:hAnsi="Arial"/>
          <w:sz w:val="16"/>
          <w:szCs w:val="16"/>
          <w:color w:val="auto"/>
        </w:rPr>
      </w:pPr>
      <w:r>
        <w:rPr>
          <w:rFonts w:ascii="Arial" w:cs="Arial" w:eastAsia="Arial" w:hAnsi="Arial"/>
          <w:sz w:val="16"/>
          <w:szCs w:val="16"/>
          <w:color w:val="auto"/>
        </w:rPr>
        <w:t>Each Utilisation Request for a Revolving Facility Loan is irrevocable and will not be regarded as having been duly completed unless:</w:t>
      </w:r>
    </w:p>
    <w:p>
      <w:pPr>
        <w:spacing w:after="0" w:line="153" w:lineRule="exact"/>
        <w:rPr>
          <w:rFonts w:ascii="Arial" w:cs="Arial" w:eastAsia="Arial" w:hAnsi="Arial"/>
          <w:sz w:val="16"/>
          <w:szCs w:val="16"/>
          <w:color w:val="auto"/>
        </w:rPr>
      </w:pPr>
    </w:p>
    <w:p>
      <w:pPr>
        <w:ind w:left="1964" w:hanging="655"/>
        <w:spacing w:after="0"/>
        <w:tabs>
          <w:tab w:leader="none" w:pos="1964" w:val="left"/>
        </w:tabs>
        <w:numPr>
          <w:ilvl w:val="1"/>
          <w:numId w:val="885"/>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 applicable to the Revolving Facility;</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885"/>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885"/>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12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0"/>
          <w:numId w:val="885"/>
        </w:numPr>
        <w:rPr>
          <w:rFonts w:ascii="Arial" w:cs="Arial" w:eastAsia="Arial" w:hAnsi="Arial"/>
          <w:sz w:val="18"/>
          <w:szCs w:val="18"/>
          <w:color w:val="auto"/>
        </w:rPr>
      </w:pPr>
      <w:r>
        <w:rPr>
          <w:rFonts w:ascii="Arial" w:cs="Arial" w:eastAsia="Arial" w:hAnsi="Arial"/>
          <w:sz w:val="18"/>
          <w:szCs w:val="18"/>
          <w:color w:val="auto"/>
        </w:rPr>
        <w:t>Only one Utilisation may be requested in each Utilisation Request.</w:t>
      </w:r>
    </w:p>
    <w:p>
      <w:pPr>
        <w:spacing w:after="0" w:line="37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135" w:lineRule="exact"/>
        <w:rPr>
          <w:sz w:val="20"/>
          <w:szCs w:val="20"/>
          <w:color w:val="auto"/>
        </w:rPr>
      </w:pPr>
    </w:p>
    <w:p>
      <w:pPr>
        <w:ind w:left="1304" w:hanging="535"/>
        <w:spacing w:after="0"/>
        <w:tabs>
          <w:tab w:leader="none" w:pos="1304" w:val="left"/>
        </w:tabs>
        <w:numPr>
          <w:ilvl w:val="0"/>
          <w:numId w:val="886"/>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HK dollars.</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0"/>
          <w:numId w:val="886"/>
        </w:numPr>
        <w:rPr>
          <w:rFonts w:ascii="Arial" w:cs="Arial" w:eastAsia="Arial" w:hAnsi="Arial"/>
          <w:sz w:val="18"/>
          <w:szCs w:val="18"/>
          <w:color w:val="auto"/>
        </w:rPr>
      </w:pPr>
      <w:r>
        <w:rPr>
          <w:rFonts w:ascii="Arial" w:cs="Arial" w:eastAsia="Arial" w:hAnsi="Arial"/>
          <w:sz w:val="18"/>
          <w:szCs w:val="18"/>
          <w:color w:val="auto"/>
        </w:rPr>
        <w:t>The amount of the proposed Utilisation must be a minimum of HK$10,000,000 or, if less, the Available Facility.</w:t>
      </w:r>
    </w:p>
    <w:p>
      <w:pPr>
        <w:spacing w:after="0" w:line="37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Lenders’ participation</w:t>
      </w:r>
    </w:p>
    <w:p>
      <w:pPr>
        <w:spacing w:after="0" w:line="135" w:lineRule="exact"/>
        <w:rPr>
          <w:sz w:val="20"/>
          <w:szCs w:val="20"/>
          <w:color w:val="auto"/>
        </w:rPr>
      </w:pPr>
    </w:p>
    <w:p>
      <w:pPr>
        <w:ind w:left="1304" w:right="100" w:hanging="535"/>
        <w:spacing w:after="0" w:line="263" w:lineRule="auto"/>
        <w:tabs>
          <w:tab w:leader="none" w:pos="1304" w:val="left"/>
        </w:tabs>
        <w:numPr>
          <w:ilvl w:val="0"/>
          <w:numId w:val="887"/>
        </w:numPr>
        <w:rPr>
          <w:rFonts w:ascii="Arial" w:cs="Arial" w:eastAsia="Arial" w:hAnsi="Arial"/>
          <w:sz w:val="18"/>
          <w:szCs w:val="18"/>
          <w:color w:val="auto"/>
        </w:rPr>
      </w:pPr>
      <w:r>
        <w:rPr>
          <w:rFonts w:ascii="Arial" w:cs="Arial" w:eastAsia="Arial" w:hAnsi="Arial"/>
          <w:sz w:val="18"/>
          <w:szCs w:val="18"/>
          <w:color w:val="auto"/>
        </w:rPr>
        <w:t>Subject to Clause 7.2 (</w:t>
      </w:r>
      <w:r>
        <w:rPr>
          <w:rFonts w:ascii="Arial" w:cs="Arial" w:eastAsia="Arial" w:hAnsi="Arial"/>
          <w:sz w:val="18"/>
          <w:szCs w:val="18"/>
          <w:i w:val="1"/>
          <w:iCs w:val="1"/>
          <w:color w:val="auto"/>
        </w:rPr>
        <w:t>Revolving Facility</w:t>
      </w:r>
      <w:r>
        <w:rPr>
          <w:rFonts w:ascii="Arial" w:cs="Arial" w:eastAsia="Arial" w:hAnsi="Arial"/>
          <w:sz w:val="18"/>
          <w:szCs w:val="18"/>
          <w:color w:val="auto"/>
        </w:rPr>
        <w:t>), if the conditions set out in this Agreement have been met, and (in respect of Revolving Facility Loans), each Lender shall make its participation in each Revolving Facility Loan available by the Utilisation Date through its Facility Office.</w:t>
      </w:r>
    </w:p>
    <w:p>
      <w:pPr>
        <w:spacing w:after="0" w:line="89" w:lineRule="exact"/>
        <w:rPr>
          <w:rFonts w:ascii="Arial" w:cs="Arial" w:eastAsia="Arial" w:hAnsi="Arial"/>
          <w:sz w:val="18"/>
          <w:szCs w:val="18"/>
          <w:color w:val="auto"/>
        </w:rPr>
      </w:pPr>
    </w:p>
    <w:p>
      <w:pPr>
        <w:ind w:left="1304" w:right="420" w:hanging="535"/>
        <w:spacing w:after="0" w:line="277" w:lineRule="auto"/>
        <w:tabs>
          <w:tab w:leader="none" w:pos="1304" w:val="left"/>
        </w:tabs>
        <w:numPr>
          <w:ilvl w:val="0"/>
          <w:numId w:val="887"/>
        </w:numPr>
        <w:rPr>
          <w:rFonts w:ascii="Arial" w:cs="Arial" w:eastAsia="Arial" w:hAnsi="Arial"/>
          <w:sz w:val="18"/>
          <w:szCs w:val="18"/>
          <w:color w:val="auto"/>
        </w:rPr>
      </w:pPr>
      <w:r>
        <w:rPr>
          <w:rFonts w:ascii="Arial" w:cs="Arial" w:eastAsia="Arial" w:hAnsi="Arial"/>
          <w:sz w:val="18"/>
          <w:szCs w:val="18"/>
          <w:color w:val="auto"/>
        </w:rPr>
        <w:t>The amount of each Lender’s participation in each Revolving Facility Loan will be equal to the proportion borne by its Available Commitment to the Available Facility immediately prior to making the Revolving Facility Loan.</w:t>
      </w:r>
    </w:p>
    <w:p>
      <w:pPr>
        <w:spacing w:after="0" w:line="75" w:lineRule="exact"/>
        <w:rPr>
          <w:rFonts w:ascii="Arial" w:cs="Arial" w:eastAsia="Arial" w:hAnsi="Arial"/>
          <w:sz w:val="18"/>
          <w:szCs w:val="18"/>
          <w:color w:val="auto"/>
        </w:rPr>
      </w:pPr>
    </w:p>
    <w:p>
      <w:pPr>
        <w:ind w:left="1304" w:right="240" w:hanging="535"/>
        <w:spacing w:after="0" w:line="263" w:lineRule="auto"/>
        <w:tabs>
          <w:tab w:leader="none" w:pos="1304" w:val="left"/>
        </w:tabs>
        <w:numPr>
          <w:ilvl w:val="0"/>
          <w:numId w:val="887"/>
        </w:numPr>
        <w:rPr>
          <w:rFonts w:ascii="Arial" w:cs="Arial" w:eastAsia="Arial" w:hAnsi="Arial"/>
          <w:sz w:val="18"/>
          <w:szCs w:val="18"/>
          <w:color w:val="auto"/>
        </w:rPr>
      </w:pPr>
      <w:r>
        <w:rPr>
          <w:rFonts w:ascii="Arial" w:cs="Arial" w:eastAsia="Arial" w:hAnsi="Arial"/>
          <w:sz w:val="18"/>
          <w:szCs w:val="18"/>
          <w:color w:val="auto"/>
        </w:rPr>
        <w:t>The Agent shall, by 2.00 p.m. on the third Business Day prior to the proposed Utilisation Date, notify each Lender of the amount of each Revolving Facility Loan, the amount of its participation in that Revolving Facility Loan and, if different, the amount of that participation to be made available in cash.</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Limitations on Utilisations</w:t>
      </w:r>
    </w:p>
    <w:p>
      <w:pPr>
        <w:spacing w:after="0" w:line="135" w:lineRule="exact"/>
        <w:rPr>
          <w:sz w:val="20"/>
          <w:szCs w:val="20"/>
          <w:color w:val="auto"/>
        </w:rPr>
      </w:pPr>
    </w:p>
    <w:p>
      <w:pPr>
        <w:ind w:left="1304" w:right="140" w:hanging="535"/>
        <w:spacing w:after="0" w:line="277" w:lineRule="auto"/>
        <w:tabs>
          <w:tab w:leader="none" w:pos="1304" w:val="left"/>
        </w:tabs>
        <w:numPr>
          <w:ilvl w:val="0"/>
          <w:numId w:val="888"/>
        </w:numPr>
        <w:rPr>
          <w:rFonts w:ascii="Arial" w:cs="Arial" w:eastAsia="Arial" w:hAnsi="Arial"/>
          <w:sz w:val="18"/>
          <w:szCs w:val="18"/>
          <w:color w:val="auto"/>
        </w:rPr>
      </w:pPr>
      <w:r>
        <w:rPr>
          <w:rFonts w:ascii="Arial" w:cs="Arial" w:eastAsia="Arial" w:hAnsi="Arial"/>
          <w:sz w:val="18"/>
          <w:szCs w:val="18"/>
          <w:color w:val="auto"/>
        </w:rPr>
        <w:t>Amounts borrowed under or in respect of the Facilities (including the proceeds of the advance constituting the Facility A Loan under the original form of this Agreement) shall not be applied (directly or indirectly):</w:t>
      </w:r>
    </w:p>
    <w:p>
      <w:pPr>
        <w:spacing w:after="0" w:line="75" w:lineRule="exact"/>
        <w:rPr>
          <w:rFonts w:ascii="Arial" w:cs="Arial" w:eastAsia="Arial" w:hAnsi="Arial"/>
          <w:sz w:val="18"/>
          <w:szCs w:val="18"/>
          <w:color w:val="auto"/>
        </w:rPr>
      </w:pPr>
    </w:p>
    <w:p>
      <w:pPr>
        <w:ind w:left="1964" w:right="80" w:hanging="655"/>
        <w:spacing w:after="0" w:line="301" w:lineRule="auto"/>
        <w:tabs>
          <w:tab w:leader="none" w:pos="1964" w:val="left"/>
        </w:tabs>
        <w:numPr>
          <w:ilvl w:val="1"/>
          <w:numId w:val="888"/>
        </w:numPr>
        <w:rPr>
          <w:rFonts w:ascii="Arial" w:cs="Arial" w:eastAsia="Arial" w:hAnsi="Arial"/>
          <w:sz w:val="16"/>
          <w:szCs w:val="16"/>
          <w:color w:val="auto"/>
        </w:rPr>
      </w:pPr>
      <w:r>
        <w:rPr>
          <w:rFonts w:ascii="Arial" w:cs="Arial" w:eastAsia="Arial" w:hAnsi="Arial"/>
          <w:sz w:val="16"/>
          <w:szCs w:val="16"/>
          <w:color w:val="auto"/>
        </w:rPr>
        <w:t>for business activities (1) relating to or involving (A) Cuba, Sudan, Iran, Myanmar (Burma), Syria or North Korea (in each case to the extent such country is subject to any economic and/or trade sanctions) or (B) any other countries that are subject to economic and/or trade sanctions as notified in writing by the Agent (acting on behalf of any Lender) to the Borrower from time to time (C) any Restricted Party or (2) which would otherwise result in a breach of any Anti-Terrorism Law; or</w:t>
      </w:r>
    </w:p>
    <w:p>
      <w:pPr>
        <w:spacing w:after="0" w:line="90"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53" w:name="page654"/>
    <w:bookmarkEnd w:id="653"/>
    <w:p>
      <w:pPr>
        <w:ind w:left="1964" w:hanging="655"/>
        <w:spacing w:after="0"/>
        <w:tabs>
          <w:tab w:leader="none" w:pos="1964" w:val="left"/>
        </w:tabs>
        <w:numPr>
          <w:ilvl w:val="1"/>
          <w:numId w:val="8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towards any purpose connected with the operation of casino games of chance or other forms of gaming.</w:t>
      </w:r>
    </w:p>
    <w:p>
      <w:pPr>
        <w:spacing w:after="0" w:line="130" w:lineRule="exact"/>
        <w:rPr>
          <w:rFonts w:ascii="Arial" w:cs="Arial" w:eastAsia="Arial" w:hAnsi="Arial"/>
          <w:sz w:val="18"/>
          <w:szCs w:val="18"/>
          <w:color w:val="auto"/>
        </w:rPr>
      </w:pPr>
    </w:p>
    <w:p>
      <w:pPr>
        <w:ind w:left="1304" w:right="20" w:hanging="535"/>
        <w:spacing w:after="0" w:line="277" w:lineRule="auto"/>
        <w:tabs>
          <w:tab w:leader="none" w:pos="1304" w:val="left"/>
        </w:tabs>
        <w:numPr>
          <w:ilvl w:val="0"/>
          <w:numId w:val="890"/>
        </w:numPr>
        <w:rPr>
          <w:rFonts w:ascii="Arial" w:cs="Arial" w:eastAsia="Arial" w:hAnsi="Arial"/>
          <w:sz w:val="18"/>
          <w:szCs w:val="18"/>
          <w:color w:val="auto"/>
        </w:rPr>
      </w:pPr>
      <w:r>
        <w:rPr>
          <w:rFonts w:ascii="Arial" w:cs="Arial" w:eastAsia="Arial" w:hAnsi="Arial"/>
          <w:sz w:val="18"/>
          <w:szCs w:val="18"/>
          <w:color w:val="auto"/>
        </w:rPr>
        <w:t>Without prejudice to paragraph (a) above, the proceeds of the Revolving Facility shall not be applied towards any purpose other than a purpose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Cancellation of Commitment</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6"/>
          <w:szCs w:val="16"/>
          <w:color w:val="auto"/>
        </w:rPr>
        <w:t>The Revolving Facility Commitments which, at that time, are unutilised shall be immediately cancelled at the end of the Availability Period.</w:t>
      </w:r>
    </w:p>
    <w:p>
      <w:pPr>
        <w:spacing w:after="0" w:line="393" w:lineRule="exact"/>
        <w:rPr>
          <w:sz w:val="20"/>
          <w:szCs w:val="20"/>
          <w:color w:val="auto"/>
        </w:rPr>
      </w:pPr>
    </w:p>
    <w:p>
      <w:pPr>
        <w:ind w:left="764" w:hanging="764"/>
        <w:spacing w:after="0"/>
        <w:tabs>
          <w:tab w:leader="none" w:pos="764" w:val="left"/>
        </w:tabs>
        <w:numPr>
          <w:ilvl w:val="0"/>
          <w:numId w:val="891"/>
        </w:numPr>
        <w:rPr>
          <w:rFonts w:ascii="Arial" w:cs="Arial" w:eastAsia="Arial" w:hAnsi="Arial"/>
          <w:sz w:val="18"/>
          <w:szCs w:val="18"/>
          <w:b w:val="1"/>
          <w:bCs w:val="1"/>
          <w:color w:val="auto"/>
        </w:rPr>
      </w:pPr>
      <w:r>
        <w:rPr>
          <w:rFonts w:ascii="Arial" w:cs="Arial" w:eastAsia="Arial" w:hAnsi="Arial"/>
          <w:sz w:val="18"/>
          <w:szCs w:val="18"/>
          <w:b w:val="1"/>
          <w:bCs w:val="1"/>
          <w:color w:val="auto"/>
        </w:rPr>
        <w:t>Ancillary Facilities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6"/>
          <w:szCs w:val="16"/>
          <w:b w:val="1"/>
          <w:bCs w:val="1"/>
          <w:color w:val="auto"/>
        </w:rPr>
        <w:t>Type of Facility</w:t>
      </w:r>
    </w:p>
    <w:p>
      <w:pPr>
        <w:spacing w:after="0" w:line="121" w:lineRule="exact"/>
        <w:rPr>
          <w:rFonts w:ascii="Arial" w:cs="Arial" w:eastAsia="Arial" w:hAnsi="Arial"/>
          <w:sz w:val="18"/>
          <w:szCs w:val="18"/>
          <w:b w:val="1"/>
          <w:bCs w:val="1"/>
          <w:color w:val="auto"/>
        </w:rPr>
      </w:pPr>
    </w:p>
    <w:p>
      <w:pPr>
        <w:ind w:left="764"/>
        <w:spacing w:after="0"/>
        <w:rPr>
          <w:rFonts w:ascii="Arial" w:cs="Arial" w:eastAsia="Arial" w:hAnsi="Arial"/>
          <w:sz w:val="18"/>
          <w:szCs w:val="18"/>
          <w:b w:val="1"/>
          <w:bCs w:val="1"/>
          <w:color w:val="auto"/>
        </w:rPr>
      </w:pPr>
      <w:r>
        <w:rPr>
          <w:rFonts w:ascii="Arial" w:cs="Arial" w:eastAsia="Arial" w:hAnsi="Arial"/>
          <w:sz w:val="18"/>
          <w:szCs w:val="18"/>
          <w:color w:val="auto"/>
        </w:rPr>
        <w:t>An Ancillary Facility may be by way of:</w:t>
      </w:r>
    </w:p>
    <w:p>
      <w:pPr>
        <w:spacing w:after="0" w:line="130" w:lineRule="exact"/>
        <w:rPr>
          <w:rFonts w:ascii="Arial" w:cs="Arial" w:eastAsia="Arial" w:hAnsi="Arial"/>
          <w:sz w:val="18"/>
          <w:szCs w:val="18"/>
          <w:b w:val="1"/>
          <w:bCs w:val="1"/>
          <w:color w:val="auto"/>
        </w:rPr>
      </w:pPr>
    </w:p>
    <w:p>
      <w:pPr>
        <w:ind w:left="1304" w:hanging="535"/>
        <w:spacing w:after="0"/>
        <w:tabs>
          <w:tab w:leader="none" w:pos="1304" w:val="left"/>
        </w:tabs>
        <w:numPr>
          <w:ilvl w:val="1"/>
          <w:numId w:val="891"/>
        </w:numPr>
        <w:rPr>
          <w:rFonts w:ascii="Arial" w:cs="Arial" w:eastAsia="Arial" w:hAnsi="Arial"/>
          <w:sz w:val="18"/>
          <w:szCs w:val="18"/>
          <w:color w:val="auto"/>
        </w:rPr>
      </w:pPr>
      <w:r>
        <w:rPr>
          <w:rFonts w:ascii="Arial" w:cs="Arial" w:eastAsia="Arial" w:hAnsi="Arial"/>
          <w:sz w:val="18"/>
          <w:szCs w:val="18"/>
          <w:color w:val="auto"/>
        </w:rPr>
        <w:t>an overdraft facility;</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1"/>
          <w:numId w:val="891"/>
        </w:numPr>
        <w:rPr>
          <w:rFonts w:ascii="Arial" w:cs="Arial" w:eastAsia="Arial" w:hAnsi="Arial"/>
          <w:sz w:val="18"/>
          <w:szCs w:val="18"/>
          <w:color w:val="auto"/>
        </w:rPr>
      </w:pPr>
      <w:r>
        <w:rPr>
          <w:rFonts w:ascii="Arial" w:cs="Arial" w:eastAsia="Arial" w:hAnsi="Arial"/>
          <w:sz w:val="18"/>
          <w:szCs w:val="18"/>
          <w:color w:val="auto"/>
        </w:rPr>
        <w:t>a guarantee, bonding, documentary or stand-by letter of credit facility;</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1"/>
          <w:numId w:val="891"/>
        </w:numPr>
        <w:rPr>
          <w:rFonts w:ascii="Arial" w:cs="Arial" w:eastAsia="Arial" w:hAnsi="Arial"/>
          <w:sz w:val="18"/>
          <w:szCs w:val="18"/>
          <w:color w:val="auto"/>
        </w:rPr>
      </w:pPr>
      <w:r>
        <w:rPr>
          <w:rFonts w:ascii="Arial" w:cs="Arial" w:eastAsia="Arial" w:hAnsi="Arial"/>
          <w:sz w:val="18"/>
          <w:szCs w:val="18"/>
          <w:color w:val="auto"/>
        </w:rPr>
        <w:t>a short term loan facility;</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1"/>
          <w:numId w:val="891"/>
        </w:numPr>
        <w:rPr>
          <w:rFonts w:ascii="Arial" w:cs="Arial" w:eastAsia="Arial" w:hAnsi="Arial"/>
          <w:sz w:val="18"/>
          <w:szCs w:val="18"/>
          <w:color w:val="auto"/>
        </w:rPr>
      </w:pPr>
      <w:r>
        <w:rPr>
          <w:rFonts w:ascii="Arial" w:cs="Arial" w:eastAsia="Arial" w:hAnsi="Arial"/>
          <w:sz w:val="18"/>
          <w:szCs w:val="18"/>
          <w:color w:val="auto"/>
        </w:rPr>
        <w:t>a derivatives facility;</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1"/>
          <w:numId w:val="891"/>
        </w:numPr>
        <w:rPr>
          <w:rFonts w:ascii="Arial" w:cs="Arial" w:eastAsia="Arial" w:hAnsi="Arial"/>
          <w:sz w:val="18"/>
          <w:szCs w:val="18"/>
          <w:color w:val="auto"/>
        </w:rPr>
      </w:pPr>
      <w:r>
        <w:rPr>
          <w:rFonts w:ascii="Arial" w:cs="Arial" w:eastAsia="Arial" w:hAnsi="Arial"/>
          <w:sz w:val="18"/>
          <w:szCs w:val="18"/>
          <w:color w:val="auto"/>
        </w:rPr>
        <w:t>a foreign exchange facility; or</w:t>
      </w:r>
    </w:p>
    <w:p>
      <w:pPr>
        <w:spacing w:after="0" w:line="130" w:lineRule="exact"/>
        <w:rPr>
          <w:rFonts w:ascii="Arial" w:cs="Arial" w:eastAsia="Arial" w:hAnsi="Arial"/>
          <w:sz w:val="18"/>
          <w:szCs w:val="18"/>
          <w:color w:val="auto"/>
        </w:rPr>
      </w:pPr>
    </w:p>
    <w:p>
      <w:pPr>
        <w:ind w:left="1304" w:right="120" w:hanging="535"/>
        <w:spacing w:after="0" w:line="277" w:lineRule="auto"/>
        <w:tabs>
          <w:tab w:leader="none" w:pos="1304" w:val="left"/>
        </w:tabs>
        <w:numPr>
          <w:ilvl w:val="1"/>
          <w:numId w:val="891"/>
        </w:numPr>
        <w:rPr>
          <w:rFonts w:ascii="Arial" w:cs="Arial" w:eastAsia="Arial" w:hAnsi="Arial"/>
          <w:sz w:val="18"/>
          <w:szCs w:val="18"/>
          <w:color w:val="auto"/>
        </w:rPr>
      </w:pPr>
      <w:r>
        <w:rPr>
          <w:rFonts w:ascii="Arial" w:cs="Arial" w:eastAsia="Arial" w:hAnsi="Arial"/>
          <w:sz w:val="18"/>
          <w:szCs w:val="18"/>
          <w:color w:val="auto"/>
        </w:rPr>
        <w:t>any other facility or accommodation required in connection with the business of the Group and which is agreed by the Borrower with an Ancillary Lender.</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Availability</w:t>
      </w:r>
    </w:p>
    <w:p>
      <w:pPr>
        <w:spacing w:after="0" w:line="135" w:lineRule="exact"/>
        <w:rPr>
          <w:sz w:val="20"/>
          <w:szCs w:val="20"/>
          <w:color w:val="auto"/>
        </w:rPr>
      </w:pPr>
    </w:p>
    <w:p>
      <w:pPr>
        <w:ind w:left="1304" w:right="440" w:hanging="535"/>
        <w:spacing w:after="0" w:line="277" w:lineRule="auto"/>
        <w:tabs>
          <w:tab w:leader="none" w:pos="1304" w:val="left"/>
        </w:tabs>
        <w:numPr>
          <w:ilvl w:val="0"/>
          <w:numId w:val="892"/>
        </w:numPr>
        <w:rPr>
          <w:rFonts w:ascii="Arial" w:cs="Arial" w:eastAsia="Arial" w:hAnsi="Arial"/>
          <w:sz w:val="18"/>
          <w:szCs w:val="18"/>
          <w:color w:val="auto"/>
        </w:rPr>
      </w:pPr>
      <w:r>
        <w:rPr>
          <w:rFonts w:ascii="Arial" w:cs="Arial" w:eastAsia="Arial" w:hAnsi="Arial"/>
          <w:sz w:val="18"/>
          <w:szCs w:val="18"/>
          <w:color w:val="auto"/>
        </w:rPr>
        <w:t>If the Borrower and a Lender agree and except as otherwise provided in this Agreement, the Lender may provide all or part of its Revolving Facility Commitment as an Ancillary Facility.</w:t>
      </w:r>
    </w:p>
    <w:p>
      <w:pPr>
        <w:spacing w:after="0" w:line="75" w:lineRule="exact"/>
        <w:rPr>
          <w:rFonts w:ascii="Arial" w:cs="Arial" w:eastAsia="Arial" w:hAnsi="Arial"/>
          <w:sz w:val="18"/>
          <w:szCs w:val="18"/>
          <w:color w:val="auto"/>
        </w:rPr>
      </w:pPr>
    </w:p>
    <w:p>
      <w:pPr>
        <w:ind w:left="1304" w:right="80" w:hanging="535"/>
        <w:spacing w:after="0" w:line="277" w:lineRule="auto"/>
        <w:tabs>
          <w:tab w:leader="none" w:pos="1304" w:val="left"/>
        </w:tabs>
        <w:numPr>
          <w:ilvl w:val="0"/>
          <w:numId w:val="892"/>
        </w:numPr>
        <w:rPr>
          <w:rFonts w:ascii="Arial" w:cs="Arial" w:eastAsia="Arial" w:hAnsi="Arial"/>
          <w:sz w:val="18"/>
          <w:szCs w:val="18"/>
          <w:color w:val="auto"/>
        </w:rPr>
      </w:pPr>
      <w:r>
        <w:rPr>
          <w:rFonts w:ascii="Arial" w:cs="Arial" w:eastAsia="Arial" w:hAnsi="Arial"/>
          <w:sz w:val="18"/>
          <w:szCs w:val="18"/>
          <w:color w:val="auto"/>
        </w:rPr>
        <w:t>An Ancillary Facility shall not be made available unless, not later than three (3) Business Days prior to the Ancillary Commencement Date for an Ancillary Facility, the Agent has received from the Borrower:</w:t>
      </w:r>
    </w:p>
    <w:p>
      <w:pPr>
        <w:spacing w:after="0" w:line="75" w:lineRule="exact"/>
        <w:rPr>
          <w:rFonts w:ascii="Arial" w:cs="Arial" w:eastAsia="Arial" w:hAnsi="Arial"/>
          <w:sz w:val="18"/>
          <w:szCs w:val="18"/>
          <w:color w:val="auto"/>
        </w:rPr>
      </w:pPr>
    </w:p>
    <w:p>
      <w:pPr>
        <w:ind w:left="1964" w:hanging="655"/>
        <w:spacing w:after="0"/>
        <w:tabs>
          <w:tab w:leader="none" w:pos="1964" w:val="left"/>
        </w:tabs>
        <w:numPr>
          <w:ilvl w:val="1"/>
          <w:numId w:val="892"/>
        </w:numPr>
        <w:rPr>
          <w:rFonts w:ascii="Arial" w:cs="Arial" w:eastAsia="Arial" w:hAnsi="Arial"/>
          <w:sz w:val="18"/>
          <w:szCs w:val="18"/>
          <w:color w:val="auto"/>
        </w:rPr>
      </w:pPr>
      <w:r>
        <w:rPr>
          <w:rFonts w:ascii="Arial" w:cs="Arial" w:eastAsia="Arial" w:hAnsi="Arial"/>
          <w:sz w:val="18"/>
          <w:szCs w:val="18"/>
          <w:color w:val="auto"/>
        </w:rPr>
        <w:t>a notice in writing of the establishment of an Ancillary Facility and specifying:</w:t>
      </w:r>
    </w:p>
    <w:p>
      <w:pPr>
        <w:spacing w:after="0" w:line="130" w:lineRule="exact"/>
        <w:rPr>
          <w:rFonts w:ascii="Arial" w:cs="Arial" w:eastAsia="Arial" w:hAnsi="Arial"/>
          <w:sz w:val="18"/>
          <w:szCs w:val="18"/>
          <w:color w:val="auto"/>
        </w:rPr>
      </w:pPr>
    </w:p>
    <w:p>
      <w:pPr>
        <w:ind w:left="2504" w:hanging="533"/>
        <w:spacing w:after="0"/>
        <w:tabs>
          <w:tab w:leader="none" w:pos="2504" w:val="left"/>
        </w:tabs>
        <w:numPr>
          <w:ilvl w:val="2"/>
          <w:numId w:val="892"/>
        </w:numPr>
        <w:rPr>
          <w:rFonts w:ascii="Arial" w:cs="Arial" w:eastAsia="Arial" w:hAnsi="Arial"/>
          <w:sz w:val="18"/>
          <w:szCs w:val="18"/>
          <w:color w:val="auto"/>
        </w:rPr>
      </w:pPr>
      <w:r>
        <w:rPr>
          <w:rFonts w:ascii="Arial" w:cs="Arial" w:eastAsia="Arial" w:hAnsi="Arial"/>
          <w:sz w:val="18"/>
          <w:szCs w:val="18"/>
          <w:color w:val="auto"/>
        </w:rPr>
        <w:t>the proposed Borrower which may use the Ancillary Facility;</w:t>
      </w:r>
    </w:p>
    <w:p>
      <w:pPr>
        <w:spacing w:after="0" w:line="130" w:lineRule="exact"/>
        <w:rPr>
          <w:rFonts w:ascii="Arial" w:cs="Arial" w:eastAsia="Arial" w:hAnsi="Arial"/>
          <w:sz w:val="18"/>
          <w:szCs w:val="18"/>
          <w:color w:val="auto"/>
        </w:rPr>
      </w:pPr>
    </w:p>
    <w:p>
      <w:pPr>
        <w:ind w:left="2504" w:hanging="533"/>
        <w:spacing w:after="0"/>
        <w:tabs>
          <w:tab w:leader="none" w:pos="2504" w:val="left"/>
        </w:tabs>
        <w:numPr>
          <w:ilvl w:val="2"/>
          <w:numId w:val="892"/>
        </w:numPr>
        <w:rPr>
          <w:rFonts w:ascii="Arial" w:cs="Arial" w:eastAsia="Arial" w:hAnsi="Arial"/>
          <w:sz w:val="18"/>
          <w:szCs w:val="18"/>
          <w:color w:val="auto"/>
        </w:rPr>
      </w:pPr>
      <w:r>
        <w:rPr>
          <w:rFonts w:ascii="Arial" w:cs="Arial" w:eastAsia="Arial" w:hAnsi="Arial"/>
          <w:sz w:val="18"/>
          <w:szCs w:val="18"/>
          <w:color w:val="auto"/>
        </w:rPr>
        <w:t>the proposed Ancillary Commencement Date and expiry date of the Ancillary Facility;</w:t>
      </w:r>
    </w:p>
    <w:p>
      <w:pPr>
        <w:spacing w:after="0" w:line="130" w:lineRule="exact"/>
        <w:rPr>
          <w:rFonts w:ascii="Arial" w:cs="Arial" w:eastAsia="Arial" w:hAnsi="Arial"/>
          <w:sz w:val="18"/>
          <w:szCs w:val="18"/>
          <w:color w:val="auto"/>
        </w:rPr>
      </w:pPr>
    </w:p>
    <w:p>
      <w:pPr>
        <w:ind w:left="2504" w:hanging="533"/>
        <w:spacing w:after="0"/>
        <w:tabs>
          <w:tab w:leader="none" w:pos="2504" w:val="left"/>
        </w:tabs>
        <w:numPr>
          <w:ilvl w:val="2"/>
          <w:numId w:val="892"/>
        </w:numPr>
        <w:rPr>
          <w:rFonts w:ascii="Arial" w:cs="Arial" w:eastAsia="Arial" w:hAnsi="Arial"/>
          <w:sz w:val="18"/>
          <w:szCs w:val="18"/>
          <w:color w:val="auto"/>
        </w:rPr>
      </w:pPr>
      <w:r>
        <w:rPr>
          <w:rFonts w:ascii="Arial" w:cs="Arial" w:eastAsia="Arial" w:hAnsi="Arial"/>
          <w:sz w:val="18"/>
          <w:szCs w:val="18"/>
          <w:color w:val="auto"/>
        </w:rPr>
        <w:t>the proposed type of Ancillary Facility to be provided;</w:t>
      </w:r>
    </w:p>
    <w:p>
      <w:pPr>
        <w:spacing w:after="0" w:line="130" w:lineRule="exact"/>
        <w:rPr>
          <w:rFonts w:ascii="Arial" w:cs="Arial" w:eastAsia="Arial" w:hAnsi="Arial"/>
          <w:sz w:val="18"/>
          <w:szCs w:val="18"/>
          <w:color w:val="auto"/>
        </w:rPr>
      </w:pPr>
    </w:p>
    <w:p>
      <w:pPr>
        <w:ind w:left="2504" w:hanging="533"/>
        <w:spacing w:after="0"/>
        <w:tabs>
          <w:tab w:leader="none" w:pos="2504" w:val="left"/>
        </w:tabs>
        <w:numPr>
          <w:ilvl w:val="2"/>
          <w:numId w:val="892"/>
        </w:numPr>
        <w:rPr>
          <w:rFonts w:ascii="Arial" w:cs="Arial" w:eastAsia="Arial" w:hAnsi="Arial"/>
          <w:sz w:val="18"/>
          <w:szCs w:val="18"/>
          <w:color w:val="auto"/>
        </w:rPr>
      </w:pPr>
      <w:r>
        <w:rPr>
          <w:rFonts w:ascii="Arial" w:cs="Arial" w:eastAsia="Arial" w:hAnsi="Arial"/>
          <w:sz w:val="18"/>
          <w:szCs w:val="18"/>
          <w:color w:val="auto"/>
        </w:rPr>
        <w:t>the proposed Ancillary Lender;</w:t>
      </w:r>
    </w:p>
    <w:p>
      <w:pPr>
        <w:spacing w:after="0" w:line="158"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654" w:name="page655"/>
    <w:bookmarkEnd w:id="654"/>
    <w:p>
      <w:pPr>
        <w:ind w:left="2500" w:right="180" w:hanging="533"/>
        <w:spacing w:after="0" w:line="277" w:lineRule="auto"/>
        <w:tabs>
          <w:tab w:leader="none" w:pos="2500" w:val="left"/>
        </w:tabs>
        <w:numPr>
          <w:ilvl w:val="2"/>
          <w:numId w:val="8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proposed Ancillary Commitment and the maximum amount of the Ancillary Facility and, in the case of a Multi-account Overdraft, its Designated Gross Amount and its Designated Net Amount; and</w:t>
      </w:r>
    </w:p>
    <w:p>
      <w:pPr>
        <w:spacing w:after="0" w:line="75" w:lineRule="exact"/>
        <w:rPr>
          <w:rFonts w:ascii="Arial" w:cs="Arial" w:eastAsia="Arial" w:hAnsi="Arial"/>
          <w:sz w:val="18"/>
          <w:szCs w:val="18"/>
          <w:color w:val="auto"/>
        </w:rPr>
      </w:pPr>
    </w:p>
    <w:p>
      <w:pPr>
        <w:ind w:left="2500" w:hanging="533"/>
        <w:spacing w:after="0"/>
        <w:tabs>
          <w:tab w:leader="none" w:pos="2500" w:val="left"/>
        </w:tabs>
        <w:numPr>
          <w:ilvl w:val="2"/>
          <w:numId w:val="893"/>
        </w:numPr>
        <w:rPr>
          <w:rFonts w:ascii="Arial" w:cs="Arial" w:eastAsia="Arial" w:hAnsi="Arial"/>
          <w:sz w:val="18"/>
          <w:szCs w:val="18"/>
          <w:color w:val="auto"/>
        </w:rPr>
      </w:pPr>
      <w:r>
        <w:rPr>
          <w:rFonts w:ascii="Arial" w:cs="Arial" w:eastAsia="Arial" w:hAnsi="Arial"/>
          <w:sz w:val="18"/>
          <w:szCs w:val="18"/>
          <w:color w:val="auto"/>
        </w:rPr>
        <w:t>the proposed currency of the Ancillary Facility (if not denominated in HK dollars); and</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any other information which the Agent may reasonably request in connection with the Ancillary Facility.</w:t>
      </w:r>
    </w:p>
    <w:p>
      <w:pPr>
        <w:spacing w:after="0" w:line="130" w:lineRule="exact"/>
        <w:rPr>
          <w:rFonts w:ascii="Arial" w:cs="Arial" w:eastAsia="Arial" w:hAnsi="Arial"/>
          <w:sz w:val="18"/>
          <w:szCs w:val="18"/>
          <w:color w:val="auto"/>
        </w:rPr>
      </w:pPr>
    </w:p>
    <w:p>
      <w:pPr>
        <w:ind w:left="1300" w:hanging="535"/>
        <w:spacing w:after="0"/>
        <w:tabs>
          <w:tab w:leader="none" w:pos="1300" w:val="left"/>
        </w:tabs>
        <w:numPr>
          <w:ilvl w:val="0"/>
          <w:numId w:val="895"/>
        </w:numPr>
        <w:rPr>
          <w:rFonts w:ascii="Arial" w:cs="Arial" w:eastAsia="Arial" w:hAnsi="Arial"/>
          <w:sz w:val="18"/>
          <w:szCs w:val="18"/>
          <w:color w:val="auto"/>
        </w:rPr>
      </w:pPr>
      <w:r>
        <w:rPr>
          <w:rFonts w:ascii="Arial" w:cs="Arial" w:eastAsia="Arial" w:hAnsi="Arial"/>
          <w:sz w:val="18"/>
          <w:szCs w:val="18"/>
          <w:color w:val="auto"/>
        </w:rPr>
        <w:t>The Agent shall promptly notify the Ancillary Lender and the other Lenders of the establishment of an Ancillary Facility.</w:t>
      </w:r>
    </w:p>
    <w:p>
      <w:pPr>
        <w:spacing w:after="0" w:line="130" w:lineRule="exact"/>
        <w:rPr>
          <w:rFonts w:ascii="Arial" w:cs="Arial" w:eastAsia="Arial" w:hAnsi="Arial"/>
          <w:sz w:val="18"/>
          <w:szCs w:val="18"/>
          <w:color w:val="auto"/>
        </w:rPr>
      </w:pPr>
    </w:p>
    <w:p>
      <w:pPr>
        <w:ind w:left="1300" w:hanging="535"/>
        <w:spacing w:after="0"/>
        <w:tabs>
          <w:tab w:leader="none" w:pos="1300" w:val="left"/>
        </w:tabs>
        <w:numPr>
          <w:ilvl w:val="0"/>
          <w:numId w:val="895"/>
        </w:numPr>
        <w:rPr>
          <w:rFonts w:ascii="Arial" w:cs="Arial" w:eastAsia="Arial" w:hAnsi="Arial"/>
          <w:sz w:val="18"/>
          <w:szCs w:val="18"/>
          <w:color w:val="auto"/>
        </w:rPr>
      </w:pPr>
      <w:r>
        <w:rPr>
          <w:rFonts w:ascii="Arial" w:cs="Arial" w:eastAsia="Arial" w:hAnsi="Arial"/>
          <w:sz w:val="18"/>
          <w:szCs w:val="18"/>
          <w:color w:val="auto"/>
        </w:rPr>
        <w:t>Subject to compliance with paragraph (b) above:</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895"/>
        </w:numPr>
        <w:rPr>
          <w:rFonts w:ascii="Arial" w:cs="Arial" w:eastAsia="Arial" w:hAnsi="Arial"/>
          <w:sz w:val="18"/>
          <w:szCs w:val="18"/>
          <w:color w:val="auto"/>
        </w:rPr>
      </w:pPr>
      <w:r>
        <w:rPr>
          <w:rFonts w:ascii="Arial" w:cs="Arial" w:eastAsia="Arial" w:hAnsi="Arial"/>
          <w:sz w:val="18"/>
          <w:szCs w:val="18"/>
          <w:color w:val="auto"/>
        </w:rPr>
        <w:t>the Lender concerned will become an Ancillary Lender; and</w:t>
      </w:r>
    </w:p>
    <w:p>
      <w:pPr>
        <w:spacing w:after="0" w:line="131" w:lineRule="exact"/>
        <w:rPr>
          <w:sz w:val="20"/>
          <w:szCs w:val="20"/>
          <w:color w:val="auto"/>
        </w:rPr>
      </w:pPr>
    </w:p>
    <w:p>
      <w:pPr>
        <w:ind w:left="1960" w:hanging="655"/>
        <w:spacing w:after="0"/>
        <w:tabs>
          <w:tab w:leader="none" w:pos="1960" w:val="left"/>
        </w:tabs>
        <w:numPr>
          <w:ilvl w:val="0"/>
          <w:numId w:val="896"/>
        </w:numPr>
        <w:rPr>
          <w:rFonts w:ascii="Arial" w:cs="Arial" w:eastAsia="Arial" w:hAnsi="Arial"/>
          <w:sz w:val="18"/>
          <w:szCs w:val="18"/>
          <w:color w:val="auto"/>
        </w:rPr>
      </w:pPr>
      <w:r>
        <w:rPr>
          <w:rFonts w:ascii="Arial" w:cs="Arial" w:eastAsia="Arial" w:hAnsi="Arial"/>
          <w:sz w:val="18"/>
          <w:szCs w:val="18"/>
          <w:color w:val="auto"/>
        </w:rPr>
        <w:t>the Ancillary Facility will be available,</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with effect from the date agreed by the Borrower and the Ancillary Lender.</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Terms of Ancillary Facilities</w:t>
      </w:r>
    </w:p>
    <w:p>
      <w:pPr>
        <w:spacing w:after="0" w:line="135" w:lineRule="exact"/>
        <w:rPr>
          <w:sz w:val="20"/>
          <w:szCs w:val="20"/>
          <w:color w:val="auto"/>
        </w:rPr>
      </w:pPr>
    </w:p>
    <w:p>
      <w:pPr>
        <w:ind w:left="1300" w:hanging="535"/>
        <w:spacing w:after="0"/>
        <w:tabs>
          <w:tab w:leader="none" w:pos="1300" w:val="left"/>
        </w:tabs>
        <w:numPr>
          <w:ilvl w:val="0"/>
          <w:numId w:val="897"/>
        </w:numPr>
        <w:rPr>
          <w:rFonts w:ascii="Arial" w:cs="Arial" w:eastAsia="Arial" w:hAnsi="Arial"/>
          <w:sz w:val="17"/>
          <w:szCs w:val="17"/>
          <w:color w:val="auto"/>
        </w:rPr>
      </w:pPr>
      <w:r>
        <w:rPr>
          <w:rFonts w:ascii="Arial" w:cs="Arial" w:eastAsia="Arial" w:hAnsi="Arial"/>
          <w:sz w:val="17"/>
          <w:szCs w:val="17"/>
          <w:color w:val="auto"/>
        </w:rPr>
        <w:t>Except as provided below, the terms of any Ancillary Facility will be those agreed by the Ancillary Lender and the Borrower.</w:t>
      </w:r>
    </w:p>
    <w:p>
      <w:pPr>
        <w:spacing w:after="0" w:line="142" w:lineRule="exact"/>
        <w:rPr>
          <w:rFonts w:ascii="Arial" w:cs="Arial" w:eastAsia="Arial" w:hAnsi="Arial"/>
          <w:sz w:val="17"/>
          <w:szCs w:val="17"/>
          <w:color w:val="auto"/>
        </w:rPr>
      </w:pPr>
    </w:p>
    <w:p>
      <w:pPr>
        <w:ind w:left="1300" w:hanging="535"/>
        <w:spacing w:after="0"/>
        <w:tabs>
          <w:tab w:leader="none" w:pos="1300" w:val="left"/>
        </w:tabs>
        <w:numPr>
          <w:ilvl w:val="0"/>
          <w:numId w:val="897"/>
        </w:numPr>
        <w:rPr>
          <w:rFonts w:ascii="Arial" w:cs="Arial" w:eastAsia="Arial" w:hAnsi="Arial"/>
          <w:sz w:val="18"/>
          <w:szCs w:val="18"/>
          <w:color w:val="auto"/>
        </w:rPr>
      </w:pPr>
      <w:r>
        <w:rPr>
          <w:rFonts w:ascii="Arial" w:cs="Arial" w:eastAsia="Arial" w:hAnsi="Arial"/>
          <w:sz w:val="18"/>
          <w:szCs w:val="18"/>
          <w:color w:val="auto"/>
        </w:rPr>
        <w:t>Those terms:</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897"/>
        </w:numPr>
        <w:rPr>
          <w:rFonts w:ascii="Arial" w:cs="Arial" w:eastAsia="Arial" w:hAnsi="Arial"/>
          <w:sz w:val="18"/>
          <w:szCs w:val="18"/>
          <w:color w:val="auto"/>
        </w:rPr>
      </w:pPr>
      <w:r>
        <w:rPr>
          <w:rFonts w:ascii="Arial" w:cs="Arial" w:eastAsia="Arial" w:hAnsi="Arial"/>
          <w:sz w:val="18"/>
          <w:szCs w:val="18"/>
          <w:color w:val="auto"/>
        </w:rPr>
        <w:t>must be based upon normal commercial terms at that time (except as varied by this Agreement);</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897"/>
        </w:numPr>
        <w:rPr>
          <w:rFonts w:ascii="Arial" w:cs="Arial" w:eastAsia="Arial" w:hAnsi="Arial"/>
          <w:sz w:val="18"/>
          <w:szCs w:val="18"/>
          <w:color w:val="auto"/>
        </w:rPr>
      </w:pPr>
      <w:r>
        <w:rPr>
          <w:rFonts w:ascii="Arial" w:cs="Arial" w:eastAsia="Arial" w:hAnsi="Arial"/>
          <w:sz w:val="18"/>
          <w:szCs w:val="18"/>
          <w:color w:val="auto"/>
        </w:rPr>
        <w:t>may allow only the Borrower to use the Ancillary Facility;</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897"/>
        </w:numPr>
        <w:rPr>
          <w:rFonts w:ascii="Arial" w:cs="Arial" w:eastAsia="Arial" w:hAnsi="Arial"/>
          <w:sz w:val="18"/>
          <w:szCs w:val="18"/>
          <w:color w:val="auto"/>
        </w:rPr>
      </w:pPr>
      <w:r>
        <w:rPr>
          <w:rFonts w:ascii="Arial" w:cs="Arial" w:eastAsia="Arial" w:hAnsi="Arial"/>
          <w:sz w:val="18"/>
          <w:szCs w:val="18"/>
          <w:color w:val="auto"/>
        </w:rPr>
        <w:t>may not allow the Ancillary Outstandings to exceed the Ancillary Commitment;</w:t>
      </w:r>
    </w:p>
    <w:p>
      <w:pPr>
        <w:spacing w:after="0" w:line="130" w:lineRule="exact"/>
        <w:rPr>
          <w:rFonts w:ascii="Arial" w:cs="Arial" w:eastAsia="Arial" w:hAnsi="Arial"/>
          <w:sz w:val="18"/>
          <w:szCs w:val="18"/>
          <w:color w:val="auto"/>
        </w:rPr>
      </w:pPr>
    </w:p>
    <w:p>
      <w:pPr>
        <w:ind w:left="1960" w:right="220" w:hanging="655"/>
        <w:spacing w:after="0" w:line="308" w:lineRule="auto"/>
        <w:tabs>
          <w:tab w:leader="none" w:pos="1960" w:val="left"/>
        </w:tabs>
        <w:numPr>
          <w:ilvl w:val="1"/>
          <w:numId w:val="897"/>
        </w:numPr>
        <w:rPr>
          <w:rFonts w:ascii="Arial" w:cs="Arial" w:eastAsia="Arial" w:hAnsi="Arial"/>
          <w:sz w:val="17"/>
          <w:szCs w:val="17"/>
          <w:color w:val="auto"/>
        </w:rPr>
      </w:pPr>
      <w:r>
        <w:rPr>
          <w:rFonts w:ascii="Arial" w:cs="Arial" w:eastAsia="Arial" w:hAnsi="Arial"/>
          <w:sz w:val="17"/>
          <w:szCs w:val="17"/>
          <w:color w:val="auto"/>
        </w:rPr>
        <w:t>may not allow a Lender’s Ancillary Commitment to exceed that Lender’s Available Commitment relating to the Revolving Facility (before taking into account the effect of the Ancillary Facility on that Available Commitment); and</w:t>
      </w:r>
    </w:p>
    <w:p>
      <w:pPr>
        <w:spacing w:after="0" w:line="51" w:lineRule="exact"/>
        <w:rPr>
          <w:rFonts w:ascii="Arial" w:cs="Arial" w:eastAsia="Arial" w:hAnsi="Arial"/>
          <w:sz w:val="17"/>
          <w:szCs w:val="17"/>
          <w:color w:val="auto"/>
        </w:rPr>
      </w:pPr>
    </w:p>
    <w:p>
      <w:pPr>
        <w:jc w:val="both"/>
        <w:ind w:left="1960" w:right="140" w:hanging="655"/>
        <w:spacing w:after="0" w:line="263" w:lineRule="auto"/>
        <w:tabs>
          <w:tab w:leader="none" w:pos="1960" w:val="left"/>
        </w:tabs>
        <w:numPr>
          <w:ilvl w:val="1"/>
          <w:numId w:val="897"/>
        </w:numPr>
        <w:rPr>
          <w:rFonts w:ascii="Arial" w:cs="Arial" w:eastAsia="Arial" w:hAnsi="Arial"/>
          <w:sz w:val="18"/>
          <w:szCs w:val="18"/>
          <w:color w:val="auto"/>
        </w:rPr>
      </w:pPr>
      <w:r>
        <w:rPr>
          <w:rFonts w:ascii="Arial" w:cs="Arial" w:eastAsia="Arial" w:hAnsi="Arial"/>
          <w:sz w:val="18"/>
          <w:szCs w:val="18"/>
          <w:color w:val="auto"/>
        </w:rPr>
        <w:t>must require that the Ancillary Commitment is reduced to zero, and that all Ancillary Outstandings are repaid not later than the Termination Date applicable to the Revolving Facility (or such earlier date as the Revolving Facility Commitment of the relevant Ancillary Lender (or its Affiliate) is reduced to zero).</w:t>
      </w:r>
    </w:p>
    <w:p>
      <w:pPr>
        <w:spacing w:after="0" w:line="89" w:lineRule="exact"/>
        <w:rPr>
          <w:rFonts w:ascii="Arial" w:cs="Arial" w:eastAsia="Arial" w:hAnsi="Arial"/>
          <w:sz w:val="18"/>
          <w:szCs w:val="18"/>
          <w:color w:val="auto"/>
        </w:rPr>
      </w:pPr>
    </w:p>
    <w:p>
      <w:pPr>
        <w:ind w:left="1300" w:right="200" w:hanging="535"/>
        <w:spacing w:after="0" w:line="277" w:lineRule="auto"/>
        <w:tabs>
          <w:tab w:leader="none" w:pos="1300" w:val="left"/>
        </w:tabs>
        <w:numPr>
          <w:ilvl w:val="0"/>
          <w:numId w:val="897"/>
        </w:numPr>
        <w:rPr>
          <w:rFonts w:ascii="Arial" w:cs="Arial" w:eastAsia="Arial" w:hAnsi="Arial"/>
          <w:sz w:val="18"/>
          <w:szCs w:val="18"/>
          <w:color w:val="auto"/>
        </w:rPr>
      </w:pPr>
      <w:r>
        <w:rPr>
          <w:rFonts w:ascii="Arial" w:cs="Arial" w:eastAsia="Arial" w:hAnsi="Arial"/>
          <w:sz w:val="18"/>
          <w:szCs w:val="18"/>
          <w:color w:val="auto"/>
        </w:rPr>
        <w:t>If there is any inconsistency between any term of an Ancillary Facility and any term of this Agreement, this Agreement shall prevail except for:</w:t>
      </w:r>
    </w:p>
    <w:p>
      <w:pPr>
        <w:spacing w:after="0" w:line="75" w:lineRule="exact"/>
        <w:rPr>
          <w:rFonts w:ascii="Arial" w:cs="Arial" w:eastAsia="Arial" w:hAnsi="Arial"/>
          <w:sz w:val="18"/>
          <w:szCs w:val="18"/>
          <w:color w:val="auto"/>
        </w:rPr>
      </w:pPr>
    </w:p>
    <w:p>
      <w:pPr>
        <w:ind w:left="1960" w:right="480" w:hanging="655"/>
        <w:spacing w:after="0" w:line="277" w:lineRule="auto"/>
        <w:tabs>
          <w:tab w:leader="none" w:pos="1960" w:val="left"/>
        </w:tabs>
        <w:numPr>
          <w:ilvl w:val="1"/>
          <w:numId w:val="897"/>
        </w:numPr>
        <w:rPr>
          <w:rFonts w:ascii="Arial" w:cs="Arial" w:eastAsia="Arial" w:hAnsi="Arial"/>
          <w:sz w:val="18"/>
          <w:szCs w:val="18"/>
          <w:color w:val="auto"/>
        </w:rPr>
      </w:pPr>
      <w:r>
        <w:rPr>
          <w:rFonts w:ascii="Arial" w:cs="Arial" w:eastAsia="Arial" w:hAnsi="Arial"/>
          <w:sz w:val="18"/>
          <w:szCs w:val="18"/>
          <w:color w:val="auto"/>
        </w:rPr>
        <w:t>Clause 34.3 (</w:t>
      </w:r>
      <w:r>
        <w:rPr>
          <w:rFonts w:ascii="Arial" w:cs="Arial" w:eastAsia="Arial" w:hAnsi="Arial"/>
          <w:sz w:val="18"/>
          <w:szCs w:val="18"/>
          <w:i w:val="1"/>
          <w:iCs w:val="1"/>
          <w:color w:val="auto"/>
        </w:rPr>
        <w:t>Day count convention</w:t>
      </w:r>
      <w:r>
        <w:rPr>
          <w:rFonts w:ascii="Arial" w:cs="Arial" w:eastAsia="Arial" w:hAnsi="Arial"/>
          <w:sz w:val="18"/>
          <w:szCs w:val="18"/>
          <w:color w:val="auto"/>
        </w:rPr>
        <w:t>) which shall not prevail for the purposes of calculating fees, interest or commission relating to an Ancillary Facility;</w:t>
      </w:r>
    </w:p>
    <w:p>
      <w:pPr>
        <w:spacing w:after="0" w:line="75" w:lineRule="exact"/>
        <w:rPr>
          <w:rFonts w:ascii="Arial" w:cs="Arial" w:eastAsia="Arial" w:hAnsi="Arial"/>
          <w:sz w:val="18"/>
          <w:szCs w:val="18"/>
          <w:color w:val="auto"/>
        </w:rPr>
      </w:pPr>
    </w:p>
    <w:p>
      <w:pPr>
        <w:ind w:left="1960" w:right="420" w:hanging="655"/>
        <w:spacing w:after="0" w:line="277" w:lineRule="auto"/>
        <w:tabs>
          <w:tab w:leader="none" w:pos="1960" w:val="left"/>
        </w:tabs>
        <w:numPr>
          <w:ilvl w:val="1"/>
          <w:numId w:val="897"/>
        </w:numPr>
        <w:rPr>
          <w:rFonts w:ascii="Arial" w:cs="Arial" w:eastAsia="Arial" w:hAnsi="Arial"/>
          <w:sz w:val="18"/>
          <w:szCs w:val="18"/>
          <w:color w:val="auto"/>
        </w:rPr>
      </w:pPr>
      <w:r>
        <w:rPr>
          <w:rFonts w:ascii="Arial" w:cs="Arial" w:eastAsia="Arial" w:hAnsi="Arial"/>
          <w:sz w:val="18"/>
          <w:szCs w:val="18"/>
          <w:color w:val="auto"/>
        </w:rPr>
        <w:t>an Ancillary Facility comprising more than one account where the terms of the Ancillary Documents shall prevail to the extent required to permit the netting of balances on those accounts; and</w:t>
      </w:r>
    </w:p>
    <w:p>
      <w:pPr>
        <w:spacing w:after="0" w:line="75" w:lineRule="exact"/>
        <w:rPr>
          <w:rFonts w:ascii="Arial" w:cs="Arial" w:eastAsia="Arial" w:hAnsi="Arial"/>
          <w:sz w:val="18"/>
          <w:szCs w:val="18"/>
          <w:color w:val="auto"/>
        </w:rPr>
      </w:pPr>
    </w:p>
    <w:p>
      <w:pPr>
        <w:ind w:left="1960" w:right="700" w:hanging="655"/>
        <w:spacing w:after="0" w:line="277" w:lineRule="auto"/>
        <w:tabs>
          <w:tab w:leader="none" w:pos="1960" w:val="left"/>
        </w:tabs>
        <w:numPr>
          <w:ilvl w:val="1"/>
          <w:numId w:val="897"/>
        </w:numPr>
        <w:rPr>
          <w:rFonts w:ascii="Arial" w:cs="Arial" w:eastAsia="Arial" w:hAnsi="Arial"/>
          <w:sz w:val="18"/>
          <w:szCs w:val="18"/>
          <w:color w:val="auto"/>
        </w:rPr>
      </w:pPr>
      <w:r>
        <w:rPr>
          <w:rFonts w:ascii="Arial" w:cs="Arial" w:eastAsia="Arial" w:hAnsi="Arial"/>
          <w:sz w:val="18"/>
          <w:szCs w:val="18"/>
          <w:color w:val="auto"/>
        </w:rPr>
        <w:t>where the relevant term of this Agreement would be contrary to, or inconsistent with, the law governing the relevant Ancillary Document, in which case that term of this Agreement shall not prevail.</w:t>
      </w:r>
    </w:p>
    <w:p>
      <w:pPr>
        <w:spacing w:after="0" w:line="103"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55" w:name="page656"/>
    <w:bookmarkEnd w:id="655"/>
    <w:p>
      <w:pPr>
        <w:ind w:left="1300" w:right="660" w:hanging="535"/>
        <w:spacing w:after="0" w:line="277" w:lineRule="auto"/>
        <w:tabs>
          <w:tab w:leader="none" w:pos="1300" w:val="left"/>
        </w:tabs>
        <w:numPr>
          <w:ilvl w:val="0"/>
          <w:numId w:val="8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commission and fees on Ancillary Facilities are dealt with in Clause 14.3 (</w:t>
      </w:r>
      <w:r>
        <w:rPr>
          <w:rFonts w:ascii="Arial" w:cs="Arial" w:eastAsia="Arial" w:hAnsi="Arial"/>
          <w:sz w:val="18"/>
          <w:szCs w:val="18"/>
          <w:i w:val="1"/>
          <w:iCs w:val="1"/>
          <w:color w:val="auto"/>
        </w:rPr>
        <w:t>Interest, commission and fees on Ancillary</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Repayment of Ancillary Facility</w:t>
      </w:r>
    </w:p>
    <w:p>
      <w:pPr>
        <w:spacing w:after="0" w:line="135" w:lineRule="exact"/>
        <w:rPr>
          <w:sz w:val="20"/>
          <w:szCs w:val="20"/>
          <w:color w:val="auto"/>
        </w:rPr>
      </w:pPr>
    </w:p>
    <w:p>
      <w:pPr>
        <w:ind w:left="1300" w:right="200" w:hanging="535"/>
        <w:spacing w:after="0" w:line="277" w:lineRule="auto"/>
        <w:tabs>
          <w:tab w:leader="none" w:pos="1300" w:val="left"/>
        </w:tabs>
        <w:numPr>
          <w:ilvl w:val="0"/>
          <w:numId w:val="899"/>
        </w:numPr>
        <w:rPr>
          <w:rFonts w:ascii="Arial" w:cs="Arial" w:eastAsia="Arial" w:hAnsi="Arial"/>
          <w:sz w:val="18"/>
          <w:szCs w:val="18"/>
          <w:color w:val="auto"/>
        </w:rPr>
      </w:pPr>
      <w:r>
        <w:rPr>
          <w:rFonts w:ascii="Arial" w:cs="Arial" w:eastAsia="Arial" w:hAnsi="Arial"/>
          <w:sz w:val="18"/>
          <w:szCs w:val="18"/>
          <w:color w:val="auto"/>
        </w:rPr>
        <w:t>An Ancillary Facility shall cease to be available on the Termination Date applicable to the Revolving Facility or such earlier date on which its expiry date occurs or on which it is cancelled in accordance with the terms of this Agreement.</w:t>
      </w:r>
    </w:p>
    <w:p>
      <w:pPr>
        <w:spacing w:after="0" w:line="75" w:lineRule="exact"/>
        <w:rPr>
          <w:rFonts w:ascii="Arial" w:cs="Arial" w:eastAsia="Arial" w:hAnsi="Arial"/>
          <w:sz w:val="18"/>
          <w:szCs w:val="18"/>
          <w:color w:val="auto"/>
        </w:rPr>
      </w:pPr>
    </w:p>
    <w:p>
      <w:pPr>
        <w:ind w:left="1300" w:right="500" w:hanging="535"/>
        <w:spacing w:after="0" w:line="277" w:lineRule="auto"/>
        <w:tabs>
          <w:tab w:leader="none" w:pos="1300" w:val="left"/>
        </w:tabs>
        <w:numPr>
          <w:ilvl w:val="0"/>
          <w:numId w:val="899"/>
        </w:numPr>
        <w:rPr>
          <w:rFonts w:ascii="Arial" w:cs="Arial" w:eastAsia="Arial" w:hAnsi="Arial"/>
          <w:sz w:val="18"/>
          <w:szCs w:val="18"/>
          <w:color w:val="auto"/>
        </w:rPr>
      </w:pPr>
      <w:r>
        <w:rPr>
          <w:rFonts w:ascii="Arial" w:cs="Arial" w:eastAsia="Arial" w:hAnsi="Arial"/>
          <w:sz w:val="18"/>
          <w:szCs w:val="18"/>
          <w:color w:val="auto"/>
        </w:rPr>
        <w:t>If an Ancillary Facility expires in accordance with its terms the Ancillary Commitment of the relevant Ancillary Lender shall be reduced to zero.</w:t>
      </w:r>
    </w:p>
    <w:p>
      <w:pPr>
        <w:spacing w:after="0" w:line="75" w:lineRule="exact"/>
        <w:rPr>
          <w:rFonts w:ascii="Arial" w:cs="Arial" w:eastAsia="Arial" w:hAnsi="Arial"/>
          <w:sz w:val="18"/>
          <w:szCs w:val="18"/>
          <w:color w:val="auto"/>
        </w:rPr>
      </w:pPr>
    </w:p>
    <w:p>
      <w:pPr>
        <w:ind w:left="1300" w:right="360" w:hanging="535"/>
        <w:spacing w:after="0" w:line="277" w:lineRule="auto"/>
        <w:tabs>
          <w:tab w:leader="none" w:pos="1300" w:val="left"/>
        </w:tabs>
        <w:numPr>
          <w:ilvl w:val="0"/>
          <w:numId w:val="899"/>
        </w:numPr>
        <w:rPr>
          <w:rFonts w:ascii="Arial" w:cs="Arial" w:eastAsia="Arial" w:hAnsi="Arial"/>
          <w:sz w:val="18"/>
          <w:szCs w:val="18"/>
          <w:color w:val="auto"/>
        </w:rPr>
      </w:pPr>
      <w:r>
        <w:rPr>
          <w:rFonts w:ascii="Arial" w:cs="Arial" w:eastAsia="Arial" w:hAnsi="Arial"/>
          <w:sz w:val="18"/>
          <w:szCs w:val="18"/>
          <w:color w:val="auto"/>
        </w:rPr>
        <w:t>No Ancillary Lender may demand repayment or prepayment of any Ancillary Outstandings prior to the expiry date of the relevant Ancillary Facility unless:</w:t>
      </w:r>
    </w:p>
    <w:p>
      <w:pPr>
        <w:spacing w:after="0" w:line="75" w:lineRule="exact"/>
        <w:rPr>
          <w:rFonts w:ascii="Arial" w:cs="Arial" w:eastAsia="Arial" w:hAnsi="Arial"/>
          <w:sz w:val="18"/>
          <w:szCs w:val="18"/>
          <w:color w:val="auto"/>
        </w:rPr>
      </w:pPr>
    </w:p>
    <w:p>
      <w:pPr>
        <w:ind w:left="1960" w:right="540" w:hanging="655"/>
        <w:spacing w:after="0" w:line="277" w:lineRule="auto"/>
        <w:tabs>
          <w:tab w:leader="none" w:pos="1960" w:val="left"/>
        </w:tabs>
        <w:numPr>
          <w:ilvl w:val="1"/>
          <w:numId w:val="899"/>
        </w:numPr>
        <w:rPr>
          <w:rFonts w:ascii="Arial" w:cs="Arial" w:eastAsia="Arial" w:hAnsi="Arial"/>
          <w:sz w:val="18"/>
          <w:szCs w:val="18"/>
          <w:color w:val="auto"/>
        </w:rPr>
      </w:pPr>
      <w:r>
        <w:rPr>
          <w:rFonts w:ascii="Arial" w:cs="Arial" w:eastAsia="Arial" w:hAnsi="Arial"/>
          <w:sz w:val="18"/>
          <w:szCs w:val="18"/>
          <w:color w:val="auto"/>
        </w:rPr>
        <w:t>required to reduce the Permitted Gross Outstandings of a Multi-account Overdraft to or towards an amount equal to its Designated Net Amount;</w:t>
      </w:r>
    </w:p>
    <w:p>
      <w:pPr>
        <w:spacing w:after="0" w:line="75" w:lineRule="exact"/>
        <w:rPr>
          <w:rFonts w:ascii="Arial" w:cs="Arial" w:eastAsia="Arial" w:hAnsi="Arial"/>
          <w:sz w:val="18"/>
          <w:szCs w:val="18"/>
          <w:color w:val="auto"/>
        </w:rPr>
      </w:pPr>
    </w:p>
    <w:p>
      <w:pPr>
        <w:ind w:left="1960" w:right="320" w:hanging="655"/>
        <w:spacing w:after="0" w:line="277" w:lineRule="auto"/>
        <w:tabs>
          <w:tab w:leader="none" w:pos="1960" w:val="left"/>
        </w:tabs>
        <w:numPr>
          <w:ilvl w:val="1"/>
          <w:numId w:val="899"/>
        </w:numPr>
        <w:rPr>
          <w:rFonts w:ascii="Arial" w:cs="Arial" w:eastAsia="Arial" w:hAnsi="Arial"/>
          <w:sz w:val="18"/>
          <w:szCs w:val="18"/>
          <w:color w:val="auto"/>
        </w:rPr>
      </w:pPr>
      <w:r>
        <w:rPr>
          <w:rFonts w:ascii="Arial" w:cs="Arial" w:eastAsia="Arial" w:hAnsi="Arial"/>
          <w:sz w:val="18"/>
          <w:szCs w:val="18"/>
          <w:color w:val="auto"/>
        </w:rPr>
        <w:t>the Total Revolving Facility Commitments have been cancelled in full or all outstanding Utilisations under the Revolving Facility have become due and payable in accordance with the terms of this Agreement;</w:t>
      </w:r>
    </w:p>
    <w:p>
      <w:pPr>
        <w:spacing w:after="0" w:line="75" w:lineRule="exact"/>
        <w:rPr>
          <w:rFonts w:ascii="Arial" w:cs="Arial" w:eastAsia="Arial" w:hAnsi="Arial"/>
          <w:sz w:val="18"/>
          <w:szCs w:val="18"/>
          <w:color w:val="auto"/>
        </w:rPr>
      </w:pPr>
    </w:p>
    <w:p>
      <w:pPr>
        <w:ind w:left="1960" w:right="100" w:hanging="655"/>
        <w:spacing w:after="0" w:line="263" w:lineRule="auto"/>
        <w:tabs>
          <w:tab w:leader="none" w:pos="1960" w:val="left"/>
        </w:tabs>
        <w:numPr>
          <w:ilvl w:val="1"/>
          <w:numId w:val="899"/>
        </w:numPr>
        <w:rPr>
          <w:rFonts w:ascii="Arial" w:cs="Arial" w:eastAsia="Arial" w:hAnsi="Arial"/>
          <w:sz w:val="18"/>
          <w:szCs w:val="18"/>
          <w:color w:val="auto"/>
        </w:rPr>
      </w:pPr>
      <w:r>
        <w:rPr>
          <w:rFonts w:ascii="Arial" w:cs="Arial" w:eastAsia="Arial" w:hAnsi="Arial"/>
          <w:sz w:val="18"/>
          <w:szCs w:val="18"/>
          <w:color w:val="auto"/>
        </w:rPr>
        <w:t>it becomes unlawful in any applicable jurisdiction for the Ancillary Lender to perform any of its obligations as contemplated by this Agreement or to fund, issue or maintain its participation in its Ancillary Facility (or it becomes unlawful for any Affiliate of the Ancillary Lender for the Ancillary Lender to do so); or</w:t>
      </w:r>
    </w:p>
    <w:p>
      <w:pPr>
        <w:spacing w:after="0" w:line="89" w:lineRule="exact"/>
        <w:rPr>
          <w:rFonts w:ascii="Arial" w:cs="Arial" w:eastAsia="Arial" w:hAnsi="Arial"/>
          <w:sz w:val="18"/>
          <w:szCs w:val="18"/>
          <w:color w:val="auto"/>
        </w:rPr>
      </w:pPr>
    </w:p>
    <w:p>
      <w:pPr>
        <w:ind w:left="1960" w:hanging="655"/>
        <w:spacing w:after="0"/>
        <w:tabs>
          <w:tab w:leader="none" w:pos="1960" w:val="left"/>
        </w:tabs>
        <w:numPr>
          <w:ilvl w:val="1"/>
          <w:numId w:val="899"/>
        </w:numPr>
        <w:rPr>
          <w:rFonts w:ascii="Arial" w:cs="Arial" w:eastAsia="Arial" w:hAnsi="Arial"/>
          <w:sz w:val="18"/>
          <w:szCs w:val="18"/>
          <w:color w:val="auto"/>
        </w:rPr>
      </w:pPr>
      <w:r>
        <w:rPr>
          <w:rFonts w:ascii="Arial" w:cs="Arial" w:eastAsia="Arial" w:hAnsi="Arial"/>
          <w:sz w:val="18"/>
          <w:szCs w:val="18"/>
          <w:color w:val="auto"/>
        </w:rPr>
        <w:t>both:</w:t>
      </w:r>
    </w:p>
    <w:p>
      <w:pPr>
        <w:spacing w:after="0" w:line="130" w:lineRule="exact"/>
        <w:rPr>
          <w:rFonts w:ascii="Arial" w:cs="Arial" w:eastAsia="Arial" w:hAnsi="Arial"/>
          <w:sz w:val="18"/>
          <w:szCs w:val="18"/>
          <w:color w:val="auto"/>
        </w:rPr>
      </w:pPr>
    </w:p>
    <w:p>
      <w:pPr>
        <w:ind w:left="2500" w:hanging="533"/>
        <w:spacing w:after="0"/>
        <w:tabs>
          <w:tab w:leader="none" w:pos="2500" w:val="left"/>
        </w:tabs>
        <w:numPr>
          <w:ilvl w:val="2"/>
          <w:numId w:val="899"/>
        </w:numPr>
        <w:rPr>
          <w:rFonts w:ascii="Arial" w:cs="Arial" w:eastAsia="Arial" w:hAnsi="Arial"/>
          <w:sz w:val="18"/>
          <w:szCs w:val="18"/>
          <w:color w:val="auto"/>
        </w:rPr>
      </w:pPr>
      <w:r>
        <w:rPr>
          <w:rFonts w:ascii="Arial" w:cs="Arial" w:eastAsia="Arial" w:hAnsi="Arial"/>
          <w:sz w:val="18"/>
          <w:szCs w:val="18"/>
          <w:color w:val="auto"/>
        </w:rPr>
        <w:t>the Available Commitments relating to the Revolving Facility; and</w:t>
      </w:r>
    </w:p>
    <w:p>
      <w:pPr>
        <w:spacing w:after="0" w:line="130" w:lineRule="exact"/>
        <w:rPr>
          <w:rFonts w:ascii="Arial" w:cs="Arial" w:eastAsia="Arial" w:hAnsi="Arial"/>
          <w:sz w:val="18"/>
          <w:szCs w:val="18"/>
          <w:color w:val="auto"/>
        </w:rPr>
      </w:pPr>
    </w:p>
    <w:p>
      <w:pPr>
        <w:ind w:left="2500" w:hanging="533"/>
        <w:spacing w:after="0"/>
        <w:tabs>
          <w:tab w:leader="none" w:pos="2500" w:val="left"/>
        </w:tabs>
        <w:numPr>
          <w:ilvl w:val="2"/>
          <w:numId w:val="899"/>
        </w:numPr>
        <w:rPr>
          <w:rFonts w:ascii="Arial" w:cs="Arial" w:eastAsia="Arial" w:hAnsi="Arial"/>
          <w:sz w:val="18"/>
          <w:szCs w:val="18"/>
          <w:color w:val="auto"/>
        </w:rPr>
      </w:pPr>
      <w:r>
        <w:rPr>
          <w:rFonts w:ascii="Arial" w:cs="Arial" w:eastAsia="Arial" w:hAnsi="Arial"/>
          <w:sz w:val="18"/>
          <w:szCs w:val="18"/>
          <w:color w:val="auto"/>
        </w:rPr>
        <w:t>the notice of the demand given by the Ancillary Lender,</w:t>
      </w:r>
    </w:p>
    <w:p>
      <w:pPr>
        <w:spacing w:after="0" w:line="117" w:lineRule="exact"/>
        <w:rPr>
          <w:sz w:val="20"/>
          <w:szCs w:val="20"/>
          <w:color w:val="auto"/>
        </w:rPr>
      </w:pPr>
    </w:p>
    <w:p>
      <w:pPr>
        <w:ind w:left="1980" w:right="60"/>
        <w:spacing w:after="0" w:line="277" w:lineRule="auto"/>
        <w:rPr>
          <w:sz w:val="20"/>
          <w:szCs w:val="20"/>
          <w:color w:val="auto"/>
        </w:rPr>
      </w:pPr>
      <w:r>
        <w:rPr>
          <w:rFonts w:ascii="Arial" w:cs="Arial" w:eastAsia="Arial" w:hAnsi="Arial"/>
          <w:sz w:val="18"/>
          <w:szCs w:val="18"/>
          <w:color w:val="auto"/>
        </w:rPr>
        <w:t>would not prevent the relevant Borrower funding the repayment of those Ancillary Outstandings in full by way of Revolving Facility Utilisation.</w:t>
      </w:r>
    </w:p>
    <w:p>
      <w:pPr>
        <w:spacing w:after="0" w:line="76" w:lineRule="exact"/>
        <w:rPr>
          <w:sz w:val="20"/>
          <w:szCs w:val="20"/>
          <w:color w:val="auto"/>
        </w:rPr>
      </w:pPr>
    </w:p>
    <w:p>
      <w:pPr>
        <w:ind w:left="1300" w:right="600" w:hanging="535"/>
        <w:spacing w:after="0" w:line="277" w:lineRule="auto"/>
        <w:tabs>
          <w:tab w:leader="none" w:pos="130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If a Revolving Facility Utilisation is made to repay Ancillary Outstandings in full, the relevant Ancillary Commitment shall be reduced to zero.</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Limitation on Ancillary Outstandings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Borrower shall procure that and each Ancillary Lender agrees that:</w:t>
      </w:r>
    </w:p>
    <w:p>
      <w:pPr>
        <w:spacing w:after="0" w:line="131" w:lineRule="exact"/>
        <w:rPr>
          <w:sz w:val="20"/>
          <w:szCs w:val="20"/>
          <w:color w:val="auto"/>
        </w:rPr>
      </w:pPr>
    </w:p>
    <w:p>
      <w:pPr>
        <w:ind w:left="1300" w:right="500" w:hanging="535"/>
        <w:spacing w:after="0" w:line="277" w:lineRule="auto"/>
        <w:tabs>
          <w:tab w:leader="none" w:pos="1300" w:val="left"/>
        </w:tabs>
        <w:numPr>
          <w:ilvl w:val="0"/>
          <w:numId w:val="901"/>
        </w:numPr>
        <w:rPr>
          <w:rFonts w:ascii="Arial" w:cs="Arial" w:eastAsia="Arial" w:hAnsi="Arial"/>
          <w:sz w:val="18"/>
          <w:szCs w:val="18"/>
          <w:color w:val="auto"/>
        </w:rPr>
      </w:pPr>
      <w:r>
        <w:rPr>
          <w:rFonts w:ascii="Arial" w:cs="Arial" w:eastAsia="Arial" w:hAnsi="Arial"/>
          <w:sz w:val="18"/>
          <w:szCs w:val="18"/>
          <w:color w:val="auto"/>
        </w:rPr>
        <w:t>the Ancillary Outstandings under any Ancillary Facility shall not exceed the Ancillary Commitment applicable to that Ancillary Facility; and</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901"/>
        </w:numPr>
        <w:rPr>
          <w:rFonts w:ascii="Arial" w:cs="Arial" w:eastAsia="Arial" w:hAnsi="Arial"/>
          <w:sz w:val="18"/>
          <w:szCs w:val="18"/>
          <w:color w:val="auto"/>
        </w:rPr>
      </w:pPr>
      <w:r>
        <w:rPr>
          <w:rFonts w:ascii="Arial" w:cs="Arial" w:eastAsia="Arial" w:hAnsi="Arial"/>
          <w:sz w:val="18"/>
          <w:szCs w:val="18"/>
          <w:color w:val="auto"/>
        </w:rPr>
        <w:t>in relation to a Multi-account Overdraft:</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901"/>
        </w:numPr>
        <w:rPr>
          <w:rFonts w:ascii="Arial" w:cs="Arial" w:eastAsia="Arial" w:hAnsi="Arial"/>
          <w:sz w:val="17"/>
          <w:szCs w:val="17"/>
          <w:color w:val="auto"/>
        </w:rPr>
      </w:pPr>
      <w:r>
        <w:rPr>
          <w:rFonts w:ascii="Arial" w:cs="Arial" w:eastAsia="Arial" w:hAnsi="Arial"/>
          <w:sz w:val="17"/>
          <w:szCs w:val="17"/>
          <w:color w:val="auto"/>
        </w:rPr>
        <w:t>the Ancillary Outstandings shall not exceed the Designated Net Amount applicable to that Multi-account Overdraft; and</w:t>
      </w:r>
    </w:p>
    <w:p>
      <w:pPr>
        <w:spacing w:after="0" w:line="142" w:lineRule="exact"/>
        <w:rPr>
          <w:rFonts w:ascii="Arial" w:cs="Arial" w:eastAsia="Arial" w:hAnsi="Arial"/>
          <w:sz w:val="17"/>
          <w:szCs w:val="17"/>
          <w:color w:val="auto"/>
        </w:rPr>
      </w:pPr>
    </w:p>
    <w:p>
      <w:pPr>
        <w:ind w:left="1960" w:hanging="655"/>
        <w:spacing w:after="0"/>
        <w:tabs>
          <w:tab w:leader="none" w:pos="1960" w:val="left"/>
        </w:tabs>
        <w:numPr>
          <w:ilvl w:val="1"/>
          <w:numId w:val="901"/>
        </w:numPr>
        <w:rPr>
          <w:rFonts w:ascii="Arial" w:cs="Arial" w:eastAsia="Arial" w:hAnsi="Arial"/>
          <w:sz w:val="17"/>
          <w:szCs w:val="17"/>
          <w:color w:val="auto"/>
        </w:rPr>
      </w:pPr>
      <w:r>
        <w:rPr>
          <w:rFonts w:ascii="Arial" w:cs="Arial" w:eastAsia="Arial" w:hAnsi="Arial"/>
          <w:sz w:val="17"/>
          <w:szCs w:val="17"/>
          <w:color w:val="auto"/>
        </w:rPr>
        <w:t>the Gross Outstandings shall not exceed the Designated Gross Amount applicable to that Multi-account Overdraft.</w:t>
      </w:r>
    </w:p>
    <w:p>
      <w:pPr>
        <w:spacing w:after="0" w:line="169"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56" w:name="page657"/>
    <w:bookmarkEnd w:id="656"/>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6.6</w:t>
      </w:r>
      <w:r>
        <w:rPr>
          <w:sz w:val="20"/>
          <w:szCs w:val="20"/>
          <w:color w:val="auto"/>
        </w:rPr>
        <w:tab/>
      </w:r>
      <w:r>
        <w:rPr>
          <w:rFonts w:ascii="Arial" w:cs="Arial" w:eastAsia="Arial" w:hAnsi="Arial"/>
          <w:sz w:val="16"/>
          <w:szCs w:val="16"/>
          <w:b w:val="1"/>
          <w:bCs w:val="1"/>
          <w:color w:val="auto"/>
        </w:rPr>
        <w:t>Adjustment for Ancillary Facilities upon acceleration</w:t>
      </w:r>
    </w:p>
    <w:p>
      <w:pPr>
        <w:spacing w:after="0" w:line="135" w:lineRule="exact"/>
        <w:rPr>
          <w:sz w:val="20"/>
          <w:szCs w:val="20"/>
          <w:color w:val="auto"/>
        </w:rPr>
      </w:pPr>
    </w:p>
    <w:p>
      <w:pPr>
        <w:ind w:left="1300" w:hanging="535"/>
        <w:spacing w:after="0"/>
        <w:tabs>
          <w:tab w:leader="none" w:pos="1300" w:val="left"/>
        </w:tabs>
        <w:numPr>
          <w:ilvl w:val="0"/>
          <w:numId w:val="902"/>
        </w:numPr>
        <w:rPr>
          <w:rFonts w:ascii="Arial" w:cs="Arial" w:eastAsia="Arial" w:hAnsi="Arial"/>
          <w:sz w:val="18"/>
          <w:szCs w:val="18"/>
          <w:color w:val="auto"/>
        </w:rPr>
      </w:pPr>
      <w:r>
        <w:rPr>
          <w:rFonts w:ascii="Arial" w:cs="Arial" w:eastAsia="Arial" w:hAnsi="Arial"/>
          <w:sz w:val="18"/>
          <w:szCs w:val="18"/>
          <w:color w:val="auto"/>
        </w:rPr>
        <w:t>In this Clause 6.6:</w:t>
      </w:r>
    </w:p>
    <w:p>
      <w:pPr>
        <w:spacing w:after="0" w:line="113"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Outstandings</w:t>
      </w:r>
      <w:r>
        <w:rPr>
          <w:rFonts w:ascii="Arial" w:cs="Arial" w:eastAsia="Arial" w:hAnsi="Arial"/>
          <w:sz w:val="18"/>
          <w:szCs w:val="18"/>
          <w:color w:val="auto"/>
        </w:rPr>
        <w:t>” means, in relation to a Lender, the aggregate of the equivalent in HK dollars of:</w:t>
      </w:r>
    </w:p>
    <w:p>
      <w:pPr>
        <w:spacing w:after="0" w:line="134" w:lineRule="exact"/>
        <w:rPr>
          <w:rFonts w:ascii="Arial" w:cs="Arial" w:eastAsia="Arial" w:hAnsi="Arial"/>
          <w:sz w:val="18"/>
          <w:szCs w:val="18"/>
          <w:color w:val="auto"/>
        </w:rPr>
      </w:pPr>
    </w:p>
    <w:p>
      <w:pPr>
        <w:ind w:left="1960" w:right="40" w:hanging="655"/>
        <w:spacing w:after="0" w:line="277" w:lineRule="auto"/>
        <w:tabs>
          <w:tab w:leader="none" w:pos="1960" w:val="left"/>
        </w:tabs>
        <w:numPr>
          <w:ilvl w:val="1"/>
          <w:numId w:val="902"/>
        </w:numPr>
        <w:rPr>
          <w:rFonts w:ascii="Arial" w:cs="Arial" w:eastAsia="Arial" w:hAnsi="Arial"/>
          <w:sz w:val="18"/>
          <w:szCs w:val="18"/>
          <w:color w:val="auto"/>
        </w:rPr>
      </w:pPr>
      <w:r>
        <w:rPr>
          <w:rFonts w:ascii="Arial" w:cs="Arial" w:eastAsia="Arial" w:hAnsi="Arial"/>
          <w:sz w:val="18"/>
          <w:szCs w:val="18"/>
          <w:color w:val="auto"/>
        </w:rPr>
        <w:t>its participation in each Revolving Facility Loan then outstanding (together with the aggregate amount of all accrued interest, fees and commission owed to it as a Lender under the Revolving Facility); and</w:t>
      </w:r>
    </w:p>
    <w:p>
      <w:pPr>
        <w:spacing w:after="0" w:line="75" w:lineRule="exact"/>
        <w:rPr>
          <w:rFonts w:ascii="Arial" w:cs="Arial" w:eastAsia="Arial" w:hAnsi="Arial"/>
          <w:sz w:val="18"/>
          <w:szCs w:val="18"/>
          <w:color w:val="auto"/>
        </w:rPr>
      </w:pPr>
    </w:p>
    <w:p>
      <w:pPr>
        <w:ind w:left="1960" w:right="140" w:hanging="655"/>
        <w:spacing w:after="0" w:line="263" w:lineRule="auto"/>
        <w:tabs>
          <w:tab w:leader="none" w:pos="1960" w:val="left"/>
        </w:tabs>
        <w:numPr>
          <w:ilvl w:val="1"/>
          <w:numId w:val="902"/>
        </w:numPr>
        <w:rPr>
          <w:rFonts w:ascii="Arial" w:cs="Arial" w:eastAsia="Arial" w:hAnsi="Arial"/>
          <w:sz w:val="18"/>
          <w:szCs w:val="18"/>
          <w:color w:val="auto"/>
        </w:rPr>
      </w:pPr>
      <w:r>
        <w:rPr>
          <w:rFonts w:ascii="Arial" w:cs="Arial" w:eastAsia="Arial" w:hAnsi="Arial"/>
          <w:sz w:val="18"/>
          <w:szCs w:val="18"/>
          <w:color w:val="auto"/>
        </w:rPr>
        <w:t>if the Lender is also an Ancillary Lender, the Ancillary Outstandings in respect of Ancillary Facilities provided by that Ancillary Lender (or by its Affiliate) (together with the aggregate amount of all accrued interest, fees and commission owed to it (or to its Affiliate) as an Ancillary Lender in respect of the Ancillary Facility); and</w:t>
      </w:r>
    </w:p>
    <w:p>
      <w:pPr>
        <w:spacing w:after="0" w:line="7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Outstandings</w:t>
      </w:r>
      <w:r>
        <w:rPr>
          <w:rFonts w:ascii="Arial" w:cs="Arial" w:eastAsia="Arial" w:hAnsi="Arial"/>
          <w:sz w:val="18"/>
          <w:szCs w:val="18"/>
          <w:color w:val="auto"/>
        </w:rPr>
        <w:t>” means the aggregate of all Revolving Outstandings.</w:t>
      </w:r>
    </w:p>
    <w:p>
      <w:pPr>
        <w:spacing w:after="0" w:line="135" w:lineRule="exact"/>
        <w:rPr>
          <w:sz w:val="20"/>
          <w:szCs w:val="20"/>
          <w:color w:val="auto"/>
        </w:rPr>
      </w:pPr>
    </w:p>
    <w:p>
      <w:pPr>
        <w:ind w:left="1300" w:right="80" w:hanging="535"/>
        <w:spacing w:after="0" w:line="254" w:lineRule="auto"/>
        <w:tabs>
          <w:tab w:leader="none" w:pos="1300" w:val="left"/>
        </w:tabs>
        <w:numPr>
          <w:ilvl w:val="0"/>
          <w:numId w:val="903"/>
        </w:numPr>
        <w:rPr>
          <w:rFonts w:ascii="Arial" w:cs="Arial" w:eastAsia="Arial" w:hAnsi="Arial"/>
          <w:sz w:val="18"/>
          <w:szCs w:val="18"/>
          <w:color w:val="auto"/>
        </w:rPr>
      </w:pPr>
      <w:r>
        <w:rPr>
          <w:rFonts w:ascii="Arial" w:cs="Arial" w:eastAsia="Arial" w:hAnsi="Arial"/>
          <w:sz w:val="18"/>
          <w:szCs w:val="18"/>
          <w:color w:val="auto"/>
        </w:rPr>
        <w:t>If a notice is served under Clause 24.19 (</w:t>
      </w:r>
      <w:r>
        <w:rPr>
          <w:rFonts w:ascii="Arial" w:cs="Arial" w:eastAsia="Arial" w:hAnsi="Arial"/>
          <w:sz w:val="18"/>
          <w:szCs w:val="18"/>
          <w:i w:val="1"/>
          <w:iCs w:val="1"/>
          <w:color w:val="auto"/>
        </w:rPr>
        <w:t>Acceleration</w:t>
      </w:r>
      <w:r>
        <w:rPr>
          <w:rFonts w:ascii="Arial" w:cs="Arial" w:eastAsia="Arial" w:hAnsi="Arial"/>
          <w:sz w:val="18"/>
          <w:szCs w:val="18"/>
          <w:color w:val="auto"/>
        </w:rPr>
        <w:t>) (other than a notice declaring Utilisations to be due on demand), each Lender and each Ancillary Lender shall (subject to paragraph (g) below) promptly adjust (by making or receiving (as the case may be) corresponding transfers of rights and obligations under the Finance Documents relating to Revolving Outstandings) their claims in respect of amounts outstanding to them under the Revolving Facility and each Ancillary Facility to the extent necessary to ensure that after such transfers the Revolving Outstandings of each Lender bear the same proportion to the Total Revolving Outstandings as such Lender’s Revolving Facility Commitment bears to the Total Revolving Facility Commitments, each as at the date the notice is served under Clause 24.19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100" w:lineRule="exact"/>
        <w:rPr>
          <w:rFonts w:ascii="Arial" w:cs="Arial" w:eastAsia="Arial" w:hAnsi="Arial"/>
          <w:sz w:val="18"/>
          <w:szCs w:val="18"/>
          <w:color w:val="auto"/>
        </w:rPr>
      </w:pPr>
    </w:p>
    <w:p>
      <w:pPr>
        <w:ind w:left="1300" w:right="20" w:hanging="535"/>
        <w:spacing w:after="0" w:line="255" w:lineRule="auto"/>
        <w:tabs>
          <w:tab w:leader="none" w:pos="1300" w:val="left"/>
        </w:tabs>
        <w:numPr>
          <w:ilvl w:val="0"/>
          <w:numId w:val="903"/>
        </w:numPr>
        <w:rPr>
          <w:rFonts w:ascii="Arial" w:cs="Arial" w:eastAsia="Arial" w:hAnsi="Arial"/>
          <w:sz w:val="18"/>
          <w:szCs w:val="18"/>
          <w:color w:val="auto"/>
        </w:rPr>
      </w:pPr>
      <w:r>
        <w:rPr>
          <w:rFonts w:ascii="Arial" w:cs="Arial" w:eastAsia="Arial" w:hAnsi="Arial"/>
          <w:sz w:val="18"/>
          <w:szCs w:val="18"/>
          <w:color w:val="auto"/>
        </w:rPr>
        <w:t>If an amount outstanding under an Ancillary Facility is a contingent liability and that contingent liability becomes an actual liability or is reduced to zero after the original adjustment is made under paragraph (b) above, then each Lender and Ancillary Lender will make a further adjustment (by making or receiving (as the case may be) corresponding transfers of rights and obligations under the Finance Documents relating to Revolving Outstandings to the extent necessary) to put themselves in the position they would have been in had the original adjustment been determined by reference to the actual liability or, as the case may be, zero liability and not the contingent liability.</w:t>
      </w:r>
    </w:p>
    <w:p>
      <w:pPr>
        <w:spacing w:after="0" w:line="97" w:lineRule="exact"/>
        <w:rPr>
          <w:rFonts w:ascii="Arial" w:cs="Arial" w:eastAsia="Arial" w:hAnsi="Arial"/>
          <w:sz w:val="18"/>
          <w:szCs w:val="18"/>
          <w:color w:val="auto"/>
        </w:rPr>
      </w:pPr>
    </w:p>
    <w:p>
      <w:pPr>
        <w:ind w:left="1300" w:right="640" w:hanging="535"/>
        <w:spacing w:after="0" w:line="308" w:lineRule="auto"/>
        <w:tabs>
          <w:tab w:leader="none" w:pos="1300" w:val="left"/>
        </w:tabs>
        <w:numPr>
          <w:ilvl w:val="0"/>
          <w:numId w:val="903"/>
        </w:numPr>
        <w:rPr>
          <w:rFonts w:ascii="Arial" w:cs="Arial" w:eastAsia="Arial" w:hAnsi="Arial"/>
          <w:sz w:val="17"/>
          <w:szCs w:val="17"/>
          <w:color w:val="auto"/>
        </w:rPr>
      </w:pPr>
      <w:r>
        <w:rPr>
          <w:rFonts w:ascii="Arial" w:cs="Arial" w:eastAsia="Arial" w:hAnsi="Arial"/>
          <w:sz w:val="17"/>
          <w:szCs w:val="17"/>
          <w:color w:val="auto"/>
        </w:rPr>
        <w:t>Any transfer of rights and obligations relating to Revolving Outstandings made pursuant to this Clause 6.6 shall be made for a purchase price in cash, payable at the time of transfer, in an amount equal to those Revolving Outstandings.</w:t>
      </w:r>
    </w:p>
    <w:p>
      <w:pPr>
        <w:spacing w:after="0" w:line="51" w:lineRule="exact"/>
        <w:rPr>
          <w:rFonts w:ascii="Arial" w:cs="Arial" w:eastAsia="Arial" w:hAnsi="Arial"/>
          <w:sz w:val="17"/>
          <w:szCs w:val="17"/>
          <w:color w:val="auto"/>
        </w:rPr>
      </w:pPr>
    </w:p>
    <w:p>
      <w:pPr>
        <w:ind w:left="1300" w:right="360" w:hanging="535"/>
        <w:spacing w:after="0" w:line="308" w:lineRule="auto"/>
        <w:tabs>
          <w:tab w:leader="none" w:pos="1300" w:val="left"/>
        </w:tabs>
        <w:numPr>
          <w:ilvl w:val="0"/>
          <w:numId w:val="903"/>
        </w:numPr>
        <w:rPr>
          <w:rFonts w:ascii="Arial" w:cs="Arial" w:eastAsia="Arial" w:hAnsi="Arial"/>
          <w:sz w:val="17"/>
          <w:szCs w:val="17"/>
          <w:color w:val="auto"/>
        </w:rPr>
      </w:pPr>
      <w:r>
        <w:rPr>
          <w:rFonts w:ascii="Arial" w:cs="Arial" w:eastAsia="Arial" w:hAnsi="Arial"/>
          <w:sz w:val="17"/>
          <w:szCs w:val="17"/>
          <w:color w:val="auto"/>
        </w:rPr>
        <w:t>Prior to the application of the provisions of paragraph (b) above, an Ancillary Lender that has provided a Multi-account Overdraft shall set off any Available Credit Balance on any account comprised in that Multi-account Overdraft.</w:t>
      </w:r>
    </w:p>
    <w:p>
      <w:pPr>
        <w:spacing w:after="0" w:line="51" w:lineRule="exact"/>
        <w:rPr>
          <w:rFonts w:ascii="Arial" w:cs="Arial" w:eastAsia="Arial" w:hAnsi="Arial"/>
          <w:sz w:val="17"/>
          <w:szCs w:val="17"/>
          <w:color w:val="auto"/>
        </w:rPr>
      </w:pPr>
    </w:p>
    <w:p>
      <w:pPr>
        <w:ind w:left="1300" w:right="520" w:hanging="535"/>
        <w:spacing w:after="0" w:line="277" w:lineRule="auto"/>
        <w:tabs>
          <w:tab w:leader="none" w:pos="1300" w:val="left"/>
        </w:tabs>
        <w:numPr>
          <w:ilvl w:val="0"/>
          <w:numId w:val="903"/>
        </w:numPr>
        <w:rPr>
          <w:rFonts w:ascii="Arial" w:cs="Arial" w:eastAsia="Arial" w:hAnsi="Arial"/>
          <w:sz w:val="18"/>
          <w:szCs w:val="18"/>
          <w:color w:val="auto"/>
        </w:rPr>
      </w:pPr>
      <w:r>
        <w:rPr>
          <w:rFonts w:ascii="Arial" w:cs="Arial" w:eastAsia="Arial" w:hAnsi="Arial"/>
          <w:sz w:val="18"/>
          <w:szCs w:val="18"/>
          <w:color w:val="auto"/>
        </w:rPr>
        <w:t>All calculations to be made pursuant to this Clause 6.6 shall be made by the Agent based upon information provided to it by the Lenders and Ancillary Lenders and the Agent’s Spot Rate of Exchange.</w:t>
      </w:r>
    </w:p>
    <w:p>
      <w:pPr>
        <w:spacing w:after="0" w:line="75" w:lineRule="exact"/>
        <w:rPr>
          <w:rFonts w:ascii="Arial" w:cs="Arial" w:eastAsia="Arial" w:hAnsi="Arial"/>
          <w:sz w:val="18"/>
          <w:szCs w:val="18"/>
          <w:color w:val="auto"/>
        </w:rPr>
      </w:pPr>
    </w:p>
    <w:p>
      <w:pPr>
        <w:ind w:left="1300" w:right="400" w:hanging="535"/>
        <w:spacing w:after="0" w:line="263" w:lineRule="auto"/>
        <w:tabs>
          <w:tab w:leader="none" w:pos="1300" w:val="left"/>
        </w:tabs>
        <w:numPr>
          <w:ilvl w:val="0"/>
          <w:numId w:val="903"/>
        </w:numPr>
        <w:rPr>
          <w:rFonts w:ascii="Arial" w:cs="Arial" w:eastAsia="Arial" w:hAnsi="Arial"/>
          <w:sz w:val="18"/>
          <w:szCs w:val="18"/>
          <w:color w:val="auto"/>
        </w:rPr>
      </w:pPr>
      <w:r>
        <w:rPr>
          <w:rFonts w:ascii="Arial" w:cs="Arial" w:eastAsia="Arial" w:hAnsi="Arial"/>
          <w:sz w:val="18"/>
          <w:szCs w:val="18"/>
          <w:color w:val="auto"/>
        </w:rPr>
        <w:t>This Clause 6.6 shall not oblige any Lender to accept the transfer of a claim relating to an amount outstanding under an Ancillary Facility which is not denominated (pursuant to the relevant Finance Document) in HK dollars for the purpose of any Revolving Facility Loan or in another currency which is acceptable to that Lender.</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color w:val="auto"/>
        </w:rPr>
        <w:t>Information</w:t>
      </w:r>
    </w:p>
    <w:p>
      <w:pPr>
        <w:spacing w:after="0" w:line="121" w:lineRule="exact"/>
        <w:rPr>
          <w:sz w:val="20"/>
          <w:szCs w:val="20"/>
          <w:color w:val="auto"/>
        </w:rPr>
      </w:pPr>
    </w:p>
    <w:p>
      <w:pPr>
        <w:ind w:left="760" w:right="200"/>
        <w:spacing w:after="0" w:line="263" w:lineRule="auto"/>
        <w:rPr>
          <w:sz w:val="20"/>
          <w:szCs w:val="20"/>
          <w:color w:val="auto"/>
        </w:rPr>
      </w:pPr>
      <w:r>
        <w:rPr>
          <w:rFonts w:ascii="Arial" w:cs="Arial" w:eastAsia="Arial" w:hAnsi="Arial"/>
          <w:sz w:val="18"/>
          <w:szCs w:val="18"/>
          <w:color w:val="auto"/>
        </w:rPr>
        <w:t>Each Borrower and each Ancillary Lender shall, promptly upon request by the Agent, supply the Agent with any information relating to the operation of an Ancillary Facility (including the Ancillary Outstandings) as the Agent may reasonably request from time to time. Each Borrower consents to all such information being released to the Agent and the other Finance Parties.</w:t>
      </w:r>
    </w:p>
    <w:p>
      <w:pPr>
        <w:spacing w:after="0" w:line="116"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57" w:name="page658"/>
    <w:bookmarkEnd w:id="657"/>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6.8</w:t>
      </w:r>
      <w:r>
        <w:rPr>
          <w:sz w:val="20"/>
          <w:szCs w:val="20"/>
          <w:color w:val="auto"/>
        </w:rPr>
        <w:tab/>
      </w:r>
      <w:r>
        <w:rPr>
          <w:rFonts w:ascii="Arial" w:cs="Arial" w:eastAsia="Arial" w:hAnsi="Arial"/>
          <w:sz w:val="16"/>
          <w:szCs w:val="16"/>
          <w:b w:val="1"/>
          <w:bCs w:val="1"/>
          <w:color w:val="auto"/>
        </w:rPr>
        <w:t>Affiliates of Lenders as Ancillary Lenders</w:t>
      </w:r>
    </w:p>
    <w:p>
      <w:pPr>
        <w:spacing w:after="0" w:line="135" w:lineRule="exact"/>
        <w:rPr>
          <w:sz w:val="20"/>
          <w:szCs w:val="20"/>
          <w:color w:val="auto"/>
        </w:rPr>
      </w:pPr>
    </w:p>
    <w:p>
      <w:pPr>
        <w:ind w:left="1300" w:right="360" w:hanging="535"/>
        <w:spacing w:after="0" w:line="257" w:lineRule="auto"/>
        <w:tabs>
          <w:tab w:leader="none" w:pos="1300" w:val="left"/>
        </w:tabs>
        <w:numPr>
          <w:ilvl w:val="0"/>
          <w:numId w:val="904"/>
        </w:numPr>
        <w:rPr>
          <w:rFonts w:ascii="Arial" w:cs="Arial" w:eastAsia="Arial" w:hAnsi="Arial"/>
          <w:sz w:val="18"/>
          <w:szCs w:val="18"/>
          <w:color w:val="auto"/>
        </w:rPr>
      </w:pPr>
      <w:r>
        <w:rPr>
          <w:rFonts w:ascii="Arial" w:cs="Arial" w:eastAsia="Arial" w:hAnsi="Arial"/>
          <w:sz w:val="18"/>
          <w:szCs w:val="18"/>
          <w:color w:val="auto"/>
        </w:rPr>
        <w:t>Subject to the terms of this Agreement, an Affiliate of a Lender may become an Ancillary Lender. In such case, the Lender and its Affiliate shall be treated as a single Lender whose Revolving Facility Commitment is the amount set out opposite the relevant Lender’s name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and/or the amount of any Revolving Facility Commitment transferred to or assumed by that Lender under this Agreement, to the extent (in each case) not cancelled, reduced or transferred by it under this Agreement.</w:t>
      </w:r>
    </w:p>
    <w:p>
      <w:pPr>
        <w:spacing w:after="0" w:line="93" w:lineRule="exact"/>
        <w:rPr>
          <w:rFonts w:ascii="Arial" w:cs="Arial" w:eastAsia="Arial" w:hAnsi="Arial"/>
          <w:sz w:val="18"/>
          <w:szCs w:val="18"/>
          <w:color w:val="auto"/>
        </w:rPr>
      </w:pPr>
    </w:p>
    <w:p>
      <w:pPr>
        <w:ind w:left="1300" w:right="600" w:hanging="535"/>
        <w:spacing w:after="0" w:line="277" w:lineRule="auto"/>
        <w:tabs>
          <w:tab w:leader="none" w:pos="1300" w:val="left"/>
        </w:tabs>
        <w:numPr>
          <w:ilvl w:val="0"/>
          <w:numId w:val="904"/>
        </w:numPr>
        <w:rPr>
          <w:rFonts w:ascii="Arial" w:cs="Arial" w:eastAsia="Arial" w:hAnsi="Arial"/>
          <w:sz w:val="18"/>
          <w:szCs w:val="18"/>
          <w:color w:val="auto"/>
        </w:rPr>
      </w:pPr>
      <w:r>
        <w:rPr>
          <w:rFonts w:ascii="Arial" w:cs="Arial" w:eastAsia="Arial" w:hAnsi="Arial"/>
          <w:sz w:val="18"/>
          <w:szCs w:val="18"/>
          <w:color w:val="auto"/>
        </w:rPr>
        <w:t>The Borrower shall specify any relevant Affiliate of a Lender in any notice delivered by the Borrower to the Agent pursuant to paragraph (b)(i) of Clause 6.2 (</w:t>
      </w:r>
      <w:r>
        <w:rPr>
          <w:rFonts w:ascii="Arial" w:cs="Arial" w:eastAsia="Arial" w:hAnsi="Arial"/>
          <w:sz w:val="18"/>
          <w:szCs w:val="18"/>
          <w:i w:val="1"/>
          <w:iCs w:val="1"/>
          <w:color w:val="auto"/>
        </w:rPr>
        <w:t>Availability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300" w:right="180" w:hanging="535"/>
        <w:spacing w:after="0" w:line="311" w:lineRule="auto"/>
        <w:tabs>
          <w:tab w:leader="none" w:pos="1300" w:val="left"/>
        </w:tabs>
        <w:numPr>
          <w:ilvl w:val="0"/>
          <w:numId w:val="904"/>
        </w:numPr>
        <w:rPr>
          <w:rFonts w:ascii="Arial" w:cs="Arial" w:eastAsia="Arial" w:hAnsi="Arial"/>
          <w:sz w:val="16"/>
          <w:szCs w:val="16"/>
          <w:color w:val="auto"/>
        </w:rPr>
      </w:pPr>
      <w:r>
        <w:rPr>
          <w:rFonts w:ascii="Arial" w:cs="Arial" w:eastAsia="Arial" w:hAnsi="Arial"/>
          <w:sz w:val="16"/>
          <w:szCs w:val="16"/>
          <w:color w:val="auto"/>
        </w:rPr>
        <w:t>An Affiliate of a Lender which becomes an Ancillary Lender shall accede to the Intercreditor Agreement as an Ancillary Lender and any person which so accedes to the Intercreditor Agreement shall, at the same time, become a Party as an Ancillary Lender in accordance with clause 25.14 (</w:t>
      </w:r>
      <w:r>
        <w:rPr>
          <w:rFonts w:ascii="Arial" w:cs="Arial" w:eastAsia="Arial" w:hAnsi="Arial"/>
          <w:sz w:val="16"/>
          <w:szCs w:val="16"/>
          <w:i w:val="1"/>
          <w:iCs w:val="1"/>
          <w:color w:val="auto"/>
        </w:rPr>
        <w:t>Creditor/Creditor Representative Accession Undertaking</w:t>
      </w:r>
      <w:r>
        <w:rPr>
          <w:rFonts w:ascii="Arial" w:cs="Arial" w:eastAsia="Arial" w:hAnsi="Arial"/>
          <w:sz w:val="16"/>
          <w:szCs w:val="16"/>
          <w:color w:val="auto"/>
        </w:rPr>
        <w:t>) of the Intercreditor Agreement.</w:t>
      </w:r>
    </w:p>
    <w:p>
      <w:pPr>
        <w:spacing w:after="0" w:line="54" w:lineRule="exact"/>
        <w:rPr>
          <w:rFonts w:ascii="Arial" w:cs="Arial" w:eastAsia="Arial" w:hAnsi="Arial"/>
          <w:sz w:val="16"/>
          <w:szCs w:val="16"/>
          <w:color w:val="auto"/>
        </w:rPr>
      </w:pPr>
    </w:p>
    <w:p>
      <w:pPr>
        <w:ind w:left="1300" w:right="80" w:hanging="535"/>
        <w:spacing w:after="0" w:line="277" w:lineRule="auto"/>
        <w:tabs>
          <w:tab w:leader="none" w:pos="1300" w:val="left"/>
        </w:tabs>
        <w:numPr>
          <w:ilvl w:val="0"/>
          <w:numId w:val="904"/>
        </w:numPr>
        <w:rPr>
          <w:rFonts w:ascii="Arial" w:cs="Arial" w:eastAsia="Arial" w:hAnsi="Arial"/>
          <w:sz w:val="18"/>
          <w:szCs w:val="18"/>
          <w:color w:val="auto"/>
        </w:rPr>
      </w:pPr>
      <w:r>
        <w:rPr>
          <w:rFonts w:ascii="Arial" w:cs="Arial" w:eastAsia="Arial" w:hAnsi="Arial"/>
          <w:sz w:val="18"/>
          <w:szCs w:val="18"/>
          <w:color w:val="auto"/>
        </w:rPr>
        <w:t>If a Lender assigns all of its rights and benefits or transfers all of its rights and obligations to a New Lender, its Affiliate shall cease to have any obligations under this Agreement or any Ancillary Document.</w:t>
      </w:r>
    </w:p>
    <w:p>
      <w:pPr>
        <w:spacing w:after="0" w:line="75" w:lineRule="exact"/>
        <w:rPr>
          <w:rFonts w:ascii="Arial" w:cs="Arial" w:eastAsia="Arial" w:hAnsi="Arial"/>
          <w:sz w:val="18"/>
          <w:szCs w:val="18"/>
          <w:color w:val="auto"/>
        </w:rPr>
      </w:pPr>
    </w:p>
    <w:p>
      <w:pPr>
        <w:ind w:left="1300" w:right="500" w:hanging="535"/>
        <w:spacing w:after="0" w:line="263" w:lineRule="auto"/>
        <w:tabs>
          <w:tab w:leader="none" w:pos="1300" w:val="left"/>
        </w:tabs>
        <w:numPr>
          <w:ilvl w:val="0"/>
          <w:numId w:val="904"/>
        </w:numPr>
        <w:rPr>
          <w:rFonts w:ascii="Arial" w:cs="Arial" w:eastAsia="Arial" w:hAnsi="Arial"/>
          <w:sz w:val="18"/>
          <w:szCs w:val="18"/>
          <w:color w:val="auto"/>
        </w:rPr>
      </w:pPr>
      <w:r>
        <w:rPr>
          <w:rFonts w:ascii="Arial" w:cs="Arial" w:eastAsia="Arial" w:hAnsi="Arial"/>
          <w:sz w:val="18"/>
          <w:szCs w:val="18"/>
          <w:color w:val="auto"/>
        </w:rPr>
        <w:t>Where this Agreement or any other Finance Document imposes an obligation on an Ancillary Lender and the relevant Ancillary Lender is an Affiliate of a Lender which is not a party to that document, the relevant Lender shall ensure that the obligation is performed by its Affiliate.</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Revolving Facility Commitment amounts</w:t>
      </w:r>
    </w:p>
    <w:p>
      <w:pPr>
        <w:spacing w:after="0" w:line="121" w:lineRule="exact"/>
        <w:rPr>
          <w:sz w:val="20"/>
          <w:szCs w:val="20"/>
          <w:color w:val="auto"/>
        </w:rPr>
      </w:pPr>
    </w:p>
    <w:p>
      <w:pPr>
        <w:ind w:left="760" w:right="240"/>
        <w:spacing w:after="0" w:line="277" w:lineRule="auto"/>
        <w:rPr>
          <w:sz w:val="20"/>
          <w:szCs w:val="20"/>
          <w:color w:val="auto"/>
        </w:rPr>
      </w:pPr>
      <w:r>
        <w:rPr>
          <w:rFonts w:ascii="Arial" w:cs="Arial" w:eastAsia="Arial" w:hAnsi="Arial"/>
          <w:sz w:val="18"/>
          <w:szCs w:val="18"/>
          <w:color w:val="auto"/>
        </w:rPr>
        <w:t>Notwithstanding any other term of this Agreement, each Lender shall ensure that at all times its Revolving Facility Commitment is not less than the aggregate of:</w:t>
      </w:r>
    </w:p>
    <w:p>
      <w:pPr>
        <w:spacing w:after="0" w:line="76" w:lineRule="exact"/>
        <w:rPr>
          <w:sz w:val="20"/>
          <w:szCs w:val="20"/>
          <w:color w:val="auto"/>
        </w:rPr>
      </w:pPr>
    </w:p>
    <w:p>
      <w:pPr>
        <w:ind w:left="1300" w:hanging="535"/>
        <w:spacing w:after="0"/>
        <w:tabs>
          <w:tab w:leader="none" w:pos="1300" w:val="left"/>
        </w:tabs>
        <w:numPr>
          <w:ilvl w:val="0"/>
          <w:numId w:val="905"/>
        </w:numPr>
        <w:rPr>
          <w:rFonts w:ascii="Arial" w:cs="Arial" w:eastAsia="Arial" w:hAnsi="Arial"/>
          <w:sz w:val="18"/>
          <w:szCs w:val="18"/>
          <w:color w:val="auto"/>
        </w:rPr>
      </w:pPr>
      <w:r>
        <w:rPr>
          <w:rFonts w:ascii="Arial" w:cs="Arial" w:eastAsia="Arial" w:hAnsi="Arial"/>
          <w:sz w:val="18"/>
          <w:szCs w:val="18"/>
          <w:color w:val="auto"/>
        </w:rPr>
        <w:t>its Ancillary Commitment; and</w:t>
      </w:r>
    </w:p>
    <w:p>
      <w:pPr>
        <w:spacing w:after="0" w:line="130" w:lineRule="exact"/>
        <w:rPr>
          <w:rFonts w:ascii="Arial" w:cs="Arial" w:eastAsia="Arial" w:hAnsi="Arial"/>
          <w:sz w:val="18"/>
          <w:szCs w:val="18"/>
          <w:color w:val="auto"/>
        </w:rPr>
      </w:pPr>
    </w:p>
    <w:p>
      <w:pPr>
        <w:ind w:left="1300" w:hanging="535"/>
        <w:spacing w:after="0"/>
        <w:tabs>
          <w:tab w:leader="none" w:pos="1300" w:val="left"/>
        </w:tabs>
        <w:numPr>
          <w:ilvl w:val="0"/>
          <w:numId w:val="905"/>
        </w:numPr>
        <w:rPr>
          <w:rFonts w:ascii="Arial" w:cs="Arial" w:eastAsia="Arial" w:hAnsi="Arial"/>
          <w:sz w:val="18"/>
          <w:szCs w:val="18"/>
          <w:color w:val="auto"/>
        </w:rPr>
      </w:pPr>
      <w:r>
        <w:rPr>
          <w:rFonts w:ascii="Arial" w:cs="Arial" w:eastAsia="Arial" w:hAnsi="Arial"/>
          <w:sz w:val="18"/>
          <w:szCs w:val="18"/>
          <w:color w:val="auto"/>
        </w:rPr>
        <w:t>the Ancillary Commitment(s) of its Affiliate(s).</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Amendments and waivers – Ancillary Facilities</w:t>
      </w:r>
    </w:p>
    <w:p>
      <w:pPr>
        <w:spacing w:after="0" w:line="121" w:lineRule="exact"/>
        <w:rPr>
          <w:sz w:val="20"/>
          <w:szCs w:val="20"/>
          <w:color w:val="auto"/>
        </w:rPr>
      </w:pPr>
    </w:p>
    <w:p>
      <w:pPr>
        <w:ind w:left="760" w:right="180"/>
        <w:spacing w:after="0" w:line="311" w:lineRule="auto"/>
        <w:rPr>
          <w:sz w:val="20"/>
          <w:szCs w:val="20"/>
          <w:color w:val="auto"/>
        </w:rPr>
      </w:pPr>
      <w:r>
        <w:rPr>
          <w:rFonts w:ascii="Arial" w:cs="Arial" w:eastAsia="Arial" w:hAnsi="Arial"/>
          <w:sz w:val="16"/>
          <w:szCs w:val="16"/>
          <w:color w:val="auto"/>
        </w:rPr>
        <w:t>No amendment or waiver of a term of any Ancillary Facility shall require the consent of any Finance Party other than the relevant Ancillary Lender unless such amendment or waiver itself relates to or gives rise to a matter which would require an amendment of or under this Agreement (including, for the avoidance of doubt, under this Clause 6). In such a case, Clause 37 (</w:t>
      </w:r>
      <w:r>
        <w:rPr>
          <w:rFonts w:ascii="Arial" w:cs="Arial" w:eastAsia="Arial" w:hAnsi="Arial"/>
          <w:sz w:val="16"/>
          <w:szCs w:val="16"/>
          <w:i w:val="1"/>
          <w:iCs w:val="1"/>
          <w:color w:val="auto"/>
        </w:rPr>
        <w:t>Amendments and waivers</w:t>
      </w:r>
      <w:r>
        <w:rPr>
          <w:rFonts w:ascii="Arial" w:cs="Arial" w:eastAsia="Arial" w:hAnsi="Arial"/>
          <w:sz w:val="16"/>
          <w:szCs w:val="16"/>
          <w:color w:val="auto"/>
        </w:rPr>
        <w:t>) will apply.</w:t>
      </w:r>
    </w:p>
    <w:p>
      <w:pPr>
        <w:spacing w:after="0" w:line="81"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58" w:name="page659"/>
    <w:bookmarkEnd w:id="65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REPAYMENT, PREPAYMENT AND CANCELLATION</w:t>
      </w:r>
    </w:p>
    <w:p>
      <w:pPr>
        <w:spacing w:after="0" w:line="234" w:lineRule="exact"/>
        <w:rPr>
          <w:sz w:val="20"/>
          <w:szCs w:val="20"/>
          <w:color w:val="auto"/>
        </w:rPr>
      </w:pPr>
    </w:p>
    <w:p>
      <w:pPr>
        <w:ind w:left="764" w:hanging="764"/>
        <w:spacing w:after="0"/>
        <w:tabs>
          <w:tab w:leader="none" w:pos="764" w:val="left"/>
        </w:tabs>
        <w:numPr>
          <w:ilvl w:val="0"/>
          <w:numId w:val="906"/>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Facility A</w:t>
      </w:r>
    </w:p>
    <w:p>
      <w:pPr>
        <w:spacing w:after="0" w:line="121" w:lineRule="exact"/>
        <w:rPr>
          <w:sz w:val="20"/>
          <w:szCs w:val="20"/>
          <w:color w:val="auto"/>
        </w:rPr>
      </w:pPr>
    </w:p>
    <w:p>
      <w:pPr>
        <w:ind w:left="764" w:right="180"/>
        <w:spacing w:after="0" w:line="308" w:lineRule="auto"/>
        <w:rPr>
          <w:sz w:val="20"/>
          <w:szCs w:val="20"/>
          <w:color w:val="auto"/>
        </w:rPr>
      </w:pPr>
      <w:r>
        <w:rPr>
          <w:rFonts w:ascii="Arial" w:cs="Arial" w:eastAsia="Arial" w:hAnsi="Arial"/>
          <w:sz w:val="17"/>
          <w:szCs w:val="17"/>
          <w:color w:val="auto"/>
        </w:rPr>
        <w:t>Subject to clause 3.2 (</w:t>
      </w:r>
      <w:r>
        <w:rPr>
          <w:rFonts w:ascii="Arial" w:cs="Arial" w:eastAsia="Arial" w:hAnsi="Arial"/>
          <w:sz w:val="17"/>
          <w:szCs w:val="17"/>
          <w:i w:val="1"/>
          <w:iCs w:val="1"/>
          <w:color w:val="auto"/>
        </w:rPr>
        <w:t>Rolled Loan – restrictions</w:t>
      </w:r>
      <w:r>
        <w:rPr>
          <w:rFonts w:ascii="Arial" w:cs="Arial" w:eastAsia="Arial" w:hAnsi="Arial"/>
          <w:sz w:val="17"/>
          <w:szCs w:val="17"/>
          <w:color w:val="auto"/>
        </w:rPr>
        <w:t>) of the Intercreditor Agreement, the Borrower shall repay the Facility A Loan in full on the Termination Date applicable to Facility A. The Borrower may not reborrow any part of the Facility A Loan that is repaid.</w:t>
      </w:r>
    </w:p>
    <w:p>
      <w:pPr>
        <w:spacing w:after="0" w:line="29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Revolving Facility</w:t>
      </w:r>
    </w:p>
    <w:p>
      <w:pPr>
        <w:spacing w:after="0" w:line="135" w:lineRule="exact"/>
        <w:rPr>
          <w:sz w:val="20"/>
          <w:szCs w:val="20"/>
          <w:color w:val="auto"/>
        </w:rPr>
      </w:pPr>
    </w:p>
    <w:p>
      <w:pPr>
        <w:ind w:left="1304" w:hanging="535"/>
        <w:spacing w:after="0"/>
        <w:tabs>
          <w:tab w:leader="none" w:pos="1304" w:val="left"/>
        </w:tabs>
        <w:numPr>
          <w:ilvl w:val="0"/>
          <w:numId w:val="907"/>
        </w:numPr>
        <w:rPr>
          <w:rFonts w:ascii="Arial" w:cs="Arial" w:eastAsia="Arial" w:hAnsi="Arial"/>
          <w:sz w:val="18"/>
          <w:szCs w:val="18"/>
          <w:color w:val="auto"/>
        </w:rPr>
      </w:pPr>
      <w:r>
        <w:rPr>
          <w:rFonts w:ascii="Arial" w:cs="Arial" w:eastAsia="Arial" w:hAnsi="Arial"/>
          <w:sz w:val="18"/>
          <w:szCs w:val="18"/>
          <w:color w:val="auto"/>
        </w:rPr>
        <w:t>The Borrower shall repay each Revolving Facility Loan in full on the last day of its Interest Period.</w:t>
      </w:r>
    </w:p>
    <w:p>
      <w:pPr>
        <w:spacing w:after="0" w:line="130" w:lineRule="exact"/>
        <w:rPr>
          <w:rFonts w:ascii="Arial" w:cs="Arial" w:eastAsia="Arial" w:hAnsi="Arial"/>
          <w:sz w:val="18"/>
          <w:szCs w:val="18"/>
          <w:color w:val="auto"/>
        </w:rPr>
      </w:pPr>
    </w:p>
    <w:p>
      <w:pPr>
        <w:ind w:left="1304" w:right="240" w:hanging="535"/>
        <w:spacing w:after="0" w:line="277" w:lineRule="auto"/>
        <w:tabs>
          <w:tab w:leader="none" w:pos="1304" w:val="left"/>
        </w:tabs>
        <w:numPr>
          <w:ilvl w:val="0"/>
          <w:numId w:val="907"/>
        </w:numPr>
        <w:rPr>
          <w:rFonts w:ascii="Arial" w:cs="Arial" w:eastAsia="Arial" w:hAnsi="Arial"/>
          <w:sz w:val="18"/>
          <w:szCs w:val="18"/>
          <w:color w:val="auto"/>
        </w:rPr>
      </w:pPr>
      <w:r>
        <w:rPr>
          <w:rFonts w:ascii="Arial" w:cs="Arial" w:eastAsia="Arial" w:hAnsi="Arial"/>
          <w:sz w:val="18"/>
          <w:szCs w:val="18"/>
          <w:color w:val="auto"/>
        </w:rPr>
        <w:t>Without prejudice to the Borrower’s obligations under paragraph (a) above, if one or more Revolving Facility Loans are to be made available to the Borrower:</w:t>
      </w:r>
    </w:p>
    <w:p>
      <w:pPr>
        <w:spacing w:after="0" w:line="75" w:lineRule="exact"/>
        <w:rPr>
          <w:rFonts w:ascii="Arial" w:cs="Arial" w:eastAsia="Arial" w:hAnsi="Arial"/>
          <w:sz w:val="18"/>
          <w:szCs w:val="18"/>
          <w:color w:val="auto"/>
        </w:rPr>
      </w:pPr>
    </w:p>
    <w:p>
      <w:pPr>
        <w:ind w:left="1964" w:hanging="655"/>
        <w:spacing w:after="0"/>
        <w:tabs>
          <w:tab w:leader="none" w:pos="1964" w:val="left"/>
        </w:tabs>
        <w:numPr>
          <w:ilvl w:val="1"/>
          <w:numId w:val="907"/>
        </w:numPr>
        <w:rPr>
          <w:rFonts w:ascii="Arial" w:cs="Arial" w:eastAsia="Arial" w:hAnsi="Arial"/>
          <w:sz w:val="18"/>
          <w:szCs w:val="18"/>
          <w:color w:val="auto"/>
        </w:rPr>
      </w:pPr>
      <w:r>
        <w:rPr>
          <w:rFonts w:ascii="Arial" w:cs="Arial" w:eastAsia="Arial" w:hAnsi="Arial"/>
          <w:sz w:val="18"/>
          <w:szCs w:val="18"/>
          <w:color w:val="auto"/>
        </w:rPr>
        <w:t>on the same day that a maturing Revolving Facility Loan is due to be repaid by the Borrower; and</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907"/>
        </w:numPr>
        <w:rPr>
          <w:rFonts w:ascii="Arial" w:cs="Arial" w:eastAsia="Arial" w:hAnsi="Arial"/>
          <w:sz w:val="18"/>
          <w:szCs w:val="18"/>
          <w:color w:val="auto"/>
        </w:rPr>
      </w:pPr>
      <w:r>
        <w:rPr>
          <w:rFonts w:ascii="Arial" w:cs="Arial" w:eastAsia="Arial" w:hAnsi="Arial"/>
          <w:sz w:val="18"/>
          <w:szCs w:val="18"/>
          <w:color w:val="auto"/>
        </w:rPr>
        <w:t>in whole or in part for the purpose of refinancing the maturing Revolving Facility Loan,</w:t>
      </w:r>
    </w:p>
    <w:p>
      <w:pPr>
        <w:spacing w:after="0" w:line="117" w:lineRule="exact"/>
        <w:rPr>
          <w:sz w:val="20"/>
          <w:szCs w:val="20"/>
          <w:color w:val="auto"/>
        </w:rPr>
      </w:pPr>
    </w:p>
    <w:p>
      <w:pPr>
        <w:ind w:left="1324"/>
        <w:spacing w:after="0"/>
        <w:rPr>
          <w:sz w:val="20"/>
          <w:szCs w:val="20"/>
          <w:color w:val="auto"/>
        </w:rPr>
      </w:pPr>
      <w:r>
        <w:rPr>
          <w:rFonts w:ascii="Arial" w:cs="Arial" w:eastAsia="Arial" w:hAnsi="Arial"/>
          <w:sz w:val="17"/>
          <w:szCs w:val="17"/>
          <w:color w:val="auto"/>
        </w:rPr>
        <w:t>the aggregate amount of the new Revolving Facility Loans shall be treated as if applied in or towards repayment of the maturing</w:t>
      </w:r>
    </w:p>
    <w:p>
      <w:pPr>
        <w:spacing w:after="0" w:line="35"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Revolving Facility Loan so that:</w:t>
      </w:r>
    </w:p>
    <w:p>
      <w:pPr>
        <w:spacing w:after="0" w:line="116" w:lineRule="exact"/>
        <w:rPr>
          <w:sz w:val="20"/>
          <w:szCs w:val="20"/>
          <w:color w:val="auto"/>
        </w:rPr>
      </w:pPr>
    </w:p>
    <w:p>
      <w:pPr>
        <w:ind w:left="2504" w:right="200" w:hanging="533"/>
        <w:spacing w:after="0" w:line="277" w:lineRule="auto"/>
        <w:tabs>
          <w:tab w:leader="none" w:pos="2504" w:val="left"/>
        </w:tabs>
        <w:numPr>
          <w:ilvl w:val="0"/>
          <w:numId w:val="908"/>
        </w:numPr>
        <w:rPr>
          <w:rFonts w:ascii="Arial" w:cs="Arial" w:eastAsia="Arial" w:hAnsi="Arial"/>
          <w:sz w:val="18"/>
          <w:szCs w:val="18"/>
          <w:color w:val="auto"/>
        </w:rPr>
      </w:pPr>
      <w:r>
        <w:rPr>
          <w:rFonts w:ascii="Arial" w:cs="Arial" w:eastAsia="Arial" w:hAnsi="Arial"/>
          <w:sz w:val="18"/>
          <w:szCs w:val="18"/>
          <w:color w:val="auto"/>
        </w:rPr>
        <w:t>if the amount of the maturing Revolving Facility Loan exceeds the aggregate amount of the new Revolving Facility Loans:</w:t>
      </w:r>
    </w:p>
    <w:p>
      <w:pPr>
        <w:spacing w:after="0" w:line="75" w:lineRule="exact"/>
        <w:rPr>
          <w:rFonts w:ascii="Arial" w:cs="Arial" w:eastAsia="Arial" w:hAnsi="Arial"/>
          <w:sz w:val="18"/>
          <w:szCs w:val="18"/>
          <w:color w:val="auto"/>
        </w:rPr>
      </w:pPr>
    </w:p>
    <w:p>
      <w:pPr>
        <w:ind w:left="3164" w:right="260" w:hanging="640"/>
        <w:spacing w:after="0" w:line="277" w:lineRule="auto"/>
        <w:tabs>
          <w:tab w:leader="none" w:pos="3164" w:val="left"/>
        </w:tabs>
        <w:numPr>
          <w:ilvl w:val="1"/>
          <w:numId w:val="908"/>
        </w:numPr>
        <w:rPr>
          <w:rFonts w:ascii="Arial" w:cs="Arial" w:eastAsia="Arial" w:hAnsi="Arial"/>
          <w:sz w:val="18"/>
          <w:szCs w:val="18"/>
          <w:color w:val="auto"/>
        </w:rPr>
      </w:pPr>
      <w:r>
        <w:rPr>
          <w:rFonts w:ascii="Arial" w:cs="Arial" w:eastAsia="Arial" w:hAnsi="Arial"/>
          <w:sz w:val="18"/>
          <w:szCs w:val="18"/>
          <w:color w:val="auto"/>
        </w:rPr>
        <w:t>the Borrower will only be required to pay an amount in cash in the relevant currency equal to that excess; and</w:t>
      </w:r>
    </w:p>
    <w:p>
      <w:pPr>
        <w:spacing w:after="0" w:line="75" w:lineRule="exact"/>
        <w:rPr>
          <w:rFonts w:ascii="Arial" w:cs="Arial" w:eastAsia="Arial" w:hAnsi="Arial"/>
          <w:sz w:val="18"/>
          <w:szCs w:val="18"/>
          <w:color w:val="auto"/>
        </w:rPr>
      </w:pPr>
    </w:p>
    <w:p>
      <w:pPr>
        <w:ind w:left="3164" w:right="80" w:hanging="640"/>
        <w:spacing w:after="0" w:line="259" w:lineRule="auto"/>
        <w:tabs>
          <w:tab w:leader="none" w:pos="3164" w:val="left"/>
        </w:tabs>
        <w:numPr>
          <w:ilvl w:val="1"/>
          <w:numId w:val="908"/>
        </w:numPr>
        <w:rPr>
          <w:rFonts w:ascii="Arial" w:cs="Arial" w:eastAsia="Arial" w:hAnsi="Arial"/>
          <w:sz w:val="18"/>
          <w:szCs w:val="18"/>
          <w:color w:val="auto"/>
        </w:rPr>
      </w:pPr>
      <w:r>
        <w:rPr>
          <w:rFonts w:ascii="Arial" w:cs="Arial" w:eastAsia="Arial" w:hAnsi="Arial"/>
          <w:sz w:val="18"/>
          <w:szCs w:val="18"/>
          <w:color w:val="auto"/>
        </w:rPr>
        <w:t>each Lender’s participation (if any) in the new Revolving Facility Loans shall be treated as having been made available and applied by the Borrower in or towards repayment of that Lender’s participation (if any) in the maturing Revolving Facility Loan and that Lender will not be required to make its participation in the new Revolving Facility Loans available in cash; and</w:t>
      </w:r>
    </w:p>
    <w:p>
      <w:pPr>
        <w:spacing w:after="0" w:line="92" w:lineRule="exact"/>
        <w:rPr>
          <w:rFonts w:ascii="Arial" w:cs="Arial" w:eastAsia="Arial" w:hAnsi="Arial"/>
          <w:sz w:val="18"/>
          <w:szCs w:val="18"/>
          <w:color w:val="auto"/>
        </w:rPr>
      </w:pPr>
    </w:p>
    <w:p>
      <w:pPr>
        <w:ind w:left="2504" w:right="540" w:hanging="533"/>
        <w:spacing w:after="0" w:line="277" w:lineRule="auto"/>
        <w:tabs>
          <w:tab w:leader="none" w:pos="2504" w:val="left"/>
        </w:tabs>
        <w:numPr>
          <w:ilvl w:val="0"/>
          <w:numId w:val="908"/>
        </w:numPr>
        <w:rPr>
          <w:rFonts w:ascii="Arial" w:cs="Arial" w:eastAsia="Arial" w:hAnsi="Arial"/>
          <w:sz w:val="18"/>
          <w:szCs w:val="18"/>
          <w:color w:val="auto"/>
        </w:rPr>
      </w:pPr>
      <w:r>
        <w:rPr>
          <w:rFonts w:ascii="Arial" w:cs="Arial" w:eastAsia="Arial" w:hAnsi="Arial"/>
          <w:sz w:val="18"/>
          <w:szCs w:val="18"/>
          <w:color w:val="auto"/>
        </w:rPr>
        <w:t>if the amount of the maturing Revolving Facility Loan is equal to or less than the aggregate amount of the new Revolving Facility Loans:</w:t>
      </w:r>
    </w:p>
    <w:p>
      <w:pPr>
        <w:spacing w:after="0" w:line="75" w:lineRule="exact"/>
        <w:rPr>
          <w:rFonts w:ascii="Arial" w:cs="Arial" w:eastAsia="Arial" w:hAnsi="Arial"/>
          <w:sz w:val="18"/>
          <w:szCs w:val="18"/>
          <w:color w:val="auto"/>
        </w:rPr>
      </w:pPr>
    </w:p>
    <w:p>
      <w:pPr>
        <w:ind w:left="3164" w:hanging="640"/>
        <w:spacing w:after="0"/>
        <w:tabs>
          <w:tab w:leader="none" w:pos="3164" w:val="left"/>
        </w:tabs>
        <w:numPr>
          <w:ilvl w:val="1"/>
          <w:numId w:val="908"/>
        </w:numPr>
        <w:rPr>
          <w:rFonts w:ascii="Arial" w:cs="Arial" w:eastAsia="Arial" w:hAnsi="Arial"/>
          <w:sz w:val="18"/>
          <w:szCs w:val="18"/>
          <w:color w:val="auto"/>
        </w:rPr>
      </w:pPr>
      <w:r>
        <w:rPr>
          <w:rFonts w:ascii="Arial" w:cs="Arial" w:eastAsia="Arial" w:hAnsi="Arial"/>
          <w:sz w:val="18"/>
          <w:szCs w:val="18"/>
          <w:color w:val="auto"/>
        </w:rPr>
        <w:t>the Borrower will not be required to make any payment in cash; and</w:t>
      </w:r>
    </w:p>
    <w:p>
      <w:pPr>
        <w:spacing w:after="0" w:line="130" w:lineRule="exact"/>
        <w:rPr>
          <w:rFonts w:ascii="Arial" w:cs="Arial" w:eastAsia="Arial" w:hAnsi="Arial"/>
          <w:sz w:val="18"/>
          <w:szCs w:val="18"/>
          <w:color w:val="auto"/>
        </w:rPr>
      </w:pPr>
    </w:p>
    <w:p>
      <w:pPr>
        <w:ind w:left="3164" w:right="20" w:hanging="640"/>
        <w:spacing w:after="0" w:line="255" w:lineRule="auto"/>
        <w:tabs>
          <w:tab w:leader="none" w:pos="3164" w:val="left"/>
        </w:tabs>
        <w:numPr>
          <w:ilvl w:val="1"/>
          <w:numId w:val="908"/>
        </w:numPr>
        <w:rPr>
          <w:rFonts w:ascii="Arial" w:cs="Arial" w:eastAsia="Arial" w:hAnsi="Arial"/>
          <w:sz w:val="18"/>
          <w:szCs w:val="18"/>
          <w:color w:val="auto"/>
        </w:rPr>
      </w:pPr>
      <w:r>
        <w:rPr>
          <w:rFonts w:ascii="Arial" w:cs="Arial" w:eastAsia="Arial" w:hAnsi="Arial"/>
          <w:sz w:val="18"/>
          <w:szCs w:val="18"/>
          <w:color w:val="auto"/>
        </w:rPr>
        <w:t>each Lender will be required to make its participation in the new Revolving Facility Loans available in cash only to the extent that its participation (if any) in the new Revolving Facility Loans exceeds that Lender’s participation (if any) in the maturing Revolving Facility Loan and the remainder of that Lender’s participation in the new Revolving Facility Loans shall be treated as having been made available and applied by the Borrower in or towards repayment of that Lender’s participation in the maturing Revolving Facility Loan.</w:t>
      </w:r>
    </w:p>
    <w:p>
      <w:pPr>
        <w:spacing w:after="0" w:line="125"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59" w:name="page660"/>
    <w:bookmarkEnd w:id="659"/>
    <w:p>
      <w:pPr>
        <w:ind w:left="1304" w:hanging="535"/>
        <w:spacing w:after="0" w:line="286" w:lineRule="auto"/>
        <w:tabs>
          <w:tab w:leader="none" w:pos="1304" w:val="left"/>
        </w:tabs>
        <w:numPr>
          <w:ilvl w:val="0"/>
          <w:numId w:val="9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when a Lender becomes a Defaulting Lender, the maturity date of each of the participations of that Lender in the Revolving Facility Loans then outstanding will be automatically extended to the Termination Date applicable to the Revolving Facility and will be treated as separate Revolving Facility Loans (the “</w:t>
      </w:r>
      <w:r>
        <w:rPr>
          <w:rFonts w:ascii="Arial" w:cs="Arial" w:eastAsia="Arial" w:hAnsi="Arial"/>
          <w:sz w:val="17"/>
          <w:szCs w:val="17"/>
          <w:b w:val="1"/>
          <w:bCs w:val="1"/>
          <w:color w:val="auto"/>
        </w:rPr>
        <w:t>Separate Loans</w:t>
      </w:r>
      <w:r>
        <w:rPr>
          <w:rFonts w:ascii="Arial" w:cs="Arial" w:eastAsia="Arial" w:hAnsi="Arial"/>
          <w:sz w:val="17"/>
          <w:szCs w:val="17"/>
          <w:color w:val="auto"/>
        </w:rPr>
        <w:t>”) denominated in the Base Currency.</w:t>
      </w:r>
    </w:p>
    <w:p>
      <w:pPr>
        <w:spacing w:after="0" w:line="70" w:lineRule="exact"/>
        <w:rPr>
          <w:rFonts w:ascii="Arial" w:cs="Arial" w:eastAsia="Arial" w:hAnsi="Arial"/>
          <w:sz w:val="17"/>
          <w:szCs w:val="17"/>
          <w:color w:val="auto"/>
        </w:rPr>
      </w:pPr>
    </w:p>
    <w:p>
      <w:pPr>
        <w:ind w:left="1304" w:right="440" w:hanging="535"/>
        <w:spacing w:after="0" w:line="263" w:lineRule="auto"/>
        <w:tabs>
          <w:tab w:leader="none" w:pos="1304" w:val="left"/>
        </w:tabs>
        <w:numPr>
          <w:ilvl w:val="0"/>
          <w:numId w:val="909"/>
        </w:numPr>
        <w:rPr>
          <w:rFonts w:ascii="Arial" w:cs="Arial" w:eastAsia="Arial" w:hAnsi="Arial"/>
          <w:sz w:val="18"/>
          <w:szCs w:val="18"/>
          <w:color w:val="auto"/>
        </w:rPr>
      </w:pPr>
      <w:r>
        <w:rPr>
          <w:rFonts w:ascii="Arial" w:cs="Arial" w:eastAsia="Arial" w:hAnsi="Arial"/>
          <w:sz w:val="18"/>
          <w:szCs w:val="18"/>
          <w:color w:val="auto"/>
        </w:rPr>
        <w:t>A Separate Loan may be prepaid by giving five (5) Business Days’ prior notice to the Agent. The Agent will forward a copy of a prepayment notice received in accordance with this paragraph (d) to the Defaulting Lender concerned as soon as practicable on receipt.</w:t>
      </w:r>
    </w:p>
    <w:p>
      <w:pPr>
        <w:spacing w:after="0" w:line="89" w:lineRule="exact"/>
        <w:rPr>
          <w:rFonts w:ascii="Arial" w:cs="Arial" w:eastAsia="Arial" w:hAnsi="Arial"/>
          <w:sz w:val="18"/>
          <w:szCs w:val="18"/>
          <w:color w:val="auto"/>
        </w:rPr>
      </w:pPr>
    </w:p>
    <w:p>
      <w:pPr>
        <w:ind w:left="1304" w:right="540" w:hanging="535"/>
        <w:spacing w:after="0" w:line="263" w:lineRule="auto"/>
        <w:tabs>
          <w:tab w:leader="none" w:pos="1304" w:val="left"/>
        </w:tabs>
        <w:numPr>
          <w:ilvl w:val="0"/>
          <w:numId w:val="909"/>
        </w:numPr>
        <w:rPr>
          <w:rFonts w:ascii="Arial" w:cs="Arial" w:eastAsia="Arial" w:hAnsi="Arial"/>
          <w:sz w:val="18"/>
          <w:szCs w:val="18"/>
          <w:color w:val="auto"/>
        </w:rPr>
      </w:pPr>
      <w:r>
        <w:rPr>
          <w:rFonts w:ascii="Arial" w:cs="Arial" w:eastAsia="Arial" w:hAnsi="Arial"/>
          <w:sz w:val="18"/>
          <w:szCs w:val="18"/>
          <w:color w:val="auto"/>
        </w:rPr>
        <w:t>Interest in respect of a Separate Loan will accrue for successive Interest Periods selected by the Borrower by the time and date specified by the Agent (acting reasonably) and will be payable by the Borrower to the Agent (for the account of that Defaulting Lender) on the last day of each Interest Period of that Loan.</w:t>
      </w:r>
    </w:p>
    <w:p>
      <w:pPr>
        <w:spacing w:after="0" w:line="89" w:lineRule="exact"/>
        <w:rPr>
          <w:rFonts w:ascii="Arial" w:cs="Arial" w:eastAsia="Arial" w:hAnsi="Arial"/>
          <w:sz w:val="18"/>
          <w:szCs w:val="18"/>
          <w:color w:val="auto"/>
        </w:rPr>
      </w:pPr>
    </w:p>
    <w:p>
      <w:pPr>
        <w:ind w:left="1304" w:right="40" w:hanging="535"/>
        <w:spacing w:after="0" w:line="342" w:lineRule="auto"/>
        <w:tabs>
          <w:tab w:leader="none" w:pos="1304" w:val="left"/>
        </w:tabs>
        <w:numPr>
          <w:ilvl w:val="0"/>
          <w:numId w:val="909"/>
        </w:numPr>
        <w:rPr>
          <w:rFonts w:ascii="Arial" w:cs="Arial" w:eastAsia="Arial" w:hAnsi="Arial"/>
          <w:sz w:val="16"/>
          <w:szCs w:val="16"/>
          <w:color w:val="auto"/>
        </w:rPr>
      </w:pPr>
      <w:r>
        <w:rPr>
          <w:rFonts w:ascii="Arial" w:cs="Arial" w:eastAsia="Arial" w:hAnsi="Arial"/>
          <w:sz w:val="16"/>
          <w:szCs w:val="16"/>
          <w:color w:val="auto"/>
        </w:rPr>
        <w:t>The terms of this Agreement relating to Revolving Facility Loans generally shall continue to apply to Separate Loans other than to the extent inconsistent with paragraphs (c) to (e) above, in which case those paragraphs shall prevail in respect of any Separate Loan.</w:t>
      </w:r>
    </w:p>
    <w:p>
      <w:pPr>
        <w:spacing w:after="0" w:line="268" w:lineRule="exact"/>
        <w:rPr>
          <w:sz w:val="20"/>
          <w:szCs w:val="20"/>
          <w:color w:val="auto"/>
        </w:rPr>
      </w:pPr>
    </w:p>
    <w:p>
      <w:pPr>
        <w:ind w:left="764" w:hanging="764"/>
        <w:spacing w:after="0"/>
        <w:tabs>
          <w:tab w:leader="none" w:pos="764" w:val="left"/>
        </w:tabs>
        <w:numPr>
          <w:ilvl w:val="0"/>
          <w:numId w:val="910"/>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 voluntary prepayment and cancellation</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Illegality</w:t>
      </w:r>
    </w:p>
    <w:p>
      <w:pPr>
        <w:spacing w:after="0" w:line="121" w:lineRule="exact"/>
        <w:rPr>
          <w:sz w:val="20"/>
          <w:szCs w:val="20"/>
          <w:color w:val="auto"/>
        </w:rPr>
      </w:pPr>
    </w:p>
    <w:p>
      <w:pPr>
        <w:ind w:left="764" w:right="220"/>
        <w:spacing w:after="0" w:line="277" w:lineRule="auto"/>
        <w:rPr>
          <w:sz w:val="20"/>
          <w:szCs w:val="20"/>
          <w:color w:val="auto"/>
        </w:rPr>
      </w:pPr>
      <w:r>
        <w:rPr>
          <w:rFonts w:ascii="Arial" w:cs="Arial" w:eastAsia="Arial" w:hAnsi="Arial"/>
          <w:sz w:val="18"/>
          <w:szCs w:val="18"/>
          <w:color w:val="auto"/>
        </w:rPr>
        <w:t>If it becomes unlawful in any applicable jurisdiction for a Lender to perform any of its obligations as contemplated by this Agreement or to fund, issue or maintain its participation in any Utilisation:</w:t>
      </w:r>
    </w:p>
    <w:p>
      <w:pPr>
        <w:spacing w:after="0" w:line="76" w:lineRule="exact"/>
        <w:rPr>
          <w:sz w:val="20"/>
          <w:szCs w:val="20"/>
          <w:color w:val="auto"/>
        </w:rPr>
      </w:pPr>
    </w:p>
    <w:p>
      <w:pPr>
        <w:ind w:left="1304" w:hanging="535"/>
        <w:spacing w:after="0"/>
        <w:tabs>
          <w:tab w:leader="none" w:pos="1304" w:val="left"/>
        </w:tabs>
        <w:numPr>
          <w:ilvl w:val="0"/>
          <w:numId w:val="911"/>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0"/>
          <w:numId w:val="911"/>
        </w:numPr>
        <w:rPr>
          <w:rFonts w:ascii="Arial" w:cs="Arial" w:eastAsia="Arial" w:hAnsi="Arial"/>
          <w:sz w:val="18"/>
          <w:szCs w:val="18"/>
          <w:color w:val="auto"/>
        </w:rPr>
      </w:pPr>
      <w:r>
        <w:rPr>
          <w:rFonts w:ascii="Arial" w:cs="Arial" w:eastAsia="Arial" w:hAnsi="Arial"/>
          <w:sz w:val="18"/>
          <w:szCs w:val="18"/>
          <w:color w:val="auto"/>
        </w:rPr>
        <w:t>upon the Agent notifying the Borrower, the Commitment of that Lender will be immediately cancelled; and</w:t>
      </w:r>
    </w:p>
    <w:p>
      <w:pPr>
        <w:spacing w:after="0" w:line="130" w:lineRule="exact"/>
        <w:rPr>
          <w:rFonts w:ascii="Arial" w:cs="Arial" w:eastAsia="Arial" w:hAnsi="Arial"/>
          <w:sz w:val="18"/>
          <w:szCs w:val="18"/>
          <w:color w:val="auto"/>
        </w:rPr>
      </w:pPr>
    </w:p>
    <w:p>
      <w:pPr>
        <w:ind w:left="1304" w:right="260" w:hanging="535"/>
        <w:spacing w:after="0" w:line="259" w:lineRule="auto"/>
        <w:tabs>
          <w:tab w:leader="none" w:pos="1304" w:val="left"/>
        </w:tabs>
        <w:numPr>
          <w:ilvl w:val="0"/>
          <w:numId w:val="911"/>
        </w:numPr>
        <w:rPr>
          <w:rFonts w:ascii="Arial" w:cs="Arial" w:eastAsia="Arial" w:hAnsi="Arial"/>
          <w:sz w:val="18"/>
          <w:szCs w:val="18"/>
          <w:color w:val="auto"/>
        </w:rPr>
      </w:pPr>
      <w:r>
        <w:rPr>
          <w:rFonts w:ascii="Arial" w:cs="Arial" w:eastAsia="Arial" w:hAnsi="Arial"/>
          <w:sz w:val="18"/>
          <w:szCs w:val="18"/>
          <w:color w:val="auto"/>
        </w:rPr>
        <w:t>to the extent that Lender’s participation has not been transferred pursuant to Clause 37.5 (</w:t>
      </w:r>
      <w:r>
        <w:rPr>
          <w:rFonts w:ascii="Arial" w:cs="Arial" w:eastAsia="Arial" w:hAnsi="Arial"/>
          <w:sz w:val="18"/>
          <w:szCs w:val="18"/>
          <w:i w:val="1"/>
          <w:iCs w:val="1"/>
          <w:color w:val="auto"/>
        </w:rPr>
        <w:t>Replaceable Lenders</w:t>
      </w:r>
      <w:r>
        <w:rPr>
          <w:rFonts w:ascii="Arial" w:cs="Arial" w:eastAsia="Arial" w:hAnsi="Arial"/>
          <w:sz w:val="18"/>
          <w:szCs w:val="18"/>
          <w:color w:val="auto"/>
        </w:rPr>
        <w:t>), the Borrower shall repay that Lender’s participation in each Utilisations on the last day of the Interest Period for each Utilisation occurring after the Agent has notified the Borrower or, if earlier, the date specified by the Lender in the notice delivered to the Agent (being no earlier than the last day of any applicable grace period permitted by law).</w:t>
      </w:r>
    </w:p>
    <w:p>
      <w:pPr>
        <w:spacing w:after="0" w:line="3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Voluntary cancellation</w:t>
      </w:r>
    </w:p>
    <w:p>
      <w:pPr>
        <w:spacing w:after="0" w:line="121" w:lineRule="exact"/>
        <w:rPr>
          <w:sz w:val="20"/>
          <w:szCs w:val="20"/>
          <w:color w:val="auto"/>
        </w:rPr>
      </w:pPr>
    </w:p>
    <w:p>
      <w:pPr>
        <w:ind w:left="764" w:right="120"/>
        <w:spacing w:after="0" w:line="263" w:lineRule="auto"/>
        <w:rPr>
          <w:sz w:val="20"/>
          <w:szCs w:val="20"/>
          <w:color w:val="auto"/>
        </w:rPr>
      </w:pPr>
      <w:r>
        <w:rPr>
          <w:rFonts w:ascii="Arial" w:cs="Arial" w:eastAsia="Arial" w:hAnsi="Arial"/>
          <w:sz w:val="18"/>
          <w:szCs w:val="18"/>
          <w:color w:val="auto"/>
        </w:rPr>
        <w:t>The Borrower may, if it gives the Agent not less than five (5) Business Days’ prior notice, cancel the whole or any part (being a minimum of HK$100,000,000) of the Available Facility in respect of the Revolving Facility. Any cancellation under this Clause 8.2 shall reduce the Commitments of the Lenders rateably under the Revolving Facility.</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Voluntary prepayment of the Facility A Loan</w:t>
      </w:r>
    </w:p>
    <w:p>
      <w:pPr>
        <w:spacing w:after="0" w:line="121" w:lineRule="exact"/>
        <w:rPr>
          <w:sz w:val="20"/>
          <w:szCs w:val="20"/>
          <w:color w:val="auto"/>
        </w:rPr>
      </w:pPr>
    </w:p>
    <w:p>
      <w:pPr>
        <w:ind w:left="764" w:right="120"/>
        <w:spacing w:after="0" w:line="263" w:lineRule="auto"/>
        <w:rPr>
          <w:sz w:val="20"/>
          <w:szCs w:val="20"/>
          <w:color w:val="auto"/>
        </w:rPr>
      </w:pPr>
      <w:r>
        <w:rPr>
          <w:rFonts w:ascii="Arial" w:cs="Arial" w:eastAsia="Arial" w:hAnsi="Arial"/>
          <w:sz w:val="18"/>
          <w:szCs w:val="18"/>
          <w:color w:val="auto"/>
        </w:rPr>
        <w:t>Subject to clause 3.2 (</w:t>
      </w:r>
      <w:r>
        <w:rPr>
          <w:rFonts w:ascii="Arial" w:cs="Arial" w:eastAsia="Arial" w:hAnsi="Arial"/>
          <w:sz w:val="18"/>
          <w:szCs w:val="18"/>
          <w:i w:val="1"/>
          <w:iCs w:val="1"/>
          <w:color w:val="auto"/>
        </w:rPr>
        <w:t>Rolled Loan – restrictions</w:t>
      </w:r>
      <w:r>
        <w:rPr>
          <w:rFonts w:ascii="Arial" w:cs="Arial" w:eastAsia="Arial" w:hAnsi="Arial"/>
          <w:sz w:val="18"/>
          <w:szCs w:val="18"/>
          <w:color w:val="auto"/>
        </w:rPr>
        <w:t>) of the Intercreditor Agreement, the Borrower under a Facility may, if it gives the Agent not less than five (5) Business Days’ prior notice, prepay the whole or any part of the Facility A Loan (but, if in part, being an amount that reduces the Facility A Loan by a minimum amount of HK$500,000).</w:t>
      </w:r>
    </w:p>
    <w:p>
      <w:pPr>
        <w:spacing w:after="0" w:line="116"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660" w:name="page661"/>
    <w:bookmarkEnd w:id="660"/>
    <w:p>
      <w:pPr>
        <w:ind w:left="4"/>
        <w:spacing w:after="0"/>
        <w:tabs>
          <w:tab w:leader="none" w:pos="7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8.4</w:t>
      </w:r>
      <w:r>
        <w:rPr>
          <w:sz w:val="20"/>
          <w:szCs w:val="20"/>
          <w:color w:val="auto"/>
        </w:rPr>
        <w:tab/>
      </w:r>
      <w:r>
        <w:rPr>
          <w:rFonts w:ascii="Arial" w:cs="Arial" w:eastAsia="Arial" w:hAnsi="Arial"/>
          <w:sz w:val="16"/>
          <w:szCs w:val="16"/>
          <w:b w:val="1"/>
          <w:bCs w:val="1"/>
          <w:color w:val="auto"/>
        </w:rPr>
        <w:t>Voluntary prepayment of Revolving Facility Loans</w:t>
      </w:r>
    </w:p>
    <w:p>
      <w:pPr>
        <w:spacing w:after="0" w:line="121" w:lineRule="exact"/>
        <w:rPr>
          <w:sz w:val="20"/>
          <w:szCs w:val="20"/>
          <w:color w:val="auto"/>
        </w:rPr>
      </w:pPr>
    </w:p>
    <w:p>
      <w:pPr>
        <w:ind w:left="764" w:right="320"/>
        <w:spacing w:after="0" w:line="263" w:lineRule="auto"/>
        <w:rPr>
          <w:sz w:val="20"/>
          <w:szCs w:val="20"/>
          <w:color w:val="auto"/>
        </w:rPr>
      </w:pPr>
      <w:r>
        <w:rPr>
          <w:rFonts w:ascii="Arial" w:cs="Arial" w:eastAsia="Arial" w:hAnsi="Arial"/>
          <w:sz w:val="18"/>
          <w:szCs w:val="18"/>
          <w:color w:val="auto"/>
        </w:rPr>
        <w:t>The Borrower may, if it gives the Agent not less than five (5) Business Days’ prior notice, prepay the whole or any part of a Revolving Facility Loan (but, if in part, being an amount that, whether alone or with any such prepayment made by any other Borrower at such time, reduces such Revolving Facility Loan by a minimum amount of HK$100,000,000).</w:t>
      </w:r>
    </w:p>
    <w:p>
      <w:pPr>
        <w:spacing w:after="0" w:line="328" w:lineRule="exact"/>
        <w:rPr>
          <w:sz w:val="20"/>
          <w:szCs w:val="20"/>
          <w:color w:val="auto"/>
        </w:rPr>
      </w:pPr>
    </w:p>
    <w:p>
      <w:pPr>
        <w:ind w:left="764" w:hanging="764"/>
        <w:spacing w:after="0"/>
        <w:tabs>
          <w:tab w:leader="none" w:pos="764" w:val="left"/>
        </w:tabs>
        <w:numPr>
          <w:ilvl w:val="0"/>
          <w:numId w:val="912"/>
        </w:numPr>
        <w:rPr>
          <w:rFonts w:ascii="Arial" w:cs="Arial" w:eastAsia="Arial" w:hAnsi="Arial"/>
          <w:sz w:val="18"/>
          <w:szCs w:val="18"/>
          <w:b w:val="1"/>
          <w:bCs w:val="1"/>
          <w:color w:val="auto"/>
        </w:rPr>
      </w:pPr>
      <w:r>
        <w:rPr>
          <w:rFonts w:ascii="Arial" w:cs="Arial" w:eastAsia="Arial" w:hAnsi="Arial"/>
          <w:sz w:val="18"/>
          <w:szCs w:val="18"/>
          <w:b w:val="1"/>
          <w:bCs w:val="1"/>
          <w:color w:val="auto"/>
        </w:rPr>
        <w:t>Mandatory prepayment</w:t>
      </w:r>
    </w:p>
    <w:p>
      <w:pPr>
        <w:spacing w:after="0" w:line="121" w:lineRule="exact"/>
        <w:rPr>
          <w:rFonts w:ascii="Arial" w:cs="Arial" w:eastAsia="Arial" w:hAnsi="Arial"/>
          <w:sz w:val="18"/>
          <w:szCs w:val="18"/>
          <w:b w:val="1"/>
          <w:bCs w:val="1"/>
          <w:color w:val="auto"/>
        </w:rPr>
      </w:pPr>
    </w:p>
    <w:p>
      <w:pPr>
        <w:ind w:left="764"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Borrower shall prepay the Utilisations and/or cancel Commitments under the Facilities on the dates and in accordance, and otherwise comply, with the provisions of this Clause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For the purposes of this Clause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113" w:lineRule="exact"/>
        <w:rPr>
          <w:sz w:val="20"/>
          <w:szCs w:val="20"/>
          <w:color w:val="auto"/>
        </w:rPr>
      </w:pPr>
    </w:p>
    <w:p>
      <w:pPr>
        <w:ind w:left="764"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Expiry</w:t>
      </w:r>
      <w:r>
        <w:rPr>
          <w:rFonts w:ascii="Arial" w:cs="Arial" w:eastAsia="Arial" w:hAnsi="Arial"/>
          <w:sz w:val="18"/>
          <w:szCs w:val="18"/>
          <w:color w:val="auto"/>
        </w:rPr>
        <w:t>” means termination, revocation, rescission or modification of the Gaming Subconcession (including by way of expiry on its terms) which has had a material adverse effect on the financial condition, business, properties, or results of operations of the Group, taken as a whole.</w:t>
      </w:r>
    </w:p>
    <w:p>
      <w:pPr>
        <w:spacing w:after="0" w:line="68" w:lineRule="exact"/>
        <w:rPr>
          <w:sz w:val="20"/>
          <w:szCs w:val="20"/>
          <w:color w:val="auto"/>
        </w:rPr>
      </w:pPr>
    </w:p>
    <w:p>
      <w:pPr>
        <w:ind w:left="7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Concession-Related Mandatory Prepayment Event</w:t>
      </w:r>
      <w:r>
        <w:rPr>
          <w:rFonts w:ascii="Arial" w:cs="Arial" w:eastAsia="Arial" w:hAnsi="Arial"/>
          <w:sz w:val="18"/>
          <w:szCs w:val="18"/>
          <w:color w:val="auto"/>
        </w:rPr>
        <w:t>” means the occurrence of:</w:t>
      </w:r>
    </w:p>
    <w:p>
      <w:pPr>
        <w:spacing w:after="0" w:line="135" w:lineRule="exact"/>
        <w:rPr>
          <w:sz w:val="20"/>
          <w:szCs w:val="20"/>
          <w:color w:val="auto"/>
        </w:rPr>
      </w:pPr>
    </w:p>
    <w:p>
      <w:pPr>
        <w:ind w:left="1304" w:hanging="535"/>
        <w:spacing w:after="0"/>
        <w:tabs>
          <w:tab w:leader="none" w:pos="1304" w:val="left"/>
        </w:tabs>
        <w:numPr>
          <w:ilvl w:val="0"/>
          <w:numId w:val="913"/>
        </w:numPr>
        <w:rPr>
          <w:rFonts w:ascii="Arial" w:cs="Arial" w:eastAsia="Arial" w:hAnsi="Arial"/>
          <w:sz w:val="18"/>
          <w:szCs w:val="18"/>
          <w:color w:val="auto"/>
        </w:rPr>
      </w:pPr>
      <w:r>
        <w:rPr>
          <w:rFonts w:ascii="Arial" w:cs="Arial" w:eastAsia="Arial" w:hAnsi="Arial"/>
          <w:sz w:val="18"/>
          <w:szCs w:val="18"/>
          <w:color w:val="auto"/>
        </w:rPr>
        <w:t>a Concession Expiry; or</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0"/>
          <w:numId w:val="913"/>
        </w:numPr>
        <w:rPr>
          <w:rFonts w:ascii="Arial" w:cs="Arial" w:eastAsia="Arial" w:hAnsi="Arial"/>
          <w:sz w:val="18"/>
          <w:szCs w:val="18"/>
          <w:color w:val="auto"/>
        </w:rPr>
      </w:pPr>
      <w:r>
        <w:rPr>
          <w:rFonts w:ascii="Arial" w:cs="Arial" w:eastAsia="Arial" w:hAnsi="Arial"/>
          <w:sz w:val="18"/>
          <w:szCs w:val="18"/>
          <w:color w:val="auto"/>
        </w:rPr>
        <w:t>a Land Concession Termination.</w:t>
      </w:r>
    </w:p>
    <w:p>
      <w:pPr>
        <w:spacing w:after="0" w:line="113" w:lineRule="exact"/>
        <w:rPr>
          <w:sz w:val="20"/>
          <w:szCs w:val="20"/>
          <w:color w:val="auto"/>
        </w:rPr>
      </w:pPr>
    </w:p>
    <w:p>
      <w:pPr>
        <w:ind w:left="7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Disposal Prepayment Event</w:t>
      </w:r>
      <w:r>
        <w:rPr>
          <w:rFonts w:ascii="Arial" w:cs="Arial" w:eastAsia="Arial" w:hAnsi="Arial"/>
          <w:sz w:val="17"/>
          <w:szCs w:val="17"/>
          <w:color w:val="auto"/>
        </w:rPr>
        <w:t>” means the Disposal of all or substantially all of the business and assets of the Group or all the Obligors.</w:t>
      </w:r>
    </w:p>
    <w:p>
      <w:pPr>
        <w:spacing w:after="0" w:line="129" w:lineRule="exact"/>
        <w:rPr>
          <w:sz w:val="20"/>
          <w:szCs w:val="20"/>
          <w:color w:val="auto"/>
        </w:rPr>
      </w:pPr>
    </w:p>
    <w:p>
      <w:pPr>
        <w:ind w:left="764" w:right="3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Land Concession Termination</w:t>
      </w:r>
      <w:r>
        <w:rPr>
          <w:rFonts w:ascii="Arial" w:cs="Arial" w:eastAsia="Arial" w:hAnsi="Arial"/>
          <w:sz w:val="17"/>
          <w:szCs w:val="17"/>
          <w:color w:val="auto"/>
        </w:rPr>
        <w:t>” means the termination, revocation or rescission of the Amended Land Concession (including by way of expiry on its terms) unless a new land concession with respect to the Property is granted to a Group Member or Group Members in replacement of the Amended Land Concession which is the subject of such termination, revocation or rescission.</w:t>
      </w:r>
    </w:p>
    <w:p>
      <w:pPr>
        <w:spacing w:after="0" w:line="306"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Change of Control, Concession-Related Mandatory Prepayment Event and Disposal Prepayment Event</w:t>
      </w:r>
    </w:p>
    <w:p>
      <w:pPr>
        <w:spacing w:after="0" w:line="135" w:lineRule="exact"/>
        <w:rPr>
          <w:sz w:val="20"/>
          <w:szCs w:val="20"/>
          <w:color w:val="auto"/>
        </w:rPr>
      </w:pPr>
    </w:p>
    <w:p>
      <w:pPr>
        <w:ind w:left="1304" w:hanging="535"/>
        <w:spacing w:after="0"/>
        <w:tabs>
          <w:tab w:leader="none" w:pos="1304" w:val="left"/>
        </w:tabs>
        <w:numPr>
          <w:ilvl w:val="0"/>
          <w:numId w:val="914"/>
        </w:numPr>
        <w:rPr>
          <w:rFonts w:ascii="Arial" w:cs="Arial" w:eastAsia="Arial" w:hAnsi="Arial"/>
          <w:sz w:val="18"/>
          <w:szCs w:val="18"/>
          <w:color w:val="auto"/>
        </w:rPr>
      </w:pPr>
      <w:r>
        <w:rPr>
          <w:rFonts w:ascii="Arial" w:cs="Arial" w:eastAsia="Arial" w:hAnsi="Arial"/>
          <w:sz w:val="18"/>
          <w:szCs w:val="18"/>
          <w:color w:val="auto"/>
        </w:rPr>
        <w:t>If a Change of Control or Concession-Related Mandatory Prepayment Event occurs:</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914"/>
        </w:numPr>
        <w:rPr>
          <w:rFonts w:ascii="Arial" w:cs="Arial" w:eastAsia="Arial" w:hAnsi="Arial"/>
          <w:sz w:val="18"/>
          <w:szCs w:val="18"/>
          <w:color w:val="auto"/>
        </w:rPr>
      </w:pPr>
      <w:r>
        <w:rPr>
          <w:rFonts w:ascii="Arial" w:cs="Arial" w:eastAsia="Arial" w:hAnsi="Arial"/>
          <w:sz w:val="18"/>
          <w:szCs w:val="18"/>
          <w:color w:val="auto"/>
        </w:rPr>
        <w:t>the Parent will promptly notify the Agent upon becoming aware of that event;</w:t>
      </w:r>
    </w:p>
    <w:p>
      <w:pPr>
        <w:spacing w:after="0" w:line="130" w:lineRule="exact"/>
        <w:rPr>
          <w:rFonts w:ascii="Arial" w:cs="Arial" w:eastAsia="Arial" w:hAnsi="Arial"/>
          <w:sz w:val="18"/>
          <w:szCs w:val="18"/>
          <w:color w:val="auto"/>
        </w:rPr>
      </w:pPr>
    </w:p>
    <w:p>
      <w:pPr>
        <w:ind w:left="1964" w:right="120" w:hanging="655"/>
        <w:spacing w:after="0" w:line="308" w:lineRule="auto"/>
        <w:tabs>
          <w:tab w:leader="none" w:pos="1964" w:val="left"/>
        </w:tabs>
        <w:numPr>
          <w:ilvl w:val="1"/>
          <w:numId w:val="914"/>
        </w:numPr>
        <w:rPr>
          <w:rFonts w:ascii="Arial" w:cs="Arial" w:eastAsia="Arial" w:hAnsi="Arial"/>
          <w:sz w:val="17"/>
          <w:szCs w:val="17"/>
          <w:color w:val="auto"/>
        </w:rPr>
      </w:pPr>
      <w:r>
        <w:rPr>
          <w:rFonts w:ascii="Arial" w:cs="Arial" w:eastAsia="Arial" w:hAnsi="Arial"/>
          <w:sz w:val="17"/>
          <w:szCs w:val="17"/>
          <w:color w:val="auto"/>
        </w:rPr>
        <w:t>no Lender shall be obliged to fund a Utilisation (except for a Rollover Loan) and an Ancillary Lender shall not be obliged to fund a utilisation of an Ancillary Facility (unless the terms of such Ancillary Facility provide otherwise); and</w:t>
      </w:r>
    </w:p>
    <w:p>
      <w:pPr>
        <w:spacing w:after="0" w:line="51" w:lineRule="exact"/>
        <w:rPr>
          <w:rFonts w:ascii="Arial" w:cs="Arial" w:eastAsia="Arial" w:hAnsi="Arial"/>
          <w:sz w:val="17"/>
          <w:szCs w:val="17"/>
          <w:color w:val="auto"/>
        </w:rPr>
      </w:pPr>
    </w:p>
    <w:p>
      <w:pPr>
        <w:ind w:left="1964" w:right="60" w:hanging="655"/>
        <w:spacing w:after="0" w:line="288" w:lineRule="auto"/>
        <w:tabs>
          <w:tab w:leader="none" w:pos="1964" w:val="left"/>
        </w:tabs>
        <w:numPr>
          <w:ilvl w:val="1"/>
          <w:numId w:val="914"/>
        </w:numPr>
        <w:rPr>
          <w:rFonts w:ascii="Arial" w:cs="Arial" w:eastAsia="Arial" w:hAnsi="Arial"/>
          <w:sz w:val="16"/>
          <w:szCs w:val="16"/>
          <w:color w:val="auto"/>
        </w:rPr>
      </w:pPr>
      <w:r>
        <w:rPr>
          <w:rFonts w:ascii="Arial" w:cs="Arial" w:eastAsia="Arial" w:hAnsi="Arial"/>
          <w:sz w:val="16"/>
          <w:szCs w:val="16"/>
          <w:color w:val="auto"/>
        </w:rPr>
        <w:t>if a Lender so requires and notifies the Agent within 20 Business Days of the earlier of (A) the Parent’s notifying the Agent of the event and (B) that Lender becoming aware the event has occurred, the Agent shall, by not less than 10 Business Days’ notice to the Parent, cancel the Commitment of that Lender in respect of the Revolving Facility and declare the participation of that Lender in all outstanding Utilisations in respect of the Revolving Facility and Ancillary Outstandings, together with accrued interest and all other amounts accrued under the Finance Documents to that Lender (including, without limitation, in respect of Facility A (other than the principal amount outstanding in respect of the Facility A Loan)), immediately due and payable, whereupon the Commitment of that Lender in respect of the Revolving Facility will be cancelled and, to the extent that Lender’s relevant participations have not been transferred pursuant to Clause 37.5 (</w:t>
      </w:r>
      <w:r>
        <w:rPr>
          <w:rFonts w:ascii="Arial" w:cs="Arial" w:eastAsia="Arial" w:hAnsi="Arial"/>
          <w:sz w:val="16"/>
          <w:szCs w:val="16"/>
          <w:i w:val="1"/>
          <w:iCs w:val="1"/>
          <w:color w:val="auto"/>
        </w:rPr>
        <w:t>Replaceable Lenders</w:t>
      </w:r>
      <w:r>
        <w:rPr>
          <w:rFonts w:ascii="Arial" w:cs="Arial" w:eastAsia="Arial" w:hAnsi="Arial"/>
          <w:sz w:val="16"/>
          <w:szCs w:val="16"/>
          <w:color w:val="auto"/>
        </w:rPr>
        <w:t>), all such outstanding amounts will become immediately due and payable and full cash cover in respect of its contingent liability under an Ancillary Facility shall become immediately due and payable.</w:t>
      </w:r>
    </w:p>
    <w:p>
      <w:pPr>
        <w:spacing w:after="0" w:line="101"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61" w:name="page662"/>
    <w:bookmarkEnd w:id="66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(b)</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Subject to clause 3.2 (</w:t>
            </w:r>
            <w:r>
              <w:rPr>
                <w:rFonts w:ascii="Arial" w:cs="Arial" w:eastAsia="Arial" w:hAnsi="Arial"/>
                <w:sz w:val="18"/>
                <w:szCs w:val="18"/>
                <w:i w:val="1"/>
                <w:iCs w:val="1"/>
                <w:color w:val="auto"/>
                <w:w w:val="91"/>
              </w:rPr>
              <w:t>Rolled Loan – restrictions</w:t>
            </w:r>
            <w:r>
              <w:rPr>
                <w:rFonts w:ascii="Arial" w:cs="Arial" w:eastAsia="Arial" w:hAnsi="Arial"/>
                <w:sz w:val="18"/>
                <w:szCs w:val="18"/>
                <w:color w:val="auto"/>
                <w:w w:val="91"/>
              </w:rPr>
              <w:t>) of the Intercreditor Agreement, if a Disposal Prepayment Event occurs, the Facilities</w:t>
            </w:r>
          </w:p>
        </w:tc>
      </w:tr>
      <w:tr>
        <w:trPr>
          <w:trHeight w:val="216"/>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will be cancelled and all outstanding Utilisations, together with accrued interest and all other amounts accrued under the Finance</w:t>
            </w: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Documents, shall become immediately due and payable.</w:t>
            </w:r>
          </w:p>
        </w:tc>
      </w:tr>
      <w:tr>
        <w:trPr>
          <w:trHeight w:val="323"/>
        </w:trPr>
        <w:tc>
          <w:tcPr>
            <w:tcW w:w="50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(c)</w:t>
            </w:r>
          </w:p>
        </w:tc>
        <w:tc>
          <w:tcPr>
            <w:tcW w:w="9840" w:type="dxa"/>
            <w:vAlign w:val="bottom"/>
          </w:tcPr>
          <w:p>
            <w:pPr>
              <w:ind w:left="160"/>
              <w:spacing w:after="0"/>
              <w:rPr>
                <w:sz w:val="20"/>
                <w:szCs w:val="20"/>
                <w:color w:val="auto"/>
              </w:rPr>
            </w:pPr>
            <w:r>
              <w:rPr>
                <w:rFonts w:ascii="Arial" w:cs="Arial" w:eastAsia="Arial" w:hAnsi="Arial"/>
                <w:sz w:val="18"/>
                <w:szCs w:val="18"/>
                <w:color w:val="auto"/>
                <w:w w:val="90"/>
              </w:rPr>
              <w:t>In accordance with paragraph (e) of Clause 37.3 (</w:t>
            </w:r>
            <w:r>
              <w:rPr>
                <w:rFonts w:ascii="Arial" w:cs="Arial" w:eastAsia="Arial" w:hAnsi="Arial"/>
                <w:sz w:val="18"/>
                <w:szCs w:val="18"/>
                <w:i w:val="1"/>
                <w:iCs w:val="1"/>
                <w:color w:val="auto"/>
                <w:w w:val="90"/>
              </w:rPr>
              <w:t>Exceptions</w:t>
            </w:r>
            <w:r>
              <w:rPr>
                <w:rFonts w:ascii="Arial" w:cs="Arial" w:eastAsia="Arial" w:hAnsi="Arial"/>
                <w:sz w:val="18"/>
                <w:szCs w:val="18"/>
                <w:color w:val="auto"/>
                <w:w w:val="90"/>
              </w:rPr>
              <w:t>), any waiver which relates to a right to prepayment under this Clause 9.2</w:t>
            </w: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may only be waived with the consent of the Lender that is entitled to the prepayment.</w:t>
            </w:r>
          </w:p>
        </w:tc>
      </w:tr>
      <w:tr>
        <w:trPr>
          <w:trHeight w:val="580"/>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9.3</w:t>
            </w:r>
          </w:p>
        </w:tc>
        <w:tc>
          <w:tcPr>
            <w:tcW w:w="10480" w:type="dxa"/>
            <w:vAlign w:val="bottom"/>
            <w:gridSpan w:val="2"/>
          </w:tcPr>
          <w:p>
            <w:pPr>
              <w:ind w:left="260"/>
              <w:spacing w:after="0"/>
              <w:rPr>
                <w:sz w:val="20"/>
                <w:szCs w:val="20"/>
                <w:color w:val="auto"/>
              </w:rPr>
            </w:pPr>
            <w:r>
              <w:rPr>
                <w:rFonts w:ascii="Arial" w:cs="Arial" w:eastAsia="Arial" w:hAnsi="Arial"/>
                <w:sz w:val="18"/>
                <w:szCs w:val="18"/>
                <w:b w:val="1"/>
                <w:bCs w:val="1"/>
                <w:color w:val="auto"/>
              </w:rPr>
              <w:t>[Reserved]</w:t>
            </w:r>
          </w:p>
        </w:tc>
      </w:tr>
      <w:tr>
        <w:trPr>
          <w:trHeight w:val="338"/>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9.4</w:t>
            </w:r>
          </w:p>
        </w:tc>
        <w:tc>
          <w:tcPr>
            <w:tcW w:w="10480" w:type="dxa"/>
            <w:vAlign w:val="bottom"/>
            <w:gridSpan w:val="2"/>
          </w:tcPr>
          <w:p>
            <w:pPr>
              <w:ind w:left="260"/>
              <w:spacing w:after="0"/>
              <w:rPr>
                <w:sz w:val="20"/>
                <w:szCs w:val="20"/>
                <w:color w:val="auto"/>
              </w:rPr>
            </w:pPr>
            <w:r>
              <w:rPr>
                <w:rFonts w:ascii="Arial" w:cs="Arial" w:eastAsia="Arial" w:hAnsi="Arial"/>
                <w:sz w:val="18"/>
                <w:szCs w:val="18"/>
                <w:b w:val="1"/>
                <w:bCs w:val="1"/>
                <w:color w:val="auto"/>
              </w:rPr>
              <w:t>Notes Repurchases</w:t>
            </w:r>
          </w:p>
        </w:tc>
      </w:tr>
      <w:tr>
        <w:trPr>
          <w:trHeight w:val="323"/>
        </w:trPr>
        <w:tc>
          <w:tcPr>
            <w:tcW w:w="50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(a)</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If a Notes Repurchase occurs, or an offer to make a Notes Repurchase has been made, the Borrower will, promptly upon becoming</w:t>
            </w: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aware of such event, notify the Agent of the details of the event, including the amount of the Notes Repurchase.</w:t>
            </w:r>
          </w:p>
        </w:tc>
      </w:tr>
      <w:tr>
        <w:trPr>
          <w:trHeight w:val="323"/>
        </w:trPr>
        <w:tc>
          <w:tcPr>
            <w:tcW w:w="50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(b)</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The Borrower shall cancel and prepay the relevant proportion of the Revolving Facility if required by, and in accordance with Clause</w:t>
            </w: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23.15 (</w:t>
            </w:r>
            <w:r>
              <w:rPr>
                <w:rFonts w:ascii="Arial" w:cs="Arial" w:eastAsia="Arial" w:hAnsi="Arial"/>
                <w:sz w:val="18"/>
                <w:szCs w:val="18"/>
                <w:i w:val="1"/>
                <w:iCs w:val="1"/>
                <w:color w:val="auto"/>
              </w:rPr>
              <w:t>Notes Repurchase condition</w:t>
            </w:r>
            <w:r>
              <w:rPr>
                <w:rFonts w:ascii="Arial" w:cs="Arial" w:eastAsia="Arial" w:hAnsi="Arial"/>
                <w:sz w:val="18"/>
                <w:szCs w:val="18"/>
                <w:color w:val="auto"/>
              </w:rPr>
              <w:t>).</w:t>
            </w:r>
          </w:p>
        </w:tc>
      </w:tr>
      <w:tr>
        <w:trPr>
          <w:trHeight w:val="580"/>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9.5</w:t>
            </w:r>
          </w:p>
        </w:tc>
        <w:tc>
          <w:tcPr>
            <w:tcW w:w="10480" w:type="dxa"/>
            <w:vAlign w:val="bottom"/>
            <w:gridSpan w:val="2"/>
          </w:tcPr>
          <w:p>
            <w:pPr>
              <w:ind w:left="260"/>
              <w:spacing w:after="0"/>
              <w:rPr>
                <w:sz w:val="20"/>
                <w:szCs w:val="20"/>
                <w:color w:val="auto"/>
              </w:rPr>
            </w:pPr>
            <w:r>
              <w:rPr>
                <w:rFonts w:ascii="Arial" w:cs="Arial" w:eastAsia="Arial" w:hAnsi="Arial"/>
                <w:sz w:val="18"/>
                <w:szCs w:val="18"/>
                <w:b w:val="1"/>
                <w:bCs w:val="1"/>
                <w:color w:val="auto"/>
              </w:rPr>
              <w:t>Asset Sales</w:t>
            </w:r>
          </w:p>
        </w:tc>
      </w:tr>
      <w:tr>
        <w:trPr>
          <w:trHeight w:val="310"/>
        </w:trPr>
        <w:tc>
          <w:tcPr>
            <w:tcW w:w="500" w:type="dxa"/>
            <w:vAlign w:val="bottom"/>
          </w:tcPr>
          <w:p>
            <w:pPr>
              <w:spacing w:after="0"/>
              <w:rPr>
                <w:sz w:val="24"/>
                <w:szCs w:val="24"/>
                <w:color w:val="auto"/>
              </w:rPr>
            </w:pPr>
          </w:p>
        </w:tc>
        <w:tc>
          <w:tcPr>
            <w:tcW w:w="10480" w:type="dxa"/>
            <w:vAlign w:val="bottom"/>
            <w:gridSpan w:val="2"/>
          </w:tcPr>
          <w:p>
            <w:pPr>
              <w:ind w:left="260"/>
              <w:spacing w:after="0"/>
              <w:rPr>
                <w:sz w:val="20"/>
                <w:szCs w:val="20"/>
                <w:color w:val="auto"/>
              </w:rPr>
            </w:pPr>
            <w:r>
              <w:rPr>
                <w:rFonts w:ascii="Arial" w:cs="Arial" w:eastAsia="Arial" w:hAnsi="Arial"/>
                <w:sz w:val="18"/>
                <w:szCs w:val="18"/>
                <w:color w:val="auto"/>
                <w:w w:val="95"/>
              </w:rPr>
              <w:t>The Borrower shall cancel and prepay the relevant proportion of the Revolving Facility if required by, and in accordance with, Section 5</w:t>
            </w:r>
          </w:p>
        </w:tc>
      </w:tr>
      <w:tr>
        <w:trPr>
          <w:trHeight w:val="230"/>
        </w:trPr>
        <w:tc>
          <w:tcPr>
            <w:tcW w:w="500" w:type="dxa"/>
            <w:vAlign w:val="bottom"/>
          </w:tcPr>
          <w:p>
            <w:pPr>
              <w:spacing w:after="0"/>
              <w:rPr>
                <w:sz w:val="20"/>
                <w:szCs w:val="20"/>
                <w:color w:val="auto"/>
              </w:rPr>
            </w:pPr>
          </w:p>
        </w:tc>
        <w:tc>
          <w:tcPr>
            <w:tcW w:w="10480" w:type="dxa"/>
            <w:vAlign w:val="bottom"/>
            <w:gridSpan w:val="2"/>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Sales</w:t>
            </w:r>
            <w:r>
              <w:rPr>
                <w:rFonts w:ascii="Arial" w:cs="Arial" w:eastAsia="Arial" w:hAnsi="Arial"/>
                <w:sz w:val="18"/>
                <w:szCs w:val="18"/>
                <w:color w:val="auto"/>
              </w:rPr>
              <w:t>) of Schedule 10 (</w:t>
            </w:r>
            <w:r>
              <w:rPr>
                <w:rFonts w:ascii="Arial" w:cs="Arial" w:eastAsia="Arial" w:hAnsi="Arial"/>
                <w:sz w:val="18"/>
                <w:szCs w:val="18"/>
                <w:i w:val="1"/>
                <w:iCs w:val="1"/>
                <w:color w:val="auto"/>
              </w:rPr>
              <w:t>Covenants</w:t>
            </w:r>
            <w:r>
              <w:rPr>
                <w:rFonts w:ascii="Arial" w:cs="Arial" w:eastAsia="Arial" w:hAnsi="Arial"/>
                <w:sz w:val="18"/>
                <w:szCs w:val="18"/>
                <w:color w:val="auto"/>
              </w:rPr>
              <w:t>).</w:t>
            </w:r>
          </w:p>
        </w:tc>
      </w:tr>
      <w:tr>
        <w:trPr>
          <w:trHeight w:val="581"/>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9.6</w:t>
            </w:r>
          </w:p>
        </w:tc>
        <w:tc>
          <w:tcPr>
            <w:tcW w:w="10480" w:type="dxa"/>
            <w:vAlign w:val="bottom"/>
            <w:gridSpan w:val="2"/>
          </w:tcPr>
          <w:p>
            <w:pPr>
              <w:ind w:left="260"/>
              <w:spacing w:after="0"/>
              <w:rPr>
                <w:sz w:val="20"/>
                <w:szCs w:val="20"/>
                <w:color w:val="auto"/>
              </w:rPr>
            </w:pPr>
            <w:r>
              <w:rPr>
                <w:rFonts w:ascii="Arial" w:cs="Arial" w:eastAsia="Arial" w:hAnsi="Arial"/>
                <w:sz w:val="18"/>
                <w:szCs w:val="18"/>
                <w:b w:val="1"/>
                <w:bCs w:val="1"/>
                <w:color w:val="auto"/>
              </w:rPr>
              <w:t>Waivers</w:t>
            </w:r>
          </w:p>
        </w:tc>
      </w:tr>
      <w:tr>
        <w:trPr>
          <w:trHeight w:val="310"/>
        </w:trPr>
        <w:tc>
          <w:tcPr>
            <w:tcW w:w="500" w:type="dxa"/>
            <w:vAlign w:val="bottom"/>
          </w:tcPr>
          <w:p>
            <w:pPr>
              <w:spacing w:after="0"/>
              <w:rPr>
                <w:sz w:val="24"/>
                <w:szCs w:val="24"/>
                <w:color w:val="auto"/>
              </w:rPr>
            </w:pPr>
          </w:p>
        </w:tc>
        <w:tc>
          <w:tcPr>
            <w:tcW w:w="10480" w:type="dxa"/>
            <w:vAlign w:val="bottom"/>
            <w:gridSpan w:val="2"/>
          </w:tcPr>
          <w:p>
            <w:pPr>
              <w:ind w:left="260"/>
              <w:spacing w:after="0"/>
              <w:rPr>
                <w:sz w:val="20"/>
                <w:szCs w:val="20"/>
                <w:color w:val="auto"/>
              </w:rPr>
            </w:pPr>
            <w:r>
              <w:rPr>
                <w:rFonts w:ascii="Arial" w:cs="Arial" w:eastAsia="Arial" w:hAnsi="Arial"/>
                <w:sz w:val="18"/>
                <w:szCs w:val="18"/>
                <w:color w:val="auto"/>
                <w:w w:val="91"/>
              </w:rPr>
              <w:t>Any waiver that relates to a right to prepayment under Clause 9.4 (</w:t>
            </w:r>
            <w:r>
              <w:rPr>
                <w:rFonts w:ascii="Arial" w:cs="Arial" w:eastAsia="Arial" w:hAnsi="Arial"/>
                <w:sz w:val="18"/>
                <w:szCs w:val="18"/>
                <w:i w:val="1"/>
                <w:iCs w:val="1"/>
                <w:color w:val="auto"/>
                <w:w w:val="91"/>
              </w:rPr>
              <w:t>Notes Repurchases</w:t>
            </w:r>
            <w:r>
              <w:rPr>
                <w:rFonts w:ascii="Arial" w:cs="Arial" w:eastAsia="Arial" w:hAnsi="Arial"/>
                <w:sz w:val="18"/>
                <w:szCs w:val="18"/>
                <w:color w:val="auto"/>
                <w:w w:val="91"/>
              </w:rPr>
              <w:t>) or 9.5 (</w:t>
            </w:r>
            <w:r>
              <w:rPr>
                <w:rFonts w:ascii="Arial" w:cs="Arial" w:eastAsia="Arial" w:hAnsi="Arial"/>
                <w:sz w:val="18"/>
                <w:szCs w:val="18"/>
                <w:i w:val="1"/>
                <w:iCs w:val="1"/>
                <w:color w:val="auto"/>
                <w:w w:val="91"/>
              </w:rPr>
              <w:t>Asset Sales</w:t>
            </w:r>
            <w:r>
              <w:rPr>
                <w:rFonts w:ascii="Arial" w:cs="Arial" w:eastAsia="Arial" w:hAnsi="Arial"/>
                <w:sz w:val="18"/>
                <w:szCs w:val="18"/>
                <w:color w:val="auto"/>
                <w:w w:val="91"/>
              </w:rPr>
              <w:t>) above may only be waived with</w:t>
            </w:r>
          </w:p>
        </w:tc>
      </w:tr>
      <w:tr>
        <w:trPr>
          <w:trHeight w:val="230"/>
        </w:trPr>
        <w:tc>
          <w:tcPr>
            <w:tcW w:w="500" w:type="dxa"/>
            <w:vAlign w:val="bottom"/>
          </w:tcPr>
          <w:p>
            <w:pPr>
              <w:spacing w:after="0"/>
              <w:rPr>
                <w:sz w:val="20"/>
                <w:szCs w:val="20"/>
                <w:color w:val="auto"/>
              </w:rPr>
            </w:pPr>
          </w:p>
        </w:tc>
        <w:tc>
          <w:tcPr>
            <w:tcW w:w="10480" w:type="dxa"/>
            <w:vAlign w:val="bottom"/>
            <w:gridSpan w:val="2"/>
          </w:tcPr>
          <w:p>
            <w:pPr>
              <w:ind w:left="260"/>
              <w:spacing w:after="0"/>
              <w:rPr>
                <w:sz w:val="20"/>
                <w:szCs w:val="20"/>
                <w:color w:val="auto"/>
              </w:rPr>
            </w:pPr>
            <w:r>
              <w:rPr>
                <w:rFonts w:ascii="Arial" w:cs="Arial" w:eastAsia="Arial" w:hAnsi="Arial"/>
                <w:sz w:val="18"/>
                <w:szCs w:val="18"/>
                <w:color w:val="auto"/>
              </w:rPr>
              <w:t>the consent of the Lender that is entitled to the prepayment.</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74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5"/>
          <w:szCs w:val="15"/>
          <w:b w:val="1"/>
          <w:bCs w:val="1"/>
          <w:color w:val="auto"/>
        </w:rPr>
        <w:t>Application of mandatory prepayments and cancellations – Note Repurchases and Asset dispositions</w:t>
      </w:r>
    </w:p>
    <w:p>
      <w:pPr>
        <w:spacing w:after="0" w:line="135" w:lineRule="exact"/>
        <w:rPr>
          <w:sz w:val="20"/>
          <w:szCs w:val="20"/>
          <w:color w:val="auto"/>
        </w:rPr>
      </w:pPr>
    </w:p>
    <w:p>
      <w:pPr>
        <w:ind w:left="1300" w:right="60" w:hanging="535"/>
        <w:spacing w:after="0" w:line="277" w:lineRule="auto"/>
        <w:tabs>
          <w:tab w:leader="none" w:pos="130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Prepayments of Utilisations and cancellations of Commitments made pursuant to Clause 9.4 (</w:t>
      </w:r>
      <w:r>
        <w:rPr>
          <w:rFonts w:ascii="Arial" w:cs="Arial" w:eastAsia="Arial" w:hAnsi="Arial"/>
          <w:sz w:val="18"/>
          <w:szCs w:val="18"/>
          <w:i w:val="1"/>
          <w:iCs w:val="1"/>
          <w:color w:val="auto"/>
        </w:rPr>
        <w:t>Notes Repurchases</w:t>
      </w:r>
      <w:r>
        <w:rPr>
          <w:rFonts w:ascii="Arial" w:cs="Arial" w:eastAsia="Arial" w:hAnsi="Arial"/>
          <w:sz w:val="18"/>
          <w:szCs w:val="18"/>
          <w:color w:val="auto"/>
        </w:rPr>
        <w:t>) or Clause 9.5 (</w:t>
      </w:r>
      <w:r>
        <w:rPr>
          <w:rFonts w:ascii="Arial" w:cs="Arial" w:eastAsia="Arial" w:hAnsi="Arial"/>
          <w:sz w:val="18"/>
          <w:szCs w:val="18"/>
          <w:i w:val="1"/>
          <w:iCs w:val="1"/>
          <w:color w:val="auto"/>
        </w:rPr>
        <w:t>Asset</w:t>
      </w:r>
      <w:r>
        <w:rPr>
          <w:rFonts w:ascii="Arial" w:cs="Arial" w:eastAsia="Arial" w:hAnsi="Arial"/>
          <w:sz w:val="18"/>
          <w:szCs w:val="18"/>
          <w:color w:val="auto"/>
        </w:rPr>
        <w:t xml:space="preserve"> </w:t>
      </w:r>
      <w:r>
        <w:rPr>
          <w:rFonts w:ascii="Arial" w:cs="Arial" w:eastAsia="Arial" w:hAnsi="Arial"/>
          <w:sz w:val="18"/>
          <w:szCs w:val="18"/>
          <w:i w:val="1"/>
          <w:iCs w:val="1"/>
          <w:color w:val="auto"/>
        </w:rPr>
        <w:t>Sales</w:t>
      </w:r>
      <w:r>
        <w:rPr>
          <w:rFonts w:ascii="Arial" w:cs="Arial" w:eastAsia="Arial" w:hAnsi="Arial"/>
          <w:sz w:val="18"/>
          <w:szCs w:val="18"/>
          <w:color w:val="auto"/>
        </w:rPr>
        <w:t>) shall be applied in the following order:</w:t>
      </w:r>
    </w:p>
    <w:p>
      <w:pPr>
        <w:spacing w:after="0" w:line="75" w:lineRule="exact"/>
        <w:rPr>
          <w:rFonts w:ascii="Arial" w:cs="Arial" w:eastAsia="Arial" w:hAnsi="Arial"/>
          <w:sz w:val="18"/>
          <w:szCs w:val="18"/>
          <w:color w:val="auto"/>
        </w:rPr>
      </w:pPr>
    </w:p>
    <w:p>
      <w:pPr>
        <w:ind w:left="1960" w:right="540" w:hanging="655"/>
        <w:spacing w:after="0" w:line="277" w:lineRule="auto"/>
        <w:tabs>
          <w:tab w:leader="none" w:pos="1960" w:val="left"/>
        </w:tabs>
        <w:numPr>
          <w:ilvl w:val="1"/>
          <w:numId w:val="915"/>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cancellation of the Available Commitments (and the Available Commitment of the Lenders will be cancelled</w:t>
      </w:r>
      <w:r>
        <w:rPr>
          <w:rFonts w:ascii="Arial" w:cs="Arial" w:eastAsia="Arial" w:hAnsi="Arial"/>
          <w:sz w:val="18"/>
          <w:szCs w:val="18"/>
          <w:i w:val="1"/>
          <w:iCs w:val="1"/>
          <w:color w:val="auto"/>
        </w:rPr>
        <w:t xml:space="preserve"> </w:t>
      </w:r>
      <w:r>
        <w:rPr>
          <w:rFonts w:ascii="Arial" w:cs="Arial" w:eastAsia="Arial" w:hAnsi="Arial"/>
          <w:sz w:val="18"/>
          <w:szCs w:val="18"/>
          <w:color w:val="auto"/>
        </w:rPr>
        <w:t>rateably);</w:t>
      </w:r>
    </w:p>
    <w:p>
      <w:pPr>
        <w:spacing w:after="0" w:line="75" w:lineRule="exact"/>
        <w:rPr>
          <w:rFonts w:ascii="Arial" w:cs="Arial" w:eastAsia="Arial" w:hAnsi="Arial"/>
          <w:sz w:val="18"/>
          <w:szCs w:val="18"/>
          <w:color w:val="auto"/>
        </w:rPr>
      </w:pPr>
    </w:p>
    <w:p>
      <w:pPr>
        <w:ind w:left="1960" w:right="360" w:hanging="655"/>
        <w:spacing w:after="0" w:line="277" w:lineRule="auto"/>
        <w:tabs>
          <w:tab w:leader="none" w:pos="1960" w:val="left"/>
        </w:tabs>
        <w:numPr>
          <w:ilvl w:val="1"/>
          <w:numId w:val="915"/>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in permanent prepayment and cancellation of Revolving Facility Utilisations and cancellation of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Revolving Facility;</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915"/>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prepayment and cancellation of the Ancillary Outstandings and Ancillary Commitments; and</w:t>
      </w:r>
    </w:p>
    <w:p>
      <w:pPr>
        <w:spacing w:after="0" w:line="130" w:lineRule="exact"/>
        <w:rPr>
          <w:rFonts w:ascii="Arial" w:cs="Arial" w:eastAsia="Arial" w:hAnsi="Arial"/>
          <w:sz w:val="18"/>
          <w:szCs w:val="18"/>
          <w:color w:val="auto"/>
        </w:rPr>
      </w:pPr>
    </w:p>
    <w:p>
      <w:pPr>
        <w:ind w:left="1960" w:right="520" w:hanging="655"/>
        <w:spacing w:after="0" w:line="277" w:lineRule="auto"/>
        <w:tabs>
          <w:tab w:leader="none" w:pos="1960" w:val="left"/>
        </w:tabs>
        <w:numPr>
          <w:ilvl w:val="1"/>
          <w:numId w:val="915"/>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subject to clause 3.2 (</w:t>
      </w:r>
      <w:r>
        <w:rPr>
          <w:rFonts w:ascii="Arial" w:cs="Arial" w:eastAsia="Arial" w:hAnsi="Arial"/>
          <w:sz w:val="18"/>
          <w:szCs w:val="18"/>
          <w:i w:val="1"/>
          <w:iCs w:val="1"/>
          <w:color w:val="auto"/>
        </w:rPr>
        <w:t>Rolled Loan – restrictions</w:t>
      </w:r>
      <w:r>
        <w:rPr>
          <w:rFonts w:ascii="Arial" w:cs="Arial" w:eastAsia="Arial" w:hAnsi="Arial"/>
          <w:sz w:val="18"/>
          <w:szCs w:val="18"/>
          <w:color w:val="auto"/>
        </w:rPr>
        <w:t>) of the Intercreditor Agreement, in permanent prepayment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 Loan.</w:t>
      </w:r>
    </w:p>
    <w:p>
      <w:pPr>
        <w:spacing w:after="0" w:line="103"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62" w:name="page663"/>
    <w:bookmarkEnd w:id="662"/>
    <w:p>
      <w:pPr>
        <w:ind w:left="1304" w:right="380" w:hanging="535"/>
        <w:spacing w:after="0" w:line="277" w:lineRule="auto"/>
        <w:tabs>
          <w:tab w:leader="none" w:pos="1304" w:val="left"/>
        </w:tabs>
        <w:numPr>
          <w:ilvl w:val="0"/>
          <w:numId w:val="9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Borrower makes an election under paragraph (c) below, the Borrower shall make prepayments under Clause 9.5 (</w:t>
      </w:r>
      <w:r>
        <w:rPr>
          <w:rFonts w:ascii="Arial" w:cs="Arial" w:eastAsia="Arial" w:hAnsi="Arial"/>
          <w:sz w:val="18"/>
          <w:szCs w:val="18"/>
          <w:i w:val="1"/>
          <w:iCs w:val="1"/>
          <w:color w:val="auto"/>
        </w:rPr>
        <w:t>Asset</w:t>
      </w:r>
      <w:r>
        <w:rPr>
          <w:rFonts w:ascii="Arial" w:cs="Arial" w:eastAsia="Arial" w:hAnsi="Arial"/>
          <w:sz w:val="18"/>
          <w:szCs w:val="18"/>
          <w:color w:val="auto"/>
        </w:rPr>
        <w:t xml:space="preserve"> </w:t>
      </w:r>
      <w:r>
        <w:rPr>
          <w:rFonts w:ascii="Arial" w:cs="Arial" w:eastAsia="Arial" w:hAnsi="Arial"/>
          <w:sz w:val="18"/>
          <w:szCs w:val="18"/>
          <w:i w:val="1"/>
          <w:iCs w:val="1"/>
          <w:color w:val="auto"/>
        </w:rPr>
        <w:t>Sales</w:t>
      </w:r>
      <w:r>
        <w:rPr>
          <w:rFonts w:ascii="Arial" w:cs="Arial" w:eastAsia="Arial" w:hAnsi="Arial"/>
          <w:sz w:val="18"/>
          <w:szCs w:val="18"/>
          <w:color w:val="auto"/>
        </w:rPr>
        <w:t>) promptly upon receipt of the relevant proceeds.</w:t>
      </w:r>
    </w:p>
    <w:p>
      <w:pPr>
        <w:spacing w:after="0" w:line="75" w:lineRule="exact"/>
        <w:rPr>
          <w:rFonts w:ascii="Arial" w:cs="Arial" w:eastAsia="Arial" w:hAnsi="Arial"/>
          <w:sz w:val="18"/>
          <w:szCs w:val="18"/>
          <w:color w:val="auto"/>
        </w:rPr>
      </w:pPr>
    </w:p>
    <w:p>
      <w:pPr>
        <w:ind w:left="1304" w:right="140" w:hanging="535"/>
        <w:spacing w:after="0" w:line="301" w:lineRule="auto"/>
        <w:tabs>
          <w:tab w:leader="none" w:pos="1304" w:val="left"/>
        </w:tabs>
        <w:numPr>
          <w:ilvl w:val="0"/>
          <w:numId w:val="916"/>
        </w:numPr>
        <w:rPr>
          <w:rFonts w:ascii="Arial" w:cs="Arial" w:eastAsia="Arial" w:hAnsi="Arial"/>
          <w:sz w:val="16"/>
          <w:szCs w:val="16"/>
          <w:color w:val="auto"/>
        </w:rPr>
      </w:pPr>
      <w:r>
        <w:rPr>
          <w:rFonts w:ascii="Arial" w:cs="Arial" w:eastAsia="Arial" w:hAnsi="Arial"/>
          <w:sz w:val="16"/>
          <w:szCs w:val="16"/>
          <w:color w:val="auto"/>
        </w:rPr>
        <w:t>Subject to paragraph (d) below, the Borrower may, by giving the Agent not less than three (3) Business Days’ (or such shorter period as the Majority Lenders may agree) prior written notice, elect that any prepayment under Clause 9.5 (</w:t>
      </w:r>
      <w:r>
        <w:rPr>
          <w:rFonts w:ascii="Arial" w:cs="Arial" w:eastAsia="Arial" w:hAnsi="Arial"/>
          <w:sz w:val="16"/>
          <w:szCs w:val="16"/>
          <w:i w:val="1"/>
          <w:iCs w:val="1"/>
          <w:color w:val="auto"/>
        </w:rPr>
        <w:t>Asset Sales</w:t>
      </w:r>
      <w:r>
        <w:rPr>
          <w:rFonts w:ascii="Arial" w:cs="Arial" w:eastAsia="Arial" w:hAnsi="Arial"/>
          <w:sz w:val="16"/>
          <w:szCs w:val="16"/>
          <w:color w:val="auto"/>
        </w:rPr>
        <w:t>) be applied in prepayment of a Loan on the last day of the Interest Period relating to that Loan. If the Borrower makes such an election, then a proportion of the Loan equal to the amount of the relevant prepayment will be due and payable on the last day of its Interest Period.</w:t>
      </w:r>
    </w:p>
    <w:p>
      <w:pPr>
        <w:spacing w:after="0" w:line="62" w:lineRule="exact"/>
        <w:rPr>
          <w:rFonts w:ascii="Arial" w:cs="Arial" w:eastAsia="Arial" w:hAnsi="Arial"/>
          <w:sz w:val="16"/>
          <w:szCs w:val="16"/>
          <w:color w:val="auto"/>
        </w:rPr>
      </w:pPr>
    </w:p>
    <w:p>
      <w:pPr>
        <w:ind w:left="1304" w:right="160" w:hanging="535"/>
        <w:spacing w:after="0" w:line="286" w:lineRule="auto"/>
        <w:tabs>
          <w:tab w:leader="none" w:pos="1304" w:val="left"/>
        </w:tabs>
        <w:numPr>
          <w:ilvl w:val="0"/>
          <w:numId w:val="916"/>
        </w:numPr>
        <w:rPr>
          <w:rFonts w:ascii="Arial" w:cs="Arial" w:eastAsia="Arial" w:hAnsi="Arial"/>
          <w:sz w:val="17"/>
          <w:szCs w:val="17"/>
          <w:color w:val="auto"/>
        </w:rPr>
      </w:pPr>
      <w:r>
        <w:rPr>
          <w:rFonts w:ascii="Arial" w:cs="Arial" w:eastAsia="Arial" w:hAnsi="Arial"/>
          <w:sz w:val="17"/>
          <w:szCs w:val="17"/>
          <w:color w:val="auto"/>
        </w:rPr>
        <w:t>If the Borrower has made an election under paragraph (c) above but an Event of Default has occurred and is continuing, that election shall no longer apply and a proportion of the Loan in respect of which the election was made equal to the amount of the relevant prepayment shall be immediately due and payable (unless the Majority Lenders otherwise agree).</w:t>
      </w:r>
    </w:p>
    <w:p>
      <w:pPr>
        <w:spacing w:after="0" w:line="310" w:lineRule="exact"/>
        <w:rPr>
          <w:sz w:val="20"/>
          <w:szCs w:val="20"/>
          <w:color w:val="auto"/>
        </w:rPr>
      </w:pPr>
    </w:p>
    <w:p>
      <w:pPr>
        <w:ind w:left="764" w:hanging="764"/>
        <w:spacing w:after="0"/>
        <w:tabs>
          <w:tab w:leader="none" w:pos="764" w:val="left"/>
        </w:tabs>
        <w:numPr>
          <w:ilvl w:val="0"/>
          <w:numId w:val="917"/>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Notices of cancellation or prepayment</w:t>
      </w:r>
    </w:p>
    <w:p>
      <w:pPr>
        <w:spacing w:after="0" w:line="121" w:lineRule="exact"/>
        <w:rPr>
          <w:sz w:val="20"/>
          <w:szCs w:val="20"/>
          <w:color w:val="auto"/>
        </w:rPr>
      </w:pPr>
    </w:p>
    <w:p>
      <w:pPr>
        <w:ind w:left="764" w:right="20"/>
        <w:spacing w:after="0" w:line="259" w:lineRule="auto"/>
        <w:rPr>
          <w:sz w:val="20"/>
          <w:szCs w:val="20"/>
          <w:color w:val="auto"/>
        </w:rPr>
      </w:pPr>
      <w:r>
        <w:rPr>
          <w:rFonts w:ascii="Arial" w:cs="Arial" w:eastAsia="Arial" w:hAnsi="Arial"/>
          <w:sz w:val="18"/>
          <w:szCs w:val="18"/>
          <w:color w:val="auto"/>
        </w:rPr>
        <w:t>Any notice of cancellation or prepayment, authorisation or other election given by any Party under Clause 8 (</w:t>
      </w:r>
      <w:r>
        <w:rPr>
          <w:rFonts w:ascii="Arial" w:cs="Arial" w:eastAsia="Arial" w:hAnsi="Arial"/>
          <w:sz w:val="18"/>
          <w:szCs w:val="18"/>
          <w:i w:val="1"/>
          <w:iCs w:val="1"/>
          <w:color w:val="auto"/>
        </w:rPr>
        <w:t>Illegality, voluntary prepayment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and cancellation</w:t>
      </w:r>
      <w:r>
        <w:rPr>
          <w:rFonts w:ascii="Arial" w:cs="Arial" w:eastAsia="Arial" w:hAnsi="Arial"/>
          <w:sz w:val="18"/>
          <w:szCs w:val="18"/>
          <w:color w:val="auto"/>
        </w:rPr>
        <w:t>) shall be irrevocable and, unless a contrary indication appears in this Agreement, any such notice shall specify the date or</w:t>
      </w:r>
      <w:r>
        <w:rPr>
          <w:rFonts w:ascii="Arial" w:cs="Arial" w:eastAsia="Arial" w:hAnsi="Arial"/>
          <w:sz w:val="18"/>
          <w:szCs w:val="18"/>
          <w:i w:val="1"/>
          <w:iCs w:val="1"/>
          <w:color w:val="auto"/>
        </w:rPr>
        <w:t xml:space="preserve"> </w:t>
      </w:r>
      <w:r>
        <w:rPr>
          <w:rFonts w:ascii="Arial" w:cs="Arial" w:eastAsia="Arial" w:hAnsi="Arial"/>
          <w:sz w:val="18"/>
          <w:szCs w:val="18"/>
          <w:color w:val="auto"/>
        </w:rPr>
        <w:t>dates upon which the relevant cancellation or prepayment is to be made, the affected Facility (or Facilities) and Utilisations and the amount of that cancellation or prepayment.</w:t>
      </w:r>
    </w:p>
    <w:p>
      <w:pPr>
        <w:spacing w:after="0" w:line="3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Interest and other amounts</w:t>
      </w:r>
    </w:p>
    <w:p>
      <w:pPr>
        <w:spacing w:after="0" w:line="121" w:lineRule="exact"/>
        <w:rPr>
          <w:sz w:val="20"/>
          <w:szCs w:val="20"/>
          <w:color w:val="auto"/>
        </w:rPr>
      </w:pPr>
    </w:p>
    <w:p>
      <w:pPr>
        <w:ind w:left="764" w:right="220"/>
        <w:spacing w:after="0" w:line="277" w:lineRule="auto"/>
        <w:rPr>
          <w:sz w:val="20"/>
          <w:szCs w:val="20"/>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Reborrowing of Facilities</w:t>
      </w:r>
    </w:p>
    <w:p>
      <w:pPr>
        <w:spacing w:after="0" w:line="121" w:lineRule="exact"/>
        <w:rPr>
          <w:sz w:val="20"/>
          <w:szCs w:val="20"/>
          <w:color w:val="auto"/>
        </w:rPr>
      </w:pPr>
    </w:p>
    <w:p>
      <w:pPr>
        <w:ind w:left="764" w:right="140"/>
        <w:spacing w:after="0" w:line="308" w:lineRule="auto"/>
        <w:rPr>
          <w:sz w:val="20"/>
          <w:szCs w:val="20"/>
          <w:color w:val="auto"/>
        </w:rPr>
      </w:pPr>
      <w:r>
        <w:rPr>
          <w:rFonts w:ascii="Arial" w:cs="Arial" w:eastAsia="Arial" w:hAnsi="Arial"/>
          <w:sz w:val="17"/>
          <w:szCs w:val="17"/>
          <w:color w:val="auto"/>
        </w:rPr>
        <w:t>The Borrower shall not reborrow any part of Facility A which is prepaid. Unless a contrary indication appears in this Agreement, any part of the Revolving Facility which is repaid or voluntarily prepaid may be reborrowed in accordance with the terms of this Agreement.</w:t>
      </w:r>
    </w:p>
    <w:p>
      <w:pPr>
        <w:spacing w:after="0" w:line="29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Prepayment in accordance with Agreement</w:t>
      </w:r>
    </w:p>
    <w:p>
      <w:pPr>
        <w:spacing w:after="0" w:line="121" w:lineRule="exact"/>
        <w:rPr>
          <w:sz w:val="20"/>
          <w:szCs w:val="20"/>
          <w:color w:val="auto"/>
        </w:rPr>
      </w:pPr>
    </w:p>
    <w:p>
      <w:pPr>
        <w:ind w:left="764" w:right="60"/>
        <w:spacing w:after="0" w:line="277" w:lineRule="auto"/>
        <w:rPr>
          <w:sz w:val="20"/>
          <w:szCs w:val="20"/>
          <w:color w:val="auto"/>
        </w:rPr>
      </w:pPr>
      <w:r>
        <w:rPr>
          <w:rFonts w:ascii="Arial" w:cs="Arial" w:eastAsia="Arial" w:hAnsi="Arial"/>
          <w:sz w:val="18"/>
          <w:szCs w:val="18"/>
          <w:color w:val="auto"/>
        </w:rPr>
        <w:t>The Borrower shall not repay or prepay all or any part of the Utilisations or cancel all or any part of the Commitments except at the times and in the manner expressly provided for in this Agreement.</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No reinstatement of Commitments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No amount of the Total Commitments cancelled under this Agreement may be subsequently reinstated.</w:t>
      </w:r>
    </w:p>
    <w:p>
      <w:pPr>
        <w:spacing w:after="0" w:line="37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b w:val="1"/>
          <w:bCs w:val="1"/>
          <w:color w:val="auto"/>
        </w:rPr>
        <w:t>Agent’s receipt of notices</w:t>
      </w:r>
    </w:p>
    <w:p>
      <w:pPr>
        <w:spacing w:after="0" w:line="121" w:lineRule="exact"/>
        <w:rPr>
          <w:sz w:val="20"/>
          <w:szCs w:val="20"/>
          <w:color w:val="auto"/>
        </w:rPr>
      </w:pPr>
    </w:p>
    <w:p>
      <w:pPr>
        <w:ind w:left="764" w:right="380"/>
        <w:spacing w:after="0" w:line="277" w:lineRule="auto"/>
        <w:rPr>
          <w:sz w:val="20"/>
          <w:szCs w:val="20"/>
          <w:color w:val="auto"/>
        </w:rPr>
      </w:pPr>
      <w:r>
        <w:rPr>
          <w:rFonts w:ascii="Arial" w:cs="Arial" w:eastAsia="Arial" w:hAnsi="Arial"/>
          <w:sz w:val="18"/>
          <w:szCs w:val="18"/>
          <w:color w:val="auto"/>
        </w:rPr>
        <w:t>If the Agent receives a notice under Clause 8 (</w:t>
      </w:r>
      <w:r>
        <w:rPr>
          <w:rFonts w:ascii="Arial" w:cs="Arial" w:eastAsia="Arial" w:hAnsi="Arial"/>
          <w:sz w:val="18"/>
          <w:szCs w:val="18"/>
          <w:i w:val="1"/>
          <w:iCs w:val="1"/>
          <w:color w:val="auto"/>
        </w:rPr>
        <w:t>Illegality, voluntary prepayment and cancellation</w:t>
      </w:r>
      <w:r>
        <w:rPr>
          <w:rFonts w:ascii="Arial" w:cs="Arial" w:eastAsia="Arial" w:hAnsi="Arial"/>
          <w:sz w:val="18"/>
          <w:szCs w:val="18"/>
          <w:color w:val="auto"/>
        </w:rPr>
        <w:t>), it shall promptly forward a copy of that notice or election to either the Borrower or the affected Lender, as appropriate.</w:t>
      </w:r>
    </w:p>
    <w:p>
      <w:pPr>
        <w:spacing w:after="0" w:line="103"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663" w:name="page664"/>
    <w:bookmarkEnd w:id="663"/>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10.7</w:t>
      </w:r>
      <w:r>
        <w:rPr>
          <w:sz w:val="20"/>
          <w:szCs w:val="20"/>
          <w:color w:val="auto"/>
        </w:rPr>
        <w:tab/>
      </w:r>
      <w:r>
        <w:rPr>
          <w:rFonts w:ascii="Arial" w:cs="Arial" w:eastAsia="Arial" w:hAnsi="Arial"/>
          <w:sz w:val="15"/>
          <w:szCs w:val="15"/>
          <w:b w:val="1"/>
          <w:bCs w:val="1"/>
          <w:color w:val="auto"/>
        </w:rPr>
        <w:t>Prepayment notices</w:t>
      </w:r>
    </w:p>
    <w:p>
      <w:pPr>
        <w:spacing w:after="0" w:line="121" w:lineRule="exact"/>
        <w:rPr>
          <w:sz w:val="20"/>
          <w:szCs w:val="20"/>
          <w:color w:val="auto"/>
        </w:rPr>
      </w:pPr>
    </w:p>
    <w:p>
      <w:pPr>
        <w:ind w:left="760" w:right="180"/>
        <w:spacing w:after="0" w:line="277" w:lineRule="auto"/>
        <w:rPr>
          <w:sz w:val="20"/>
          <w:szCs w:val="20"/>
          <w:color w:val="auto"/>
        </w:rPr>
      </w:pPr>
      <w:r>
        <w:rPr>
          <w:rFonts w:ascii="Arial" w:cs="Arial" w:eastAsia="Arial" w:hAnsi="Arial"/>
          <w:sz w:val="18"/>
          <w:szCs w:val="18"/>
          <w:color w:val="auto"/>
        </w:rPr>
        <w:t>The Agent shall notify the Lenders as soon as possible of any proposed prepayment of that Facility under Clause 8.3 (</w:t>
      </w:r>
      <w:r>
        <w:rPr>
          <w:rFonts w:ascii="Arial" w:cs="Arial" w:eastAsia="Arial" w:hAnsi="Arial"/>
          <w:sz w:val="18"/>
          <w:szCs w:val="18"/>
          <w:i w:val="1"/>
          <w:iCs w:val="1"/>
          <w:color w:val="auto"/>
        </w:rPr>
        <w:t>Voluntary prepayment</w:t>
      </w:r>
      <w:r>
        <w:rPr>
          <w:rFonts w:ascii="Arial" w:cs="Arial" w:eastAsia="Arial" w:hAnsi="Arial"/>
          <w:sz w:val="18"/>
          <w:szCs w:val="18"/>
          <w:color w:val="auto"/>
        </w:rPr>
        <w:t xml:space="preserve"> </w:t>
      </w:r>
      <w:r>
        <w:rPr>
          <w:rFonts w:ascii="Arial" w:cs="Arial" w:eastAsia="Arial" w:hAnsi="Arial"/>
          <w:sz w:val="18"/>
          <w:szCs w:val="18"/>
          <w:i w:val="1"/>
          <w:iCs w:val="1"/>
          <w:color w:val="auto"/>
        </w:rPr>
        <w:t>of the Facility A Loan</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color w:val="auto"/>
        </w:rPr>
        <w:t>Effect of repayment and prepayment</w:t>
      </w:r>
    </w:p>
    <w:p>
      <w:pPr>
        <w:spacing w:after="0" w:line="121" w:lineRule="exact"/>
        <w:rPr>
          <w:sz w:val="20"/>
          <w:szCs w:val="20"/>
          <w:color w:val="auto"/>
        </w:rPr>
      </w:pPr>
    </w:p>
    <w:p>
      <w:pPr>
        <w:ind w:left="760" w:right="60"/>
        <w:spacing w:after="0" w:line="273" w:lineRule="auto"/>
        <w:rPr>
          <w:sz w:val="20"/>
          <w:szCs w:val="20"/>
          <w:color w:val="auto"/>
        </w:rPr>
      </w:pPr>
      <w:r>
        <w:rPr>
          <w:rFonts w:ascii="Arial" w:cs="Arial" w:eastAsia="Arial" w:hAnsi="Arial"/>
          <w:sz w:val="17"/>
          <w:szCs w:val="17"/>
          <w:color w:val="auto"/>
        </w:rPr>
        <w:t>If all or part of a Loan under the Revolving Facility is repaid or prepaid and is not available for redrawing (other than as may conditionally be the case pursuant to Clause 4.1 (</w:t>
      </w:r>
      <w:r>
        <w:rPr>
          <w:rFonts w:ascii="Arial" w:cs="Arial" w:eastAsia="Arial" w:hAnsi="Arial"/>
          <w:sz w:val="17"/>
          <w:szCs w:val="17"/>
          <w:i w:val="1"/>
          <w:iCs w:val="1"/>
          <w:color w:val="auto"/>
        </w:rPr>
        <w:t>Utilisation conditions precedent</w:t>
      </w:r>
      <w:r>
        <w:rPr>
          <w:rFonts w:ascii="Arial" w:cs="Arial" w:eastAsia="Arial" w:hAnsi="Arial"/>
          <w:sz w:val="17"/>
          <w:szCs w:val="17"/>
          <w:color w:val="auto"/>
        </w:rPr>
        <w:t>)), an amount of the Commitments (equal to the amount of the Loan which is repaid or prepaid) in respect of the Revolving Facility will be deemed to be cancelled on the date of repayment or prepayment. Any cancellation under this Clause 10.8 (save in connection with any repayment or, as the case may be, prepayment under paragraph (c) of Clause 8.1 (</w:t>
      </w:r>
      <w:r>
        <w:rPr>
          <w:rFonts w:ascii="Arial" w:cs="Arial" w:eastAsia="Arial" w:hAnsi="Arial"/>
          <w:sz w:val="17"/>
          <w:szCs w:val="17"/>
          <w:i w:val="1"/>
          <w:iCs w:val="1"/>
          <w:color w:val="auto"/>
        </w:rPr>
        <w:t>Illegality</w:t>
      </w:r>
      <w:r>
        <w:rPr>
          <w:rFonts w:ascii="Arial" w:cs="Arial" w:eastAsia="Arial" w:hAnsi="Arial"/>
          <w:sz w:val="17"/>
          <w:szCs w:val="17"/>
          <w:color w:val="auto"/>
        </w:rPr>
        <w:t>) or Clause 37.7 (</w:t>
      </w:r>
      <w:r>
        <w:rPr>
          <w:rFonts w:ascii="Arial" w:cs="Arial" w:eastAsia="Arial" w:hAnsi="Arial"/>
          <w:sz w:val="17"/>
          <w:szCs w:val="17"/>
          <w:i w:val="1"/>
          <w:iCs w:val="1"/>
          <w:color w:val="auto"/>
        </w:rPr>
        <w:t>Cancellation and repayment of a Replaceable Lender (other than an Illegal Lender</w:t>
      </w:r>
      <w:r>
        <w:rPr>
          <w:rFonts w:ascii="Arial" w:cs="Arial" w:eastAsia="Arial" w:hAnsi="Arial"/>
          <w:sz w:val="17"/>
          <w:szCs w:val="17"/>
          <w:color w:val="auto"/>
        </w:rPr>
        <w:t>)) shall reduce the Commitments of the Lenders rateably under the Revolving Facility.</w:t>
      </w:r>
    </w:p>
    <w:p>
      <w:pPr>
        <w:spacing w:after="0" w:line="110"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64" w:name="page665"/>
    <w:bookmarkEnd w:id="66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COSTS OF UTILISATION</w:t>
      </w:r>
    </w:p>
    <w:p>
      <w:pPr>
        <w:spacing w:after="0" w:line="234" w:lineRule="exact"/>
        <w:rPr>
          <w:sz w:val="20"/>
          <w:szCs w:val="20"/>
          <w:color w:val="auto"/>
        </w:rPr>
      </w:pPr>
    </w:p>
    <w:p>
      <w:pPr>
        <w:ind w:left="764" w:hanging="764"/>
        <w:spacing w:after="0"/>
        <w:tabs>
          <w:tab w:leader="none" w:pos="764" w:val="left"/>
        </w:tabs>
        <w:numPr>
          <w:ilvl w:val="0"/>
          <w:numId w:val="918"/>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Calculation of interest</w:t>
      </w:r>
    </w:p>
    <w:p>
      <w:pPr>
        <w:spacing w:after="0" w:line="121"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The rate of interest on each Loan for each Interest Period is the percentage rate per annum which is the aggregate of the applicable:</w:t>
      </w:r>
    </w:p>
    <w:p>
      <w:pPr>
        <w:spacing w:after="0" w:line="131" w:lineRule="exact"/>
        <w:rPr>
          <w:sz w:val="20"/>
          <w:szCs w:val="20"/>
          <w:color w:val="auto"/>
        </w:rPr>
      </w:pPr>
    </w:p>
    <w:p>
      <w:pPr>
        <w:ind w:left="1304" w:hanging="535"/>
        <w:spacing w:after="0"/>
        <w:tabs>
          <w:tab w:leader="none" w:pos="1304" w:val="left"/>
        </w:tabs>
        <w:numPr>
          <w:ilvl w:val="0"/>
          <w:numId w:val="919"/>
        </w:numPr>
        <w:rPr>
          <w:rFonts w:ascii="Arial" w:cs="Arial" w:eastAsia="Arial" w:hAnsi="Arial"/>
          <w:sz w:val="18"/>
          <w:szCs w:val="18"/>
          <w:color w:val="auto"/>
        </w:rPr>
      </w:pPr>
      <w:r>
        <w:rPr>
          <w:rFonts w:ascii="Arial" w:cs="Arial" w:eastAsia="Arial" w:hAnsi="Arial"/>
          <w:sz w:val="18"/>
          <w:szCs w:val="18"/>
          <w:color w:val="auto"/>
        </w:rPr>
        <w:t>Margin; and</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0"/>
          <w:numId w:val="919"/>
        </w:numPr>
        <w:rPr>
          <w:rFonts w:ascii="Arial" w:cs="Arial" w:eastAsia="Arial" w:hAnsi="Arial"/>
          <w:sz w:val="18"/>
          <w:szCs w:val="18"/>
          <w:color w:val="auto"/>
        </w:rPr>
      </w:pPr>
      <w:r>
        <w:rPr>
          <w:rFonts w:ascii="Arial" w:cs="Arial" w:eastAsia="Arial" w:hAnsi="Arial"/>
          <w:sz w:val="18"/>
          <w:szCs w:val="18"/>
          <w:color w:val="auto"/>
        </w:rPr>
        <w:t>HIBOR.</w:t>
      </w:r>
    </w:p>
    <w:p>
      <w:pPr>
        <w:spacing w:after="0" w:line="37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Payment of interest</w:t>
      </w:r>
    </w:p>
    <w:p>
      <w:pPr>
        <w:spacing w:after="0" w:line="121" w:lineRule="exact"/>
        <w:rPr>
          <w:sz w:val="20"/>
          <w:szCs w:val="20"/>
          <w:color w:val="auto"/>
        </w:rPr>
      </w:pPr>
    </w:p>
    <w:p>
      <w:pPr>
        <w:ind w:left="764" w:right="520"/>
        <w:spacing w:after="0" w:line="342" w:lineRule="auto"/>
        <w:rPr>
          <w:sz w:val="20"/>
          <w:szCs w:val="20"/>
          <w:color w:val="auto"/>
        </w:rPr>
      </w:pPr>
      <w:r>
        <w:rPr>
          <w:rFonts w:ascii="Arial" w:cs="Arial" w:eastAsia="Arial" w:hAnsi="Arial"/>
          <w:sz w:val="16"/>
          <w:szCs w:val="16"/>
          <w:color w:val="auto"/>
        </w:rPr>
        <w:t>The Borrower to which a Loan has been made shall pay accrued interest on that Loan on the last day of each Interest Period (and, if the Interest Period is longer than three Months, on the dates falling at three-monthly intervals after the first day of the Interest Period).</w:t>
      </w:r>
    </w:p>
    <w:p>
      <w:pPr>
        <w:spacing w:after="0" w:line="26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Default interest</w:t>
      </w:r>
    </w:p>
    <w:p>
      <w:pPr>
        <w:spacing w:after="0" w:line="135" w:lineRule="exact"/>
        <w:rPr>
          <w:sz w:val="20"/>
          <w:szCs w:val="20"/>
          <w:color w:val="auto"/>
        </w:rPr>
      </w:pPr>
    </w:p>
    <w:p>
      <w:pPr>
        <w:ind w:left="1304" w:right="40" w:hanging="535"/>
        <w:spacing w:after="0" w:line="291" w:lineRule="auto"/>
        <w:tabs>
          <w:tab w:leader="none" w:pos="1304" w:val="left"/>
        </w:tabs>
        <w:numPr>
          <w:ilvl w:val="0"/>
          <w:numId w:val="920"/>
        </w:numPr>
        <w:rPr>
          <w:rFonts w:ascii="Arial" w:cs="Arial" w:eastAsia="Arial" w:hAnsi="Arial"/>
          <w:sz w:val="16"/>
          <w:szCs w:val="16"/>
          <w:color w:val="auto"/>
        </w:rPr>
      </w:pPr>
      <w:r>
        <w:rPr>
          <w:rFonts w:ascii="Arial" w:cs="Arial" w:eastAsia="Arial" w:hAnsi="Arial"/>
          <w:sz w:val="16"/>
          <w:szCs w:val="16"/>
          <w:color w:val="auto"/>
        </w:rPr>
        <w:t>If an Obligor fails to pay any amount payable by it under a Finance Document on its due date, interest shall accrue on the Unpaid Sum from the due date up to the date of actual payment (both before and after judgment) at a rate which, subject to paragraph (b) below, is</w:t>
      </w:r>
    </w:p>
    <w:p>
      <w:pPr>
        <w:ind w:left="1304" w:right="100"/>
        <w:spacing w:after="0" w:line="253" w:lineRule="auto"/>
        <w:rPr>
          <w:rFonts w:ascii="Arial" w:cs="Arial" w:eastAsia="Arial" w:hAnsi="Arial"/>
          <w:sz w:val="16"/>
          <w:szCs w:val="16"/>
          <w:color w:val="auto"/>
        </w:rPr>
      </w:pPr>
      <w:r>
        <w:rPr>
          <w:rFonts w:ascii="Arial" w:cs="Arial" w:eastAsia="Arial" w:hAnsi="Arial"/>
          <w:sz w:val="18"/>
          <w:szCs w:val="18"/>
          <w:color w:val="auto"/>
        </w:rPr>
        <w:t>2 per cent. higher than the rate which would have been payable if the Unpaid Sum had, during the period of non-payment, constituted a Loan in the currency of the Unpaid Sum for successive Interest Periods, each of a duration selected by the Agent (acting reasonably). Any interest accruing under this Clause 11.3 shall be immediately payable by the relevant Obligor on demand by the Agent.</w:t>
      </w:r>
    </w:p>
    <w:p>
      <w:pPr>
        <w:spacing w:after="0" w:line="98" w:lineRule="exact"/>
        <w:rPr>
          <w:rFonts w:ascii="Arial" w:cs="Arial" w:eastAsia="Arial" w:hAnsi="Arial"/>
          <w:sz w:val="16"/>
          <w:szCs w:val="16"/>
          <w:color w:val="auto"/>
        </w:rPr>
      </w:pPr>
    </w:p>
    <w:p>
      <w:pPr>
        <w:ind w:left="1304" w:right="560" w:hanging="535"/>
        <w:spacing w:after="0" w:line="277" w:lineRule="auto"/>
        <w:tabs>
          <w:tab w:leader="none" w:pos="1304" w:val="left"/>
        </w:tabs>
        <w:numPr>
          <w:ilvl w:val="0"/>
          <w:numId w:val="920"/>
        </w:numPr>
        <w:rPr>
          <w:rFonts w:ascii="Arial" w:cs="Arial" w:eastAsia="Arial" w:hAnsi="Arial"/>
          <w:sz w:val="18"/>
          <w:szCs w:val="18"/>
          <w:color w:val="auto"/>
        </w:rPr>
      </w:pPr>
      <w:r>
        <w:rPr>
          <w:rFonts w:ascii="Arial" w:cs="Arial" w:eastAsia="Arial" w:hAnsi="Arial"/>
          <w:sz w:val="18"/>
          <w:szCs w:val="18"/>
          <w:color w:val="auto"/>
        </w:rPr>
        <w:t>If any Unpaid Sum consists of all or part of a Loan which became due on a day which was not the last day of an Interest Period relating to that Loan:</w:t>
      </w:r>
    </w:p>
    <w:p>
      <w:pPr>
        <w:spacing w:after="0" w:line="75" w:lineRule="exact"/>
        <w:rPr>
          <w:rFonts w:ascii="Arial" w:cs="Arial" w:eastAsia="Arial" w:hAnsi="Arial"/>
          <w:sz w:val="18"/>
          <w:szCs w:val="18"/>
          <w:color w:val="auto"/>
        </w:rPr>
      </w:pPr>
    </w:p>
    <w:p>
      <w:pPr>
        <w:ind w:left="1964" w:right="20" w:hanging="655"/>
        <w:spacing w:after="0" w:line="277" w:lineRule="auto"/>
        <w:tabs>
          <w:tab w:leader="none" w:pos="1964" w:val="left"/>
        </w:tabs>
        <w:numPr>
          <w:ilvl w:val="1"/>
          <w:numId w:val="920"/>
        </w:numPr>
        <w:rPr>
          <w:rFonts w:ascii="Arial" w:cs="Arial" w:eastAsia="Arial" w:hAnsi="Arial"/>
          <w:sz w:val="18"/>
          <w:szCs w:val="18"/>
          <w:color w:val="auto"/>
        </w:rPr>
      </w:pPr>
      <w:r>
        <w:rPr>
          <w:rFonts w:ascii="Arial" w:cs="Arial" w:eastAsia="Arial" w:hAnsi="Arial"/>
          <w:sz w:val="18"/>
          <w:szCs w:val="18"/>
          <w:color w:val="auto"/>
        </w:rPr>
        <w:t>the first Interest Period for that Unpaid Sum shall have a duration equal to the unexpired portion of the current Interest Period relating to that Loan; and</w:t>
      </w:r>
    </w:p>
    <w:p>
      <w:pPr>
        <w:spacing w:after="0" w:line="75" w:lineRule="exact"/>
        <w:rPr>
          <w:rFonts w:ascii="Arial" w:cs="Arial" w:eastAsia="Arial" w:hAnsi="Arial"/>
          <w:sz w:val="18"/>
          <w:szCs w:val="18"/>
          <w:color w:val="auto"/>
        </w:rPr>
      </w:pPr>
    </w:p>
    <w:p>
      <w:pPr>
        <w:ind w:left="1964" w:right="100" w:hanging="655"/>
        <w:spacing w:after="0" w:line="277" w:lineRule="auto"/>
        <w:tabs>
          <w:tab w:leader="none" w:pos="1964" w:val="left"/>
        </w:tabs>
        <w:numPr>
          <w:ilvl w:val="1"/>
          <w:numId w:val="920"/>
        </w:numPr>
        <w:rPr>
          <w:rFonts w:ascii="Arial" w:cs="Arial" w:eastAsia="Arial" w:hAnsi="Arial"/>
          <w:sz w:val="18"/>
          <w:szCs w:val="18"/>
          <w:color w:val="auto"/>
        </w:rPr>
      </w:pPr>
      <w:r>
        <w:rPr>
          <w:rFonts w:ascii="Arial" w:cs="Arial" w:eastAsia="Arial" w:hAnsi="Arial"/>
          <w:sz w:val="18"/>
          <w:szCs w:val="18"/>
          <w:color w:val="auto"/>
        </w:rPr>
        <w:t>the rate of interest applying to the Unpaid Sum during that first Interest Period shall be 2 per cent. higher than the rate which would have applied if the Unpaid Sum had not become due.</w:t>
      </w:r>
    </w:p>
    <w:p>
      <w:pPr>
        <w:spacing w:after="0" w:line="75" w:lineRule="exact"/>
        <w:rPr>
          <w:rFonts w:ascii="Arial" w:cs="Arial" w:eastAsia="Arial" w:hAnsi="Arial"/>
          <w:sz w:val="18"/>
          <w:szCs w:val="18"/>
          <w:color w:val="auto"/>
        </w:rPr>
      </w:pPr>
    </w:p>
    <w:p>
      <w:pPr>
        <w:ind w:left="1304" w:right="360" w:hanging="535"/>
        <w:spacing w:after="0" w:line="277" w:lineRule="auto"/>
        <w:tabs>
          <w:tab w:leader="none" w:pos="1304" w:val="left"/>
        </w:tabs>
        <w:numPr>
          <w:ilvl w:val="0"/>
          <w:numId w:val="920"/>
        </w:numPr>
        <w:rPr>
          <w:rFonts w:ascii="Arial" w:cs="Arial" w:eastAsia="Arial" w:hAnsi="Arial"/>
          <w:sz w:val="18"/>
          <w:szCs w:val="18"/>
          <w:color w:val="auto"/>
        </w:rPr>
      </w:pPr>
      <w:r>
        <w:rPr>
          <w:rFonts w:ascii="Arial" w:cs="Arial" w:eastAsia="Arial" w:hAnsi="Arial"/>
          <w:sz w:val="18"/>
          <w:szCs w:val="18"/>
          <w:color w:val="auto"/>
        </w:rPr>
        <w:t>Default interest (if unpaid) arising on an Unpaid Sum will be compounded with the Unpaid Sum at the end of each Interest Period applicable to that Unpaid Sum but will remain immediately due and payable.</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Notification of rates of interest</w:t>
      </w:r>
    </w:p>
    <w:p>
      <w:pPr>
        <w:spacing w:after="0" w:line="121" w:lineRule="exact"/>
        <w:rPr>
          <w:sz w:val="20"/>
          <w:szCs w:val="20"/>
          <w:color w:val="auto"/>
        </w:rPr>
      </w:pPr>
    </w:p>
    <w:p>
      <w:pPr>
        <w:ind w:left="764" w:right="360"/>
        <w:spacing w:after="0" w:line="277" w:lineRule="auto"/>
        <w:rPr>
          <w:sz w:val="20"/>
          <w:szCs w:val="20"/>
          <w:color w:val="auto"/>
        </w:rPr>
      </w:pPr>
      <w:r>
        <w:rPr>
          <w:rFonts w:ascii="Arial" w:cs="Arial" w:eastAsia="Arial" w:hAnsi="Arial"/>
          <w:sz w:val="18"/>
          <w:szCs w:val="18"/>
          <w:color w:val="auto"/>
        </w:rPr>
        <w:t>The Agent shall promptly notify the Lenders and the relevant Borrower (or the Parent) of the determination of a rate of interest under this Agreement.</w:t>
      </w:r>
    </w:p>
    <w:p>
      <w:pPr>
        <w:spacing w:after="0" w:line="315" w:lineRule="exact"/>
        <w:rPr>
          <w:sz w:val="20"/>
          <w:szCs w:val="20"/>
          <w:color w:val="auto"/>
        </w:rPr>
      </w:pPr>
    </w:p>
    <w:p>
      <w:pPr>
        <w:ind w:left="764" w:hanging="764"/>
        <w:spacing w:after="0"/>
        <w:tabs>
          <w:tab w:leader="none" w:pos="764" w:val="left"/>
        </w:tabs>
        <w:numPr>
          <w:ilvl w:val="0"/>
          <w:numId w:val="921"/>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Selection of Interest Periods</w:t>
      </w:r>
    </w:p>
    <w:p>
      <w:pPr>
        <w:spacing w:after="0" w:line="135" w:lineRule="exact"/>
        <w:rPr>
          <w:sz w:val="20"/>
          <w:szCs w:val="20"/>
          <w:color w:val="auto"/>
        </w:rPr>
      </w:pPr>
    </w:p>
    <w:p>
      <w:pPr>
        <w:ind w:left="1304" w:right="100" w:hanging="535"/>
        <w:spacing w:after="0" w:line="263" w:lineRule="auto"/>
        <w:tabs>
          <w:tab w:leader="none" w:pos="1304" w:val="left"/>
        </w:tabs>
        <w:numPr>
          <w:ilvl w:val="0"/>
          <w:numId w:val="922"/>
        </w:numPr>
        <w:rPr>
          <w:rFonts w:ascii="Arial" w:cs="Arial" w:eastAsia="Arial" w:hAnsi="Arial"/>
          <w:sz w:val="18"/>
          <w:szCs w:val="18"/>
          <w:color w:val="auto"/>
        </w:rPr>
      </w:pPr>
      <w:r>
        <w:rPr>
          <w:rFonts w:ascii="Arial" w:cs="Arial" w:eastAsia="Arial" w:hAnsi="Arial"/>
          <w:sz w:val="18"/>
          <w:szCs w:val="18"/>
          <w:color w:val="auto"/>
        </w:rPr>
        <w:t>The Borrower (or the Parent on behalf of the Borrower) may select a subsequent Interest Period for the Facility A Loan in a Selection Notice. The Borrower (or the Parent on behalf of the Borrower) may select an Interest Period for a Revolving Facility Loan in the Utilisation Request for that Revolving Facility Loan.</w:t>
      </w:r>
    </w:p>
    <w:p>
      <w:pPr>
        <w:spacing w:after="0" w:line="116"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65" w:name="page666"/>
    <w:bookmarkEnd w:id="665"/>
    <w:p>
      <w:pPr>
        <w:jc w:val="both"/>
        <w:ind w:left="1304" w:right="360" w:hanging="535"/>
        <w:spacing w:after="0" w:line="342" w:lineRule="auto"/>
        <w:tabs>
          <w:tab w:leader="none" w:pos="1304" w:val="left"/>
        </w:tabs>
        <w:numPr>
          <w:ilvl w:val="0"/>
          <w:numId w:val="9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Selection Notice for the Facility A Loan is irrevocable and must be delivered to the Agent by the Borrower (or the Parent on behalf of the Borrower) not later than 11.00 a.m. on the fifth Business Day prior to the commencement of the next Interest Period.</w:t>
      </w:r>
    </w:p>
    <w:p>
      <w:pPr>
        <w:spacing w:after="0" w:line="29" w:lineRule="exact"/>
        <w:rPr>
          <w:rFonts w:ascii="Arial" w:cs="Arial" w:eastAsia="Arial" w:hAnsi="Arial"/>
          <w:sz w:val="16"/>
          <w:szCs w:val="16"/>
          <w:color w:val="auto"/>
        </w:rPr>
      </w:pPr>
    </w:p>
    <w:p>
      <w:pPr>
        <w:ind w:left="1304" w:right="300" w:hanging="535"/>
        <w:spacing w:after="0" w:line="277" w:lineRule="auto"/>
        <w:tabs>
          <w:tab w:leader="none" w:pos="1304" w:val="left"/>
        </w:tabs>
        <w:numPr>
          <w:ilvl w:val="0"/>
          <w:numId w:val="923"/>
        </w:numPr>
        <w:rPr>
          <w:rFonts w:ascii="Arial" w:cs="Arial" w:eastAsia="Arial" w:hAnsi="Arial"/>
          <w:sz w:val="18"/>
          <w:szCs w:val="18"/>
          <w:color w:val="auto"/>
        </w:rPr>
      </w:pPr>
      <w:r>
        <w:rPr>
          <w:rFonts w:ascii="Arial" w:cs="Arial" w:eastAsia="Arial" w:hAnsi="Arial"/>
          <w:sz w:val="18"/>
          <w:szCs w:val="18"/>
          <w:color w:val="auto"/>
        </w:rPr>
        <w:t>If the Borrower (or the Parent) fails to deliver a Selection Notice to the Agent in accordance with paragraph (b) above, the relevant Interest Period in respect of the Facility A Loan will be one Month.</w:t>
      </w:r>
    </w:p>
    <w:p>
      <w:pPr>
        <w:spacing w:after="0" w:line="75" w:lineRule="exact"/>
        <w:rPr>
          <w:rFonts w:ascii="Arial" w:cs="Arial" w:eastAsia="Arial" w:hAnsi="Arial"/>
          <w:sz w:val="18"/>
          <w:szCs w:val="18"/>
          <w:color w:val="auto"/>
        </w:rPr>
      </w:pPr>
    </w:p>
    <w:p>
      <w:pPr>
        <w:jc w:val="both"/>
        <w:ind w:left="1304" w:right="20" w:hanging="535"/>
        <w:spacing w:after="0" w:line="342" w:lineRule="auto"/>
        <w:tabs>
          <w:tab w:leader="none" w:pos="1304" w:val="left"/>
        </w:tabs>
        <w:numPr>
          <w:ilvl w:val="0"/>
          <w:numId w:val="923"/>
        </w:numPr>
        <w:rPr>
          <w:rFonts w:ascii="Arial" w:cs="Arial" w:eastAsia="Arial" w:hAnsi="Arial"/>
          <w:sz w:val="16"/>
          <w:szCs w:val="16"/>
          <w:color w:val="auto"/>
        </w:rPr>
      </w:pPr>
      <w:r>
        <w:rPr>
          <w:rFonts w:ascii="Arial" w:cs="Arial" w:eastAsia="Arial" w:hAnsi="Arial"/>
          <w:sz w:val="16"/>
          <w:szCs w:val="16"/>
          <w:color w:val="auto"/>
        </w:rPr>
        <w:t>Subject to this Clause 12, the Borrower (or the Parent) may select an Interest Period for a Loan of one, two, three or six Months or any other period agreed between the Borrower and the Agent (acting on the instructions of all the Lenders in relation to the relevant Loan).</w:t>
      </w:r>
    </w:p>
    <w:p>
      <w:pPr>
        <w:spacing w:after="0" w:line="29" w:lineRule="exact"/>
        <w:rPr>
          <w:rFonts w:ascii="Arial" w:cs="Arial" w:eastAsia="Arial" w:hAnsi="Arial"/>
          <w:sz w:val="16"/>
          <w:szCs w:val="16"/>
          <w:color w:val="auto"/>
        </w:rPr>
      </w:pPr>
    </w:p>
    <w:p>
      <w:pPr>
        <w:ind w:left="1304" w:hanging="535"/>
        <w:spacing w:after="0"/>
        <w:tabs>
          <w:tab w:leader="none" w:pos="1304" w:val="left"/>
        </w:tabs>
        <w:numPr>
          <w:ilvl w:val="0"/>
          <w:numId w:val="923"/>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Termination Date applicable to its Facility.</w:t>
      </w:r>
    </w:p>
    <w:p>
      <w:pPr>
        <w:spacing w:after="0" w:line="130" w:lineRule="exact"/>
        <w:rPr>
          <w:rFonts w:ascii="Arial" w:cs="Arial" w:eastAsia="Arial" w:hAnsi="Arial"/>
          <w:sz w:val="18"/>
          <w:szCs w:val="18"/>
          <w:color w:val="auto"/>
        </w:rPr>
      </w:pPr>
    </w:p>
    <w:p>
      <w:pPr>
        <w:ind w:left="1304" w:right="240" w:hanging="535"/>
        <w:spacing w:after="0" w:line="277" w:lineRule="auto"/>
        <w:tabs>
          <w:tab w:leader="none" w:pos="1304" w:val="left"/>
        </w:tabs>
        <w:numPr>
          <w:ilvl w:val="0"/>
          <w:numId w:val="923"/>
        </w:numPr>
        <w:rPr>
          <w:rFonts w:ascii="Arial" w:cs="Arial" w:eastAsia="Arial" w:hAnsi="Arial"/>
          <w:sz w:val="18"/>
          <w:szCs w:val="18"/>
          <w:color w:val="auto"/>
        </w:rPr>
      </w:pPr>
      <w:r>
        <w:rPr>
          <w:rFonts w:ascii="Arial" w:cs="Arial" w:eastAsia="Arial" w:hAnsi="Arial"/>
          <w:sz w:val="18"/>
          <w:szCs w:val="18"/>
          <w:color w:val="auto"/>
        </w:rPr>
        <w:t>Each Interest Period for a Loan shall start on the Utilisation Date with respect to that Loan or (if already made) on the last day of its preceding Interest Period.</w:t>
      </w:r>
    </w:p>
    <w:p>
      <w:pPr>
        <w:spacing w:after="0" w:line="75" w:lineRule="exact"/>
        <w:rPr>
          <w:rFonts w:ascii="Arial" w:cs="Arial" w:eastAsia="Arial" w:hAnsi="Arial"/>
          <w:sz w:val="18"/>
          <w:szCs w:val="18"/>
          <w:color w:val="auto"/>
        </w:rPr>
      </w:pPr>
    </w:p>
    <w:p>
      <w:pPr>
        <w:ind w:left="1304" w:hanging="535"/>
        <w:spacing w:after="0"/>
        <w:tabs>
          <w:tab w:leader="none" w:pos="1304" w:val="left"/>
        </w:tabs>
        <w:numPr>
          <w:ilvl w:val="0"/>
          <w:numId w:val="923"/>
        </w:numPr>
        <w:rPr>
          <w:rFonts w:ascii="Arial" w:cs="Arial" w:eastAsia="Arial" w:hAnsi="Arial"/>
          <w:sz w:val="18"/>
          <w:szCs w:val="18"/>
          <w:color w:val="auto"/>
        </w:rPr>
      </w:pPr>
      <w:r>
        <w:rPr>
          <w:rFonts w:ascii="Arial" w:cs="Arial" w:eastAsia="Arial" w:hAnsi="Arial"/>
          <w:sz w:val="18"/>
          <w:szCs w:val="18"/>
          <w:color w:val="auto"/>
        </w:rPr>
        <w:t>A Revolving Facility Loan has one Interest Period only.</w:t>
      </w:r>
    </w:p>
    <w:p>
      <w:pPr>
        <w:spacing w:after="0" w:line="37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Non-Business Days</w:t>
      </w:r>
    </w:p>
    <w:p>
      <w:pPr>
        <w:spacing w:after="0" w:line="121" w:lineRule="exact"/>
        <w:rPr>
          <w:sz w:val="20"/>
          <w:szCs w:val="20"/>
          <w:color w:val="auto"/>
        </w:rPr>
      </w:pPr>
    </w:p>
    <w:p>
      <w:pPr>
        <w:ind w:left="764" w:right="40"/>
        <w:spacing w:after="0" w:line="277"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315" w:lineRule="exact"/>
        <w:rPr>
          <w:sz w:val="20"/>
          <w:szCs w:val="20"/>
          <w:color w:val="auto"/>
        </w:rPr>
      </w:pPr>
    </w:p>
    <w:p>
      <w:pPr>
        <w:ind w:left="764" w:hanging="764"/>
        <w:spacing w:after="0"/>
        <w:tabs>
          <w:tab w:leader="none" w:pos="764" w:val="left"/>
        </w:tabs>
        <w:numPr>
          <w:ilvl w:val="0"/>
          <w:numId w:val="924"/>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calculation of interest</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w:t>
      </w:r>
      <w:r>
        <w:rPr>
          <w:rFonts w:ascii="Arial" w:cs="Arial" w:eastAsia="Arial" w:hAnsi="Arial"/>
          <w:sz w:val="15"/>
          <w:szCs w:val="15"/>
          <w:b w:val="1"/>
          <w:bCs w:val="1"/>
          <w:color w:val="auto"/>
        </w:rPr>
        <w:t>Absence of quotations</w:t>
      </w:r>
    </w:p>
    <w:p>
      <w:pPr>
        <w:spacing w:after="0" w:line="121" w:lineRule="exact"/>
        <w:rPr>
          <w:sz w:val="20"/>
          <w:szCs w:val="20"/>
          <w:color w:val="auto"/>
        </w:rPr>
      </w:pPr>
    </w:p>
    <w:p>
      <w:pPr>
        <w:jc w:val="both"/>
        <w:ind w:left="764" w:right="20"/>
        <w:spacing w:after="0" w:line="263" w:lineRule="auto"/>
        <w:rPr>
          <w:sz w:val="20"/>
          <w:szCs w:val="20"/>
          <w:color w:val="auto"/>
        </w:rPr>
      </w:pPr>
      <w:r>
        <w:rPr>
          <w:rFonts w:ascii="Arial" w:cs="Arial" w:eastAsia="Arial" w:hAnsi="Arial"/>
          <w:sz w:val="18"/>
          <w:szCs w:val="18"/>
          <w:color w:val="auto"/>
        </w:rPr>
        <w:t>Subject to Clause 13.2 (</w:t>
      </w:r>
      <w:r>
        <w:rPr>
          <w:rFonts w:ascii="Arial" w:cs="Arial" w:eastAsia="Arial" w:hAnsi="Arial"/>
          <w:sz w:val="18"/>
          <w:szCs w:val="18"/>
          <w:i w:val="1"/>
          <w:iCs w:val="1"/>
          <w:color w:val="auto"/>
        </w:rPr>
        <w:t>Market disruption</w:t>
      </w:r>
      <w:r>
        <w:rPr>
          <w:rFonts w:ascii="Arial" w:cs="Arial" w:eastAsia="Arial" w:hAnsi="Arial"/>
          <w:sz w:val="18"/>
          <w:szCs w:val="18"/>
          <w:color w:val="auto"/>
        </w:rPr>
        <w:t>), if HIBOR is to be determined by reference to the Reference Banks but a Reference Bank does not supply a quotation by (in relation to HIBOR) 11:00 a.m. on the Quotation Date for HK dollars, HIBOR shall be determined on the basis of the quotations of the remaining Reference Banks.</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Market disruption</w:t>
      </w:r>
    </w:p>
    <w:p>
      <w:pPr>
        <w:spacing w:after="0" w:line="135" w:lineRule="exact"/>
        <w:rPr>
          <w:sz w:val="20"/>
          <w:szCs w:val="20"/>
          <w:color w:val="auto"/>
        </w:rPr>
      </w:pPr>
    </w:p>
    <w:p>
      <w:pPr>
        <w:ind w:left="1304" w:right="300" w:hanging="535"/>
        <w:spacing w:after="0" w:line="277" w:lineRule="auto"/>
        <w:tabs>
          <w:tab w:leader="none" w:pos="1304" w:val="left"/>
        </w:tabs>
        <w:numPr>
          <w:ilvl w:val="0"/>
          <w:numId w:val="925"/>
        </w:numPr>
        <w:rPr>
          <w:rFonts w:ascii="Arial" w:cs="Arial" w:eastAsia="Arial" w:hAnsi="Arial"/>
          <w:sz w:val="18"/>
          <w:szCs w:val="18"/>
          <w:color w:val="auto"/>
        </w:rPr>
      </w:pPr>
      <w:r>
        <w:rPr>
          <w:rFonts w:ascii="Arial" w:cs="Arial" w:eastAsia="Arial" w:hAnsi="Arial"/>
          <w:sz w:val="18"/>
          <w:szCs w:val="18"/>
          <w:color w:val="auto"/>
        </w:rPr>
        <w:t>If a Market Disruption Event occurs in relation to a Loan for any Interest Period, then the rate of interest on each Lender’s share of that Loan for the Interest Period shall be the percentage rate per annum which is the sum of:</w:t>
      </w:r>
    </w:p>
    <w:p>
      <w:pPr>
        <w:spacing w:after="0" w:line="75" w:lineRule="exact"/>
        <w:rPr>
          <w:rFonts w:ascii="Arial" w:cs="Arial" w:eastAsia="Arial" w:hAnsi="Arial"/>
          <w:sz w:val="18"/>
          <w:szCs w:val="18"/>
          <w:color w:val="auto"/>
        </w:rPr>
      </w:pPr>
    </w:p>
    <w:p>
      <w:pPr>
        <w:ind w:left="1964" w:hanging="655"/>
        <w:spacing w:after="0"/>
        <w:tabs>
          <w:tab w:leader="none" w:pos="1964" w:val="left"/>
        </w:tabs>
        <w:numPr>
          <w:ilvl w:val="1"/>
          <w:numId w:val="925"/>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925"/>
        </w:numPr>
        <w:rPr>
          <w:rFonts w:ascii="Arial" w:cs="Arial" w:eastAsia="Arial" w:hAnsi="Arial"/>
          <w:sz w:val="17"/>
          <w:szCs w:val="17"/>
          <w:color w:val="auto"/>
        </w:rPr>
      </w:pPr>
      <w:r>
        <w:rPr>
          <w:rFonts w:ascii="Arial" w:cs="Arial" w:eastAsia="Arial" w:hAnsi="Arial"/>
          <w:sz w:val="17"/>
          <w:szCs w:val="17"/>
          <w:color w:val="auto"/>
        </w:rPr>
        <w:t>the rate notified to the Agent by that Lender as soon as practicable and in any event not less than the date falling two</w:t>
      </w:r>
    </w:p>
    <w:p>
      <w:pPr>
        <w:spacing w:after="0" w:line="34" w:lineRule="exact"/>
        <w:rPr>
          <w:rFonts w:ascii="Arial" w:cs="Arial" w:eastAsia="Arial" w:hAnsi="Arial"/>
          <w:sz w:val="17"/>
          <w:szCs w:val="17"/>
          <w:color w:val="auto"/>
        </w:rPr>
      </w:pPr>
    </w:p>
    <w:p>
      <w:pPr>
        <w:jc w:val="both"/>
        <w:ind w:left="1964" w:right="60"/>
        <w:spacing w:after="0" w:line="277" w:lineRule="auto"/>
        <w:rPr>
          <w:rFonts w:ascii="Arial" w:cs="Arial" w:eastAsia="Arial" w:hAnsi="Arial"/>
          <w:sz w:val="17"/>
          <w:szCs w:val="17"/>
          <w:color w:val="auto"/>
        </w:rPr>
      </w:pPr>
      <w:r>
        <w:rPr>
          <w:rFonts w:ascii="Arial" w:cs="Arial" w:eastAsia="Arial" w:hAnsi="Arial"/>
          <w:sz w:val="17"/>
          <w:szCs w:val="17"/>
          <w:color w:val="auto"/>
        </w:rPr>
        <w:t>(2) Business Days after the Quotation Date (or, if earlier, on the date falling two (2) Business Days prior to the date on which interest is due to be paid in respect of that Interest Period), to be that which expresses as a percentage rate per annum the cost to that Lender of funding its participation in that Loan from whatever source it may reasonably select.</w:t>
      </w:r>
    </w:p>
    <w:p>
      <w:pPr>
        <w:spacing w:after="0" w:line="105"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666" w:name="page667"/>
    <w:bookmarkEnd w:id="666"/>
    <w:p>
      <w:pPr>
        <w:ind w:left="1304" w:hanging="535"/>
        <w:spacing w:after="0"/>
        <w:tabs>
          <w:tab w:leader="none" w:pos="1304" w:val="left"/>
        </w:tabs>
        <w:numPr>
          <w:ilvl w:val="0"/>
          <w:numId w:val="9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this Agreement “</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jc w:val="both"/>
        <w:ind w:left="1964" w:right="120" w:hanging="655"/>
        <w:spacing w:after="0" w:line="263" w:lineRule="auto"/>
        <w:tabs>
          <w:tab w:leader="none" w:pos="1964" w:val="left"/>
        </w:tabs>
        <w:numPr>
          <w:ilvl w:val="1"/>
          <w:numId w:val="926"/>
        </w:numPr>
        <w:rPr>
          <w:rFonts w:ascii="Arial" w:cs="Arial" w:eastAsia="Arial" w:hAnsi="Arial"/>
          <w:sz w:val="18"/>
          <w:szCs w:val="18"/>
          <w:color w:val="auto"/>
        </w:rPr>
      </w:pPr>
      <w:r>
        <w:rPr>
          <w:rFonts w:ascii="Arial" w:cs="Arial" w:eastAsia="Arial" w:hAnsi="Arial"/>
          <w:sz w:val="18"/>
          <w:szCs w:val="18"/>
          <w:color w:val="auto"/>
        </w:rPr>
        <w:t>at or about noon on the Quotation Date for the relevant Interest Period for the relevant Loan the Screen Rate is not available or the Screen Rate is zero or negative and none or only one of the Reference Banks supplies a rate to the Agent to determine HIBOR for the relevant currency and Interest Period; or</w:t>
      </w:r>
    </w:p>
    <w:p>
      <w:pPr>
        <w:spacing w:after="0" w:line="89" w:lineRule="exact"/>
        <w:rPr>
          <w:rFonts w:ascii="Arial" w:cs="Arial" w:eastAsia="Arial" w:hAnsi="Arial"/>
          <w:sz w:val="18"/>
          <w:szCs w:val="18"/>
          <w:color w:val="auto"/>
        </w:rPr>
      </w:pPr>
    </w:p>
    <w:p>
      <w:pPr>
        <w:ind w:left="1964" w:right="20" w:hanging="655"/>
        <w:spacing w:after="0" w:line="263" w:lineRule="auto"/>
        <w:tabs>
          <w:tab w:leader="none" w:pos="1964" w:val="left"/>
        </w:tabs>
        <w:numPr>
          <w:ilvl w:val="1"/>
          <w:numId w:val="926"/>
        </w:numPr>
        <w:rPr>
          <w:rFonts w:ascii="Arial" w:cs="Arial" w:eastAsia="Arial" w:hAnsi="Arial"/>
          <w:sz w:val="18"/>
          <w:szCs w:val="18"/>
          <w:color w:val="auto"/>
        </w:rPr>
      </w:pPr>
      <w:r>
        <w:rPr>
          <w:rFonts w:ascii="Arial" w:cs="Arial" w:eastAsia="Arial" w:hAnsi="Arial"/>
          <w:sz w:val="18"/>
          <w:szCs w:val="18"/>
          <w:color w:val="auto"/>
        </w:rPr>
        <w:t>before close of business on the Quotation Date for the relevant Interest Period, the Agent receives notifications from a Lender or Lenders (whose aggregate participations in that Loan exceed 35 per cent. of that Loan) that the cost to it of obtaining matching deposits in the Relevant Interbank Market would be in excess of HIBOR.</w:t>
      </w:r>
    </w:p>
    <w:p>
      <w:pPr>
        <w:spacing w:after="0" w:line="89" w:lineRule="exact"/>
        <w:rPr>
          <w:rFonts w:ascii="Arial" w:cs="Arial" w:eastAsia="Arial" w:hAnsi="Arial"/>
          <w:sz w:val="18"/>
          <w:szCs w:val="18"/>
          <w:color w:val="auto"/>
        </w:rPr>
      </w:pPr>
    </w:p>
    <w:p>
      <w:pPr>
        <w:ind w:left="1304" w:hanging="535"/>
        <w:spacing w:after="0"/>
        <w:tabs>
          <w:tab w:leader="none" w:pos="1304" w:val="left"/>
        </w:tabs>
        <w:numPr>
          <w:ilvl w:val="0"/>
          <w:numId w:val="926"/>
        </w:numPr>
        <w:rPr>
          <w:rFonts w:ascii="Arial" w:cs="Arial" w:eastAsia="Arial" w:hAnsi="Arial"/>
          <w:sz w:val="18"/>
          <w:szCs w:val="18"/>
          <w:color w:val="auto"/>
        </w:rPr>
      </w:pPr>
      <w:r>
        <w:rPr>
          <w:rFonts w:ascii="Arial" w:cs="Arial" w:eastAsia="Arial" w:hAnsi="Arial"/>
          <w:sz w:val="18"/>
          <w:szCs w:val="18"/>
          <w:color w:val="auto"/>
        </w:rPr>
        <w:t>If a Market Disruption Event shall occur, the Agent shall promptly notify the Lenders and the Borrower thereof.</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0"/>
          <w:numId w:val="926"/>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926"/>
        </w:numPr>
        <w:rPr>
          <w:rFonts w:ascii="Arial" w:cs="Arial" w:eastAsia="Arial" w:hAnsi="Arial"/>
          <w:sz w:val="18"/>
          <w:szCs w:val="18"/>
          <w:color w:val="auto"/>
        </w:rPr>
      </w:pPr>
      <w:r>
        <w:rPr>
          <w:rFonts w:ascii="Arial" w:cs="Arial" w:eastAsia="Arial" w:hAnsi="Arial"/>
          <w:sz w:val="18"/>
          <w:szCs w:val="18"/>
          <w:color w:val="auto"/>
        </w:rPr>
        <w:t>the percentage rate per annum notified by a Lender pursuant to paragraph (a)(ii) above is less than HIBOR; or</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926"/>
        </w:numPr>
        <w:rPr>
          <w:rFonts w:ascii="Arial" w:cs="Arial" w:eastAsia="Arial" w:hAnsi="Arial"/>
          <w:sz w:val="16"/>
          <w:szCs w:val="16"/>
          <w:color w:val="auto"/>
        </w:rPr>
      </w:pPr>
      <w:r>
        <w:rPr>
          <w:rFonts w:ascii="Arial" w:cs="Arial" w:eastAsia="Arial" w:hAnsi="Arial"/>
          <w:sz w:val="16"/>
          <w:szCs w:val="16"/>
          <w:color w:val="auto"/>
        </w:rPr>
        <w:t>a Lender has not notified the Agent of a percentage rate per annum notified by a Lender pursuant to paragraph (a)(ii) above,</w:t>
      </w:r>
    </w:p>
    <w:p>
      <w:pPr>
        <w:spacing w:after="0" w:line="140" w:lineRule="exact"/>
        <w:rPr>
          <w:sz w:val="20"/>
          <w:szCs w:val="20"/>
          <w:color w:val="auto"/>
        </w:rPr>
      </w:pPr>
    </w:p>
    <w:p>
      <w:pPr>
        <w:ind w:left="1324" w:right="120"/>
        <w:spacing w:after="0" w:line="277" w:lineRule="auto"/>
        <w:rPr>
          <w:sz w:val="20"/>
          <w:szCs w:val="20"/>
          <w:color w:val="auto"/>
        </w:rPr>
      </w:pPr>
      <w:r>
        <w:rPr>
          <w:rFonts w:ascii="Arial" w:cs="Arial" w:eastAsia="Arial" w:hAnsi="Arial"/>
          <w:sz w:val="18"/>
          <w:szCs w:val="18"/>
          <w:color w:val="auto"/>
        </w:rPr>
        <w:t>the cost to that Lender of funding its participation in that Loan for that Interest Period shall be deemed, for the purposes of paragraph (a) above, to be HIBOR.</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Alternative basis of interest or funding</w:t>
      </w:r>
    </w:p>
    <w:p>
      <w:pPr>
        <w:spacing w:after="0" w:line="135" w:lineRule="exact"/>
        <w:rPr>
          <w:sz w:val="20"/>
          <w:szCs w:val="20"/>
          <w:color w:val="auto"/>
        </w:rPr>
      </w:pPr>
    </w:p>
    <w:p>
      <w:pPr>
        <w:ind w:left="1304" w:right="220" w:hanging="535"/>
        <w:spacing w:after="0" w:line="342" w:lineRule="auto"/>
        <w:tabs>
          <w:tab w:leader="none" w:pos="1304" w:val="left"/>
        </w:tabs>
        <w:numPr>
          <w:ilvl w:val="0"/>
          <w:numId w:val="927"/>
        </w:numPr>
        <w:rPr>
          <w:rFonts w:ascii="Arial" w:cs="Arial" w:eastAsia="Arial" w:hAnsi="Arial"/>
          <w:sz w:val="16"/>
          <w:szCs w:val="16"/>
          <w:color w:val="auto"/>
        </w:rPr>
      </w:pPr>
      <w:r>
        <w:rPr>
          <w:rFonts w:ascii="Arial" w:cs="Arial" w:eastAsia="Arial" w:hAnsi="Arial"/>
          <w:sz w:val="16"/>
          <w:szCs w:val="16"/>
          <w:color w:val="auto"/>
        </w:rPr>
        <w:t>If a Market Disruption Event occurs and the Agent or the Borrower so requires, the Agent and the Borrower shall enter into negotiations (for a period of not more than thirty days) with a view to agreeing a substitute basis for determining the rate of interest.</w:t>
      </w:r>
    </w:p>
    <w:p>
      <w:pPr>
        <w:spacing w:after="0" w:line="29" w:lineRule="exact"/>
        <w:rPr>
          <w:rFonts w:ascii="Arial" w:cs="Arial" w:eastAsia="Arial" w:hAnsi="Arial"/>
          <w:sz w:val="16"/>
          <w:szCs w:val="16"/>
          <w:color w:val="auto"/>
        </w:rPr>
      </w:pPr>
    </w:p>
    <w:p>
      <w:pPr>
        <w:ind w:left="1304" w:right="420" w:hanging="535"/>
        <w:spacing w:after="0" w:line="277" w:lineRule="auto"/>
        <w:tabs>
          <w:tab w:leader="none" w:pos="1304" w:val="left"/>
        </w:tabs>
        <w:numPr>
          <w:ilvl w:val="0"/>
          <w:numId w:val="927"/>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(a) above shall, with the prior consent of all the Lenders and the Borrower, be binding on all Parties.</w:t>
      </w:r>
    </w:p>
    <w:p>
      <w:pPr>
        <w:spacing w:after="0" w:line="75" w:lineRule="exact"/>
        <w:rPr>
          <w:rFonts w:ascii="Arial" w:cs="Arial" w:eastAsia="Arial" w:hAnsi="Arial"/>
          <w:sz w:val="18"/>
          <w:szCs w:val="18"/>
          <w:color w:val="auto"/>
        </w:rPr>
      </w:pPr>
    </w:p>
    <w:p>
      <w:pPr>
        <w:ind w:left="1304" w:right="260" w:hanging="535"/>
        <w:spacing w:after="0" w:line="277" w:lineRule="auto"/>
        <w:tabs>
          <w:tab w:leader="none" w:pos="1304" w:val="left"/>
        </w:tabs>
        <w:numPr>
          <w:ilvl w:val="0"/>
          <w:numId w:val="927"/>
        </w:numPr>
        <w:rPr>
          <w:rFonts w:ascii="Arial" w:cs="Arial" w:eastAsia="Arial" w:hAnsi="Arial"/>
          <w:sz w:val="18"/>
          <w:szCs w:val="18"/>
          <w:color w:val="auto"/>
        </w:rPr>
      </w:pPr>
      <w:r>
        <w:rPr>
          <w:rFonts w:ascii="Arial" w:cs="Arial" w:eastAsia="Arial" w:hAnsi="Arial"/>
          <w:sz w:val="18"/>
          <w:szCs w:val="18"/>
          <w:color w:val="auto"/>
        </w:rPr>
        <w:t>For the avoidance of doubt, in the event that no substitute basis is agreed at the end of the thirty day period, the rate of interest shall continue to be determined in accordance with the terms of this Agreement.</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Break Costs</w:t>
      </w:r>
    </w:p>
    <w:p>
      <w:pPr>
        <w:spacing w:after="0" w:line="135" w:lineRule="exact"/>
        <w:rPr>
          <w:sz w:val="20"/>
          <w:szCs w:val="20"/>
          <w:color w:val="auto"/>
        </w:rPr>
      </w:pPr>
    </w:p>
    <w:p>
      <w:pPr>
        <w:ind w:left="1304" w:right="420" w:hanging="535"/>
        <w:spacing w:after="0" w:line="263" w:lineRule="auto"/>
        <w:tabs>
          <w:tab w:leader="none" w:pos="1304" w:val="left"/>
        </w:tabs>
        <w:numPr>
          <w:ilvl w:val="0"/>
          <w:numId w:val="928"/>
        </w:numPr>
        <w:rPr>
          <w:rFonts w:ascii="Arial" w:cs="Arial" w:eastAsia="Arial" w:hAnsi="Arial"/>
          <w:sz w:val="18"/>
          <w:szCs w:val="18"/>
          <w:color w:val="auto"/>
        </w:rPr>
      </w:pPr>
      <w:r>
        <w:rPr>
          <w:rFonts w:ascii="Arial" w:cs="Arial" w:eastAsia="Arial" w:hAnsi="Arial"/>
          <w:sz w:val="18"/>
          <w:szCs w:val="18"/>
          <w:color w:val="auto"/>
        </w:rPr>
        <w:t>Each Borrower shall, within three (3) Business Days of demand by a Finance Party, pay to that Finance Party its Break Costs attributable to all or any part of a Loan or Unpaid Sum being paid by that Borrower on a day other than the last day of an Interest Period for that Loan or Unpaid Sum.</w:t>
      </w:r>
    </w:p>
    <w:p>
      <w:pPr>
        <w:spacing w:after="0" w:line="89" w:lineRule="exact"/>
        <w:rPr>
          <w:rFonts w:ascii="Arial" w:cs="Arial" w:eastAsia="Arial" w:hAnsi="Arial"/>
          <w:sz w:val="18"/>
          <w:szCs w:val="18"/>
          <w:color w:val="auto"/>
        </w:rPr>
      </w:pPr>
    </w:p>
    <w:p>
      <w:pPr>
        <w:ind w:left="1304" w:right="220" w:hanging="535"/>
        <w:spacing w:after="0" w:line="277" w:lineRule="auto"/>
        <w:tabs>
          <w:tab w:leader="none" w:pos="1304" w:val="left"/>
        </w:tabs>
        <w:numPr>
          <w:ilvl w:val="0"/>
          <w:numId w:val="928"/>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315" w:lineRule="exact"/>
        <w:rPr>
          <w:sz w:val="20"/>
          <w:szCs w:val="20"/>
          <w:color w:val="auto"/>
        </w:rPr>
      </w:pPr>
    </w:p>
    <w:p>
      <w:pPr>
        <w:ind w:left="764" w:hanging="764"/>
        <w:spacing w:after="0"/>
        <w:tabs>
          <w:tab w:leader="none" w:pos="764" w:val="left"/>
        </w:tabs>
        <w:numPr>
          <w:ilvl w:val="0"/>
          <w:numId w:val="929"/>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Commitment fee</w:t>
      </w:r>
    </w:p>
    <w:p>
      <w:pPr>
        <w:spacing w:after="0" w:line="135" w:lineRule="exact"/>
        <w:rPr>
          <w:sz w:val="20"/>
          <w:szCs w:val="20"/>
          <w:color w:val="auto"/>
        </w:rPr>
      </w:pPr>
    </w:p>
    <w:p>
      <w:pPr>
        <w:jc w:val="both"/>
        <w:ind w:left="1304" w:right="220" w:hanging="535"/>
        <w:spacing w:after="0" w:line="279" w:lineRule="auto"/>
        <w:tabs>
          <w:tab w:leader="none" w:pos="1304" w:val="left"/>
        </w:tabs>
        <w:numPr>
          <w:ilvl w:val="0"/>
          <w:numId w:val="930"/>
        </w:numPr>
        <w:rPr>
          <w:rFonts w:ascii="Arial" w:cs="Arial" w:eastAsia="Arial" w:hAnsi="Arial"/>
          <w:sz w:val="17"/>
          <w:szCs w:val="17"/>
          <w:color w:val="auto"/>
        </w:rPr>
      </w:pPr>
      <w:r>
        <w:rPr>
          <w:rFonts w:ascii="Arial" w:cs="Arial" w:eastAsia="Arial" w:hAnsi="Arial"/>
          <w:sz w:val="17"/>
          <w:szCs w:val="17"/>
          <w:color w:val="auto"/>
        </w:rPr>
        <w:t>The Borrower shall pay to the Agent (for the account of each Lender under the Revolving Facility) a commitment fee in HK dollars that is computed at a rate of 35 per cent. of the Margin applicable to the Revolving Facility on that Lender’s Available Commitment under the Revolving Facility for the period from (and including) the first date of the Availability Period applicable to the Revolving Facility to (but excluding) the last day of the Availability Period applicable to the Revolving Facility.</w:t>
      </w:r>
    </w:p>
    <w:p>
      <w:pPr>
        <w:spacing w:after="0" w:line="104"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67" w:name="page668"/>
    <w:bookmarkEnd w:id="667"/>
    <w:p>
      <w:pPr>
        <w:ind w:left="1300" w:right="300" w:hanging="535"/>
        <w:spacing w:after="0" w:line="263" w:lineRule="auto"/>
        <w:tabs>
          <w:tab w:leader="none" w:pos="1300" w:val="left"/>
        </w:tabs>
        <w:numPr>
          <w:ilvl w:val="0"/>
          <w:numId w:val="9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accrued commitment fee is payable on the last day of each successive period of three Months which ends during the relevant period specified in paragraph (a) above, on the last day of the relevant Availability Period and, if cancelled in full, on the cancelled amount of the relevant Lender’s Commitment at the time such cancellation is effective.</w:t>
      </w:r>
    </w:p>
    <w:p>
      <w:pPr>
        <w:spacing w:after="0" w:line="89" w:lineRule="exact"/>
        <w:rPr>
          <w:rFonts w:ascii="Arial" w:cs="Arial" w:eastAsia="Arial" w:hAnsi="Arial"/>
          <w:sz w:val="18"/>
          <w:szCs w:val="18"/>
          <w:color w:val="auto"/>
        </w:rPr>
      </w:pPr>
    </w:p>
    <w:p>
      <w:pPr>
        <w:ind w:left="1300" w:right="40" w:hanging="535"/>
        <w:spacing w:after="0" w:line="277" w:lineRule="auto"/>
        <w:tabs>
          <w:tab w:leader="none" w:pos="1300" w:val="left"/>
        </w:tabs>
        <w:numPr>
          <w:ilvl w:val="0"/>
          <w:numId w:val="931"/>
        </w:numPr>
        <w:rPr>
          <w:rFonts w:ascii="Arial" w:cs="Arial" w:eastAsia="Arial" w:hAnsi="Arial"/>
          <w:sz w:val="18"/>
          <w:szCs w:val="18"/>
          <w:color w:val="auto"/>
        </w:rPr>
      </w:pPr>
      <w:r>
        <w:rPr>
          <w:rFonts w:ascii="Arial" w:cs="Arial" w:eastAsia="Arial" w:hAnsi="Arial"/>
          <w:sz w:val="18"/>
          <w:szCs w:val="18"/>
          <w:color w:val="auto"/>
        </w:rPr>
        <w:t>No commitment fee is payable to the Agent (for the account of a Lender) on any Available Commitment of that Lender for any day on which that Lender is a Defaulting Lender.</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b w:val="1"/>
          <w:bCs w:val="1"/>
          <w:color w:val="auto"/>
        </w:rPr>
        <w:t>Agent’s fee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Borrower shall pay to the Agent (for its own account) an agency fee in the amount and at the times agreed in any Fee Letter.</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Interest, commission and fees on Ancillary Facilities</w:t>
      </w:r>
    </w:p>
    <w:p>
      <w:pPr>
        <w:spacing w:after="0" w:line="121" w:lineRule="exact"/>
        <w:rPr>
          <w:sz w:val="20"/>
          <w:szCs w:val="20"/>
          <w:color w:val="auto"/>
        </w:rPr>
      </w:pPr>
    </w:p>
    <w:p>
      <w:pPr>
        <w:ind w:left="760" w:right="140"/>
        <w:spacing w:after="0" w:line="263" w:lineRule="auto"/>
        <w:rPr>
          <w:sz w:val="20"/>
          <w:szCs w:val="20"/>
          <w:color w:val="auto"/>
        </w:rPr>
      </w:pPr>
      <w:r>
        <w:rPr>
          <w:rFonts w:ascii="Arial" w:cs="Arial" w:eastAsia="Arial" w:hAnsi="Arial"/>
          <w:sz w:val="18"/>
          <w:szCs w:val="18"/>
          <w:color w:val="auto"/>
        </w:rPr>
        <w:t>The rate and time of payment of interest, commission, fees and any other remuneration in respect of each Ancillary Facility shall be determined by agreement between the relevant Ancillary Lender and the Borrower of that Ancillary Facility based upon normal market rates and terms.</w:t>
      </w:r>
    </w:p>
    <w:p>
      <w:pPr>
        <w:spacing w:after="0" w:line="116"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68" w:name="page669"/>
    <w:bookmarkEnd w:id="66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ADDITIONAL PAYMENT OBLIGATIONS</w:t>
      </w:r>
    </w:p>
    <w:p>
      <w:pPr>
        <w:spacing w:after="0" w:line="234" w:lineRule="exact"/>
        <w:rPr>
          <w:sz w:val="20"/>
          <w:szCs w:val="20"/>
          <w:color w:val="auto"/>
        </w:rPr>
      </w:pPr>
    </w:p>
    <w:p>
      <w:pPr>
        <w:ind w:left="764" w:hanging="764"/>
        <w:spacing w:after="0"/>
        <w:tabs>
          <w:tab w:leader="none" w:pos="764" w:val="left"/>
        </w:tabs>
        <w:numPr>
          <w:ilvl w:val="0"/>
          <w:numId w:val="932"/>
        </w:numPr>
        <w:rPr>
          <w:rFonts w:ascii="Arial" w:cs="Arial" w:eastAsia="Arial" w:hAnsi="Arial"/>
          <w:sz w:val="18"/>
          <w:szCs w:val="18"/>
          <w:b w:val="1"/>
          <w:bCs w:val="1"/>
          <w:color w:val="auto"/>
        </w:rPr>
      </w:pPr>
      <w:r>
        <w:rPr>
          <w:rFonts w:ascii="Arial" w:cs="Arial" w:eastAsia="Arial" w:hAnsi="Arial"/>
          <w:sz w:val="18"/>
          <w:szCs w:val="18"/>
          <w:b w:val="1"/>
          <w:bCs w:val="1"/>
          <w:color w:val="auto"/>
        </w:rPr>
        <w:t>Tax gross-up and indemnities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15.1</w:t>
      </w:r>
      <w:r>
        <w:rPr>
          <w:rFonts w:ascii="Arial" w:cs="Arial" w:eastAsia="Arial" w:hAnsi="Arial"/>
          <w:sz w:val="16"/>
          <w:szCs w:val="16"/>
          <w:b w:val="1"/>
          <w:bCs w:val="1"/>
          <w:color w:val="auto"/>
        </w:rPr>
        <w:t>Definitions</w:t>
      </w:r>
    </w:p>
    <w:p>
      <w:pPr>
        <w:spacing w:after="0" w:line="134" w:lineRule="exact"/>
        <w:rPr>
          <w:rFonts w:ascii="Arial" w:cs="Arial" w:eastAsia="Arial" w:hAnsi="Arial"/>
          <w:sz w:val="18"/>
          <w:szCs w:val="18"/>
          <w:b w:val="1"/>
          <w:bCs w:val="1"/>
          <w:color w:val="auto"/>
        </w:rPr>
      </w:pPr>
    </w:p>
    <w:p>
      <w:pPr>
        <w:ind w:left="1304" w:hanging="535"/>
        <w:spacing w:after="0"/>
        <w:tabs>
          <w:tab w:leader="none" w:pos="1304" w:val="left"/>
        </w:tabs>
        <w:numPr>
          <w:ilvl w:val="1"/>
          <w:numId w:val="932"/>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13" w:lineRule="exact"/>
        <w:rPr>
          <w:rFonts w:ascii="Arial" w:cs="Arial" w:eastAsia="Arial" w:hAnsi="Arial"/>
          <w:sz w:val="18"/>
          <w:szCs w:val="18"/>
          <w:color w:val="auto"/>
        </w:rPr>
      </w:pPr>
    </w:p>
    <w:p>
      <w:pPr>
        <w:ind w:left="1324" w:right="26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Protected Party</w:t>
      </w:r>
      <w:r>
        <w:rPr>
          <w:rFonts w:ascii="Arial" w:cs="Arial" w:eastAsia="Arial" w:hAnsi="Arial"/>
          <w:sz w:val="18"/>
          <w:szCs w:val="18"/>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67" w:lineRule="exact"/>
        <w:rPr>
          <w:rFonts w:ascii="Arial" w:cs="Arial" w:eastAsia="Arial" w:hAnsi="Arial"/>
          <w:sz w:val="18"/>
          <w:szCs w:val="18"/>
          <w:color w:val="auto"/>
        </w:rPr>
      </w:pPr>
    </w:p>
    <w:p>
      <w:pPr>
        <w:ind w:left="132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17" w:lineRule="exact"/>
        <w:rPr>
          <w:rFonts w:ascii="Arial" w:cs="Arial" w:eastAsia="Arial" w:hAnsi="Arial"/>
          <w:sz w:val="18"/>
          <w:szCs w:val="18"/>
          <w:color w:val="auto"/>
        </w:rPr>
      </w:pPr>
    </w:p>
    <w:p>
      <w:pPr>
        <w:ind w:left="1324" w:right="4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FATCA Deduction.</w:t>
      </w:r>
    </w:p>
    <w:p>
      <w:pPr>
        <w:spacing w:after="0" w:line="53" w:lineRule="exact"/>
        <w:rPr>
          <w:rFonts w:ascii="Arial" w:cs="Arial" w:eastAsia="Arial" w:hAnsi="Arial"/>
          <w:sz w:val="18"/>
          <w:szCs w:val="18"/>
          <w:color w:val="auto"/>
        </w:rPr>
      </w:pPr>
    </w:p>
    <w:p>
      <w:pPr>
        <w:ind w:left="1324" w:right="12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an Obligor to a Finance Party under Clause 15.2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15.3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1324" w:right="140"/>
        <w:spacing w:after="0" w:line="282" w:lineRule="auto"/>
        <w:rPr>
          <w:rFonts w:ascii="Arial" w:cs="Arial" w:eastAsia="Arial" w:hAnsi="Arial"/>
          <w:sz w:val="18"/>
          <w:szCs w:val="18"/>
          <w:color w:val="auto"/>
        </w:rPr>
      </w:pPr>
      <w:r>
        <w:rPr>
          <w:rFonts w:ascii="Arial" w:cs="Arial" w:eastAsia="Arial" w:hAnsi="Arial"/>
          <w:sz w:val="18"/>
          <w:szCs w:val="18"/>
          <w:color w:val="auto"/>
        </w:rPr>
        <w:t>Unless a contrary indication appears, in this Clause 15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or “</w:t>
      </w:r>
      <w:r>
        <w:rPr>
          <w:rFonts w:ascii="Arial" w:cs="Arial" w:eastAsia="Arial" w:hAnsi="Arial"/>
          <w:sz w:val="18"/>
          <w:szCs w:val="18"/>
          <w:b w:val="1"/>
          <w:bCs w:val="1"/>
          <w:color w:val="auto"/>
        </w:rPr>
        <w:t>determined</w:t>
      </w:r>
      <w:r>
        <w:rPr>
          <w:rFonts w:ascii="Arial" w:cs="Arial" w:eastAsia="Arial" w:hAnsi="Arial"/>
          <w:sz w:val="18"/>
          <w:szCs w:val="18"/>
          <w:color w:val="auto"/>
        </w:rPr>
        <w:t>” means a determination made in the absolute discretion of the person making the determination.</w:t>
      </w:r>
    </w:p>
    <w:p>
      <w:pPr>
        <w:spacing w:after="0" w:line="3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5"/>
          <w:szCs w:val="15"/>
          <w:b w:val="1"/>
          <w:bCs w:val="1"/>
          <w:color w:val="auto"/>
        </w:rPr>
        <w:t>Tax gross-up</w:t>
      </w:r>
    </w:p>
    <w:p>
      <w:pPr>
        <w:spacing w:after="0" w:line="135" w:lineRule="exact"/>
        <w:rPr>
          <w:sz w:val="20"/>
          <w:szCs w:val="20"/>
          <w:color w:val="auto"/>
        </w:rPr>
      </w:pPr>
    </w:p>
    <w:p>
      <w:pPr>
        <w:ind w:left="1304" w:right="800" w:hanging="535"/>
        <w:spacing w:after="0" w:line="277" w:lineRule="auto"/>
        <w:tabs>
          <w:tab w:leader="none" w:pos="1304" w:val="left"/>
        </w:tabs>
        <w:numPr>
          <w:ilvl w:val="0"/>
          <w:numId w:val="933"/>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under a Finance Document without any Tax Deduction, unless a Tax Deduction is required by law.</w:t>
      </w:r>
    </w:p>
    <w:p>
      <w:pPr>
        <w:spacing w:after="0" w:line="75" w:lineRule="exact"/>
        <w:rPr>
          <w:rFonts w:ascii="Arial" w:cs="Arial" w:eastAsia="Arial" w:hAnsi="Arial"/>
          <w:sz w:val="18"/>
          <w:szCs w:val="18"/>
          <w:color w:val="auto"/>
        </w:rPr>
      </w:pPr>
    </w:p>
    <w:p>
      <w:pPr>
        <w:ind w:left="1304" w:right="40" w:hanging="535"/>
        <w:spacing w:after="0" w:line="259" w:lineRule="auto"/>
        <w:tabs>
          <w:tab w:leader="none" w:pos="1304" w:val="left"/>
        </w:tabs>
        <w:numPr>
          <w:ilvl w:val="0"/>
          <w:numId w:val="933"/>
        </w:numPr>
        <w:rPr>
          <w:rFonts w:ascii="Arial" w:cs="Arial" w:eastAsia="Arial" w:hAnsi="Arial"/>
          <w:sz w:val="18"/>
          <w:szCs w:val="18"/>
          <w:color w:val="auto"/>
        </w:rPr>
      </w:pPr>
      <w:r>
        <w:rPr>
          <w:rFonts w:ascii="Arial" w:cs="Arial" w:eastAsia="Arial" w:hAnsi="Arial"/>
          <w:sz w:val="18"/>
          <w:szCs w:val="18"/>
          <w:color w:val="auto"/>
        </w:rPr>
        <w:t>The Borrower shall promptly upon an Obligor becoming aware that such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relevant Obligor.</w:t>
      </w:r>
    </w:p>
    <w:p>
      <w:pPr>
        <w:spacing w:after="0" w:line="92" w:lineRule="exact"/>
        <w:rPr>
          <w:rFonts w:ascii="Arial" w:cs="Arial" w:eastAsia="Arial" w:hAnsi="Arial"/>
          <w:sz w:val="18"/>
          <w:szCs w:val="18"/>
          <w:color w:val="auto"/>
        </w:rPr>
      </w:pPr>
    </w:p>
    <w:p>
      <w:pPr>
        <w:jc w:val="both"/>
        <w:ind w:left="1304" w:right="200" w:hanging="535"/>
        <w:spacing w:after="0" w:line="263" w:lineRule="auto"/>
        <w:tabs>
          <w:tab w:leader="none" w:pos="1304" w:val="left"/>
        </w:tabs>
        <w:numPr>
          <w:ilvl w:val="0"/>
          <w:numId w:val="933"/>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89" w:lineRule="exact"/>
        <w:rPr>
          <w:rFonts w:ascii="Arial" w:cs="Arial" w:eastAsia="Arial" w:hAnsi="Arial"/>
          <w:sz w:val="18"/>
          <w:szCs w:val="18"/>
          <w:color w:val="auto"/>
        </w:rPr>
      </w:pPr>
    </w:p>
    <w:p>
      <w:pPr>
        <w:ind w:left="1304" w:right="800" w:hanging="535"/>
        <w:spacing w:after="0" w:line="308" w:lineRule="auto"/>
        <w:tabs>
          <w:tab w:leader="none" w:pos="1304" w:val="left"/>
        </w:tabs>
        <w:numPr>
          <w:ilvl w:val="0"/>
          <w:numId w:val="933"/>
        </w:numPr>
        <w:rPr>
          <w:rFonts w:ascii="Arial" w:cs="Arial" w:eastAsia="Arial" w:hAnsi="Arial"/>
          <w:sz w:val="17"/>
          <w:szCs w:val="17"/>
          <w:color w:val="auto"/>
        </w:rPr>
      </w:pPr>
      <w:r>
        <w:rPr>
          <w:rFonts w:ascii="Arial" w:cs="Arial" w:eastAsia="Arial" w:hAnsi="Arial"/>
          <w:sz w:val="17"/>
          <w:szCs w:val="17"/>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51" w:lineRule="exact"/>
        <w:rPr>
          <w:rFonts w:ascii="Arial" w:cs="Arial" w:eastAsia="Arial" w:hAnsi="Arial"/>
          <w:sz w:val="17"/>
          <w:szCs w:val="17"/>
          <w:color w:val="auto"/>
        </w:rPr>
      </w:pPr>
    </w:p>
    <w:p>
      <w:pPr>
        <w:ind w:left="1304" w:right="60" w:hanging="535"/>
        <w:spacing w:after="0" w:line="259" w:lineRule="auto"/>
        <w:tabs>
          <w:tab w:leader="none" w:pos="1304" w:val="left"/>
        </w:tabs>
        <w:numPr>
          <w:ilvl w:val="0"/>
          <w:numId w:val="933"/>
        </w:numPr>
        <w:rPr>
          <w:rFonts w:ascii="Arial" w:cs="Arial" w:eastAsia="Arial" w:hAnsi="Arial"/>
          <w:sz w:val="18"/>
          <w:szCs w:val="18"/>
          <w:color w:val="auto"/>
        </w:rPr>
      </w:pPr>
      <w:r>
        <w:rPr>
          <w:rFonts w:ascii="Arial" w:cs="Arial" w:eastAsia="Arial" w:hAnsi="Arial"/>
          <w:sz w:val="18"/>
          <w:szCs w:val="18"/>
          <w:color w:val="auto"/>
        </w:rPr>
        <w:t>Within thirty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19"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69" w:name="page670"/>
    <w:bookmarkEnd w:id="669"/>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15.3</w:t>
      </w:r>
      <w:r>
        <w:rPr>
          <w:sz w:val="20"/>
          <w:szCs w:val="20"/>
          <w:color w:val="auto"/>
        </w:rPr>
        <w:tab/>
      </w:r>
      <w:r>
        <w:rPr>
          <w:rFonts w:ascii="Arial" w:cs="Arial" w:eastAsia="Arial" w:hAnsi="Arial"/>
          <w:sz w:val="16"/>
          <w:szCs w:val="16"/>
          <w:b w:val="1"/>
          <w:bCs w:val="1"/>
          <w:color w:val="auto"/>
        </w:rPr>
        <w:t>Tax indemnity</w:t>
      </w:r>
    </w:p>
    <w:p>
      <w:pPr>
        <w:spacing w:after="0" w:line="135" w:lineRule="exact"/>
        <w:rPr>
          <w:sz w:val="20"/>
          <w:szCs w:val="20"/>
          <w:color w:val="auto"/>
        </w:rPr>
      </w:pPr>
    </w:p>
    <w:p>
      <w:pPr>
        <w:ind w:left="1300" w:right="120" w:hanging="535"/>
        <w:spacing w:after="0" w:line="259" w:lineRule="auto"/>
        <w:tabs>
          <w:tab w:leader="none" w:pos="1300" w:val="left"/>
        </w:tabs>
        <w:numPr>
          <w:ilvl w:val="0"/>
          <w:numId w:val="934"/>
        </w:numPr>
        <w:rPr>
          <w:rFonts w:ascii="Arial" w:cs="Arial" w:eastAsia="Arial" w:hAnsi="Arial"/>
          <w:sz w:val="18"/>
          <w:szCs w:val="18"/>
          <w:color w:val="auto"/>
        </w:rPr>
      </w:pPr>
      <w:r>
        <w:rPr>
          <w:rFonts w:ascii="Arial" w:cs="Arial" w:eastAsia="Arial" w:hAnsi="Arial"/>
          <w:sz w:val="18"/>
          <w:szCs w:val="18"/>
          <w:color w:val="auto"/>
        </w:rPr>
        <w:t>Without prejudice to Clause 15.2 (</w:t>
      </w:r>
      <w:r>
        <w:rPr>
          <w:rFonts w:ascii="Arial" w:cs="Arial" w:eastAsia="Arial" w:hAnsi="Arial"/>
          <w:sz w:val="18"/>
          <w:szCs w:val="18"/>
          <w:i w:val="1"/>
          <w:iCs w:val="1"/>
          <w:color w:val="auto"/>
        </w:rPr>
        <w:t>Tax gross-up</w:t>
      </w:r>
      <w:r>
        <w:rPr>
          <w:rFonts w:ascii="Arial" w:cs="Arial" w:eastAsia="Arial" w:hAnsi="Arial"/>
          <w:sz w:val="18"/>
          <w:szCs w:val="18"/>
          <w:color w:val="auto"/>
        </w:rPr>
        <w:t>), the Borrower shall (within five (5)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 or the transactions occurring under such Finance Document.</w:t>
      </w:r>
    </w:p>
    <w:p>
      <w:pPr>
        <w:spacing w:after="0" w:line="92" w:lineRule="exact"/>
        <w:rPr>
          <w:rFonts w:ascii="Arial" w:cs="Arial" w:eastAsia="Arial" w:hAnsi="Arial"/>
          <w:sz w:val="18"/>
          <w:szCs w:val="18"/>
          <w:color w:val="auto"/>
        </w:rPr>
      </w:pPr>
    </w:p>
    <w:p>
      <w:pPr>
        <w:ind w:left="1300" w:hanging="535"/>
        <w:spacing w:after="0"/>
        <w:tabs>
          <w:tab w:leader="none" w:pos="1300" w:val="left"/>
        </w:tabs>
        <w:numPr>
          <w:ilvl w:val="0"/>
          <w:numId w:val="934"/>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934"/>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130" w:lineRule="exact"/>
        <w:rPr>
          <w:rFonts w:ascii="Arial" w:cs="Arial" w:eastAsia="Arial" w:hAnsi="Arial"/>
          <w:sz w:val="18"/>
          <w:szCs w:val="18"/>
          <w:color w:val="auto"/>
        </w:rPr>
      </w:pPr>
    </w:p>
    <w:p>
      <w:pPr>
        <w:ind w:left="2500" w:right="580" w:hanging="533"/>
        <w:spacing w:after="0" w:line="277" w:lineRule="auto"/>
        <w:tabs>
          <w:tab w:leader="none" w:pos="2500" w:val="left"/>
        </w:tabs>
        <w:numPr>
          <w:ilvl w:val="2"/>
          <w:numId w:val="934"/>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75" w:lineRule="exact"/>
        <w:rPr>
          <w:rFonts w:ascii="Arial" w:cs="Arial" w:eastAsia="Arial" w:hAnsi="Arial"/>
          <w:sz w:val="18"/>
          <w:szCs w:val="18"/>
          <w:color w:val="auto"/>
        </w:rPr>
      </w:pPr>
    </w:p>
    <w:p>
      <w:pPr>
        <w:ind w:left="2500" w:right="660" w:hanging="533"/>
        <w:spacing w:after="0" w:line="277" w:lineRule="auto"/>
        <w:tabs>
          <w:tab w:leader="none" w:pos="2500" w:val="left"/>
        </w:tabs>
        <w:numPr>
          <w:ilvl w:val="2"/>
          <w:numId w:val="934"/>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62" w:lineRule="exact"/>
        <w:rPr>
          <w:sz w:val="20"/>
          <w:szCs w:val="20"/>
          <w:color w:val="auto"/>
        </w:rPr>
      </w:pPr>
    </w:p>
    <w:p>
      <w:pPr>
        <w:ind w:left="1980" w:right="160"/>
        <w:spacing w:after="0" w:line="277"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w:t>
      </w:r>
    </w:p>
    <w:p>
      <w:pPr>
        <w:spacing w:after="0" w:line="76" w:lineRule="exact"/>
        <w:rPr>
          <w:sz w:val="20"/>
          <w:szCs w:val="20"/>
          <w:color w:val="auto"/>
        </w:rPr>
      </w:pPr>
    </w:p>
    <w:p>
      <w:pPr>
        <w:ind w:left="1960" w:hanging="655"/>
        <w:spacing w:after="0"/>
        <w:tabs>
          <w:tab w:leader="none" w:pos="1960" w:val="left"/>
        </w:tabs>
        <w:numPr>
          <w:ilvl w:val="1"/>
          <w:numId w:val="935"/>
        </w:numPr>
        <w:rPr>
          <w:rFonts w:ascii="Arial" w:cs="Arial" w:eastAsia="Arial" w:hAnsi="Arial"/>
          <w:sz w:val="17"/>
          <w:szCs w:val="17"/>
          <w:color w:val="auto"/>
        </w:rPr>
      </w:pPr>
      <w:r>
        <w:rPr>
          <w:rFonts w:ascii="Arial" w:cs="Arial" w:eastAsia="Arial" w:hAnsi="Arial"/>
          <w:sz w:val="17"/>
          <w:szCs w:val="17"/>
          <w:color w:val="auto"/>
        </w:rPr>
        <w:t>to the extent a loss, liability or cost is compensated for by an increased payment under Clause 15.2 (</w:t>
      </w:r>
      <w:r>
        <w:rPr>
          <w:rFonts w:ascii="Arial" w:cs="Arial" w:eastAsia="Arial" w:hAnsi="Arial"/>
          <w:sz w:val="17"/>
          <w:szCs w:val="17"/>
          <w:i w:val="1"/>
          <w:iCs w:val="1"/>
          <w:color w:val="auto"/>
        </w:rPr>
        <w:t>Tax gross-up</w:t>
      </w:r>
      <w:r>
        <w:rPr>
          <w:rFonts w:ascii="Arial" w:cs="Arial" w:eastAsia="Arial" w:hAnsi="Arial"/>
          <w:sz w:val="17"/>
          <w:szCs w:val="17"/>
          <w:color w:val="auto"/>
        </w:rPr>
        <w:t>); or</w:t>
      </w:r>
    </w:p>
    <w:p>
      <w:pPr>
        <w:spacing w:after="0" w:line="142" w:lineRule="exact"/>
        <w:rPr>
          <w:rFonts w:ascii="Arial" w:cs="Arial" w:eastAsia="Arial" w:hAnsi="Arial"/>
          <w:sz w:val="17"/>
          <w:szCs w:val="17"/>
          <w:color w:val="auto"/>
        </w:rPr>
      </w:pPr>
    </w:p>
    <w:p>
      <w:pPr>
        <w:ind w:left="1960" w:hanging="655"/>
        <w:spacing w:after="0"/>
        <w:tabs>
          <w:tab w:leader="none" w:pos="1960" w:val="left"/>
        </w:tabs>
        <w:numPr>
          <w:ilvl w:val="1"/>
          <w:numId w:val="935"/>
        </w:numPr>
        <w:rPr>
          <w:rFonts w:ascii="Arial" w:cs="Arial" w:eastAsia="Arial" w:hAnsi="Arial"/>
          <w:sz w:val="18"/>
          <w:szCs w:val="18"/>
          <w:color w:val="auto"/>
        </w:rPr>
      </w:pPr>
      <w:r>
        <w:rPr>
          <w:rFonts w:ascii="Arial" w:cs="Arial" w:eastAsia="Arial" w:hAnsi="Arial"/>
          <w:sz w:val="18"/>
          <w:szCs w:val="18"/>
          <w:color w:val="auto"/>
        </w:rPr>
        <w:t>to the extent a loss, liability or cost relates to a FATCA Deduction required to be made by a Party.</w:t>
      </w:r>
    </w:p>
    <w:p>
      <w:pPr>
        <w:spacing w:after="0" w:line="130" w:lineRule="exact"/>
        <w:rPr>
          <w:rFonts w:ascii="Arial" w:cs="Arial" w:eastAsia="Arial" w:hAnsi="Arial"/>
          <w:sz w:val="18"/>
          <w:szCs w:val="18"/>
          <w:color w:val="auto"/>
        </w:rPr>
      </w:pPr>
    </w:p>
    <w:p>
      <w:pPr>
        <w:ind w:left="1300" w:right="40" w:hanging="535"/>
        <w:spacing w:after="0" w:line="259" w:lineRule="auto"/>
        <w:tabs>
          <w:tab w:leader="none" w:pos="130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notify the Agent of the event which will give, or has given, rise to the claim within 120 days after the date on which that Protected Party becomes aware of it (after which that Protected Party shall not be entitled to claim any indemnification or payment under this Clause 15.3), following which the Agent shall notify the Borrower.</w:t>
      </w:r>
    </w:p>
    <w:p>
      <w:pPr>
        <w:spacing w:after="0" w:line="92" w:lineRule="exact"/>
        <w:rPr>
          <w:rFonts w:ascii="Arial" w:cs="Arial" w:eastAsia="Arial" w:hAnsi="Arial"/>
          <w:sz w:val="18"/>
          <w:szCs w:val="18"/>
          <w:color w:val="auto"/>
        </w:rPr>
      </w:pPr>
    </w:p>
    <w:p>
      <w:pPr>
        <w:ind w:left="1300" w:hanging="535"/>
        <w:spacing w:after="0"/>
        <w:tabs>
          <w:tab w:leader="none" w:pos="130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15.3, notify the Agent.</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7"/>
          <w:szCs w:val="17"/>
          <w:b w:val="1"/>
          <w:bCs w:val="1"/>
          <w:color w:val="auto"/>
        </w:rPr>
        <w:t>Tax Credit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131" w:lineRule="exact"/>
        <w:rPr>
          <w:sz w:val="20"/>
          <w:szCs w:val="20"/>
          <w:color w:val="auto"/>
        </w:rPr>
      </w:pPr>
    </w:p>
    <w:p>
      <w:pPr>
        <w:ind w:left="1300" w:hanging="535"/>
        <w:spacing w:after="0"/>
        <w:tabs>
          <w:tab w:leader="none" w:pos="1300" w:val="left"/>
        </w:tabs>
        <w:numPr>
          <w:ilvl w:val="0"/>
          <w:numId w:val="937"/>
        </w:numPr>
        <w:rPr>
          <w:rFonts w:ascii="Arial" w:cs="Arial" w:eastAsia="Arial" w:hAnsi="Arial"/>
          <w:sz w:val="17"/>
          <w:szCs w:val="17"/>
          <w:color w:val="auto"/>
        </w:rPr>
      </w:pPr>
      <w:r>
        <w:rPr>
          <w:rFonts w:ascii="Arial" w:cs="Arial" w:eastAsia="Arial" w:hAnsi="Arial"/>
          <w:sz w:val="17"/>
          <w:szCs w:val="17"/>
          <w:color w:val="auto"/>
        </w:rPr>
        <w:t>a Tax Credit is attributable either to an increased payment of which that Tax Payment forms part or to that Tax Payment; and</w:t>
      </w:r>
    </w:p>
    <w:p>
      <w:pPr>
        <w:spacing w:after="0" w:line="142" w:lineRule="exact"/>
        <w:rPr>
          <w:rFonts w:ascii="Arial" w:cs="Arial" w:eastAsia="Arial" w:hAnsi="Arial"/>
          <w:sz w:val="17"/>
          <w:szCs w:val="17"/>
          <w:color w:val="auto"/>
        </w:rPr>
      </w:pPr>
    </w:p>
    <w:p>
      <w:pPr>
        <w:ind w:left="1300" w:hanging="535"/>
        <w:spacing w:after="0"/>
        <w:tabs>
          <w:tab w:leader="none" w:pos="130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that Finance Party has obtained, utilised and retained that Tax Credit,</w:t>
      </w:r>
    </w:p>
    <w:p>
      <w:pPr>
        <w:spacing w:after="0" w:line="117" w:lineRule="exact"/>
        <w:rPr>
          <w:sz w:val="20"/>
          <w:szCs w:val="20"/>
          <w:color w:val="auto"/>
        </w:rPr>
      </w:pPr>
    </w:p>
    <w:p>
      <w:pPr>
        <w:ind w:left="760" w:right="340"/>
        <w:spacing w:after="0" w:line="308" w:lineRule="auto"/>
        <w:rPr>
          <w:sz w:val="20"/>
          <w:szCs w:val="20"/>
          <w:color w:val="auto"/>
        </w:rPr>
      </w:pPr>
      <w:r>
        <w:rPr>
          <w:rFonts w:ascii="Arial" w:cs="Arial" w:eastAsia="Arial" w:hAnsi="Arial"/>
          <w:sz w:val="17"/>
          <w:szCs w:val="17"/>
          <w:color w:val="auto"/>
        </w:rPr>
        <w:t>the Finance Party shall pay an amount to the relevant Obligor which that Finance Party determines will leave it (after that payment) in the same after-Tax position as it would have been in had the Tax Payment not been required to be made by the relevant Obligor.</w:t>
      </w:r>
    </w:p>
    <w:p>
      <w:pPr>
        <w:spacing w:after="0" w:line="29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5"/>
          <w:szCs w:val="15"/>
          <w:b w:val="1"/>
          <w:bCs w:val="1"/>
          <w:color w:val="auto"/>
        </w:rPr>
        <w:t>Stamp taxes</w:t>
      </w:r>
    </w:p>
    <w:p>
      <w:pPr>
        <w:spacing w:after="0" w:line="121" w:lineRule="exact"/>
        <w:rPr>
          <w:sz w:val="20"/>
          <w:szCs w:val="20"/>
          <w:color w:val="auto"/>
        </w:rPr>
      </w:pPr>
    </w:p>
    <w:p>
      <w:pPr>
        <w:ind w:left="760" w:right="120"/>
        <w:spacing w:after="0" w:line="263" w:lineRule="auto"/>
        <w:rPr>
          <w:sz w:val="20"/>
          <w:szCs w:val="20"/>
          <w:color w:val="auto"/>
        </w:rPr>
      </w:pPr>
      <w:r>
        <w:rPr>
          <w:rFonts w:ascii="Arial" w:cs="Arial" w:eastAsia="Arial" w:hAnsi="Arial"/>
          <w:sz w:val="18"/>
          <w:szCs w:val="18"/>
          <w:color w:val="auto"/>
        </w:rPr>
        <w:t>The Borrower shall pay and, within five (5) Business Days of demand, indemnify each Secured Party against any cost, loss or liability that Secured Party incurs in relation to all stamp duty, registration, excise and other similar Taxes payable in respect of any Finance Document or the transactions occurring under any of them.</w:t>
      </w:r>
    </w:p>
    <w:p>
      <w:pPr>
        <w:spacing w:after="0" w:line="116"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70" w:name="page671"/>
    <w:bookmarkEnd w:id="670"/>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15.6</w:t>
      </w:r>
      <w:r>
        <w:rPr>
          <w:sz w:val="20"/>
          <w:szCs w:val="20"/>
          <w:color w:val="auto"/>
        </w:rPr>
        <w:tab/>
      </w:r>
      <w:r>
        <w:rPr>
          <w:rFonts w:ascii="Arial" w:cs="Arial" w:eastAsia="Arial" w:hAnsi="Arial"/>
          <w:sz w:val="16"/>
          <w:szCs w:val="16"/>
          <w:b w:val="1"/>
          <w:bCs w:val="1"/>
          <w:color w:val="auto"/>
        </w:rPr>
        <w:t>Indirect tax</w:t>
      </w:r>
    </w:p>
    <w:p>
      <w:pPr>
        <w:spacing w:after="0" w:line="135" w:lineRule="exact"/>
        <w:rPr>
          <w:sz w:val="20"/>
          <w:szCs w:val="20"/>
          <w:color w:val="auto"/>
        </w:rPr>
      </w:pPr>
    </w:p>
    <w:p>
      <w:pPr>
        <w:ind w:left="1300" w:right="20" w:hanging="535"/>
        <w:spacing w:after="0" w:line="259" w:lineRule="auto"/>
        <w:tabs>
          <w:tab w:leader="none" w:pos="1300" w:val="left"/>
        </w:tabs>
        <w:numPr>
          <w:ilvl w:val="0"/>
          <w:numId w:val="938"/>
        </w:numPr>
        <w:rPr>
          <w:rFonts w:ascii="Arial" w:cs="Arial" w:eastAsia="Arial" w:hAnsi="Arial"/>
          <w:sz w:val="18"/>
          <w:szCs w:val="18"/>
          <w:color w:val="auto"/>
        </w:rPr>
      </w:pPr>
      <w:r>
        <w:rPr>
          <w:rFonts w:ascii="Arial" w:cs="Arial" w:eastAsia="Arial" w:hAnsi="Arial"/>
          <w:sz w:val="18"/>
          <w:szCs w:val="18"/>
          <w:color w:val="auto"/>
        </w:rPr>
        <w:t>All amounts set out or expressed in a Finance Document to be payable by any Party to a Finance Party shall be deemed to be exclusive of any Indirect Tax. If any Indirect Tax is chargeable on any supply made by any Finance Party to any Party in connection with a Finance Document, that Party shall pay to the Finance Party (in addition to and at the same time as paying the consideration) an amount equal to the amount of the Indirect Tax.</w:t>
      </w:r>
    </w:p>
    <w:p>
      <w:pPr>
        <w:spacing w:after="0" w:line="92" w:lineRule="exact"/>
        <w:rPr>
          <w:rFonts w:ascii="Arial" w:cs="Arial" w:eastAsia="Arial" w:hAnsi="Arial"/>
          <w:sz w:val="18"/>
          <w:szCs w:val="18"/>
          <w:color w:val="auto"/>
        </w:rPr>
      </w:pPr>
    </w:p>
    <w:p>
      <w:pPr>
        <w:ind w:left="1300" w:right="20" w:hanging="535"/>
        <w:spacing w:after="0" w:line="311" w:lineRule="auto"/>
        <w:tabs>
          <w:tab w:leader="none" w:pos="1300" w:val="left"/>
        </w:tabs>
        <w:numPr>
          <w:ilvl w:val="0"/>
          <w:numId w:val="938"/>
        </w:numPr>
        <w:rPr>
          <w:rFonts w:ascii="Arial" w:cs="Arial" w:eastAsia="Arial" w:hAnsi="Arial"/>
          <w:sz w:val="16"/>
          <w:szCs w:val="16"/>
          <w:color w:val="auto"/>
        </w:rPr>
      </w:pPr>
      <w:r>
        <w:rPr>
          <w:rFonts w:ascii="Arial" w:cs="Arial" w:eastAsia="Arial" w:hAnsi="Arial"/>
          <w:sz w:val="16"/>
          <w:szCs w:val="16"/>
          <w:color w:val="auto"/>
        </w:rPr>
        <w:t>Where a Finance Document requires any Party to reimburse a Finance Party for any costs or expenses, that Party shall also at the same time pay and indemnify the Finance Party against all Indirect Tax incurred by that Finance Party in respect of the costs or expenses to the extent that the Finance Party reasonably determines that it is not entitled to credit or repayment in respect of the Indirect Tax.</w:t>
      </w:r>
    </w:p>
    <w:p>
      <w:pPr>
        <w:spacing w:after="0" w:line="2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Survival of obligations</w:t>
      </w:r>
    </w:p>
    <w:p>
      <w:pPr>
        <w:spacing w:after="0" w:line="121" w:lineRule="exact"/>
        <w:rPr>
          <w:sz w:val="20"/>
          <w:szCs w:val="20"/>
          <w:color w:val="auto"/>
        </w:rPr>
      </w:pPr>
    </w:p>
    <w:p>
      <w:pPr>
        <w:ind w:left="760" w:right="40"/>
        <w:spacing w:after="0" w:line="263" w:lineRule="auto"/>
        <w:rPr>
          <w:sz w:val="20"/>
          <w:szCs w:val="20"/>
          <w:color w:val="auto"/>
        </w:rPr>
      </w:pPr>
      <w:r>
        <w:rPr>
          <w:rFonts w:ascii="Arial" w:cs="Arial" w:eastAsia="Arial" w:hAnsi="Arial"/>
          <w:sz w:val="18"/>
          <w:szCs w:val="18"/>
          <w:color w:val="auto"/>
        </w:rPr>
        <w:t>Without prejudice to the survival of any other section of this Agreement, the agreements and obligations of each Obligor and each Finance Party contained in this Clause 15 shall survive the payment in full by the Obligors of all obligations under this Agreement and the termination of this Agreement.</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7"/>
          <w:szCs w:val="17"/>
          <w:b w:val="1"/>
          <w:bCs w:val="1"/>
          <w:color w:val="auto"/>
        </w:rPr>
        <w:t>FATCA Information</w:t>
      </w:r>
    </w:p>
    <w:p>
      <w:pPr>
        <w:spacing w:after="0" w:line="135" w:lineRule="exact"/>
        <w:rPr>
          <w:sz w:val="20"/>
          <w:szCs w:val="20"/>
          <w:color w:val="auto"/>
        </w:rPr>
      </w:pPr>
    </w:p>
    <w:p>
      <w:pPr>
        <w:ind w:left="1300" w:hanging="535"/>
        <w:spacing w:after="0"/>
        <w:tabs>
          <w:tab w:leader="none" w:pos="130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10 Business Days of a reasonable request by another Party:</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939"/>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30" w:lineRule="exact"/>
        <w:rPr>
          <w:rFonts w:ascii="Arial" w:cs="Arial" w:eastAsia="Arial" w:hAnsi="Arial"/>
          <w:sz w:val="18"/>
          <w:szCs w:val="18"/>
          <w:color w:val="auto"/>
        </w:rPr>
      </w:pPr>
    </w:p>
    <w:p>
      <w:pPr>
        <w:ind w:left="2500" w:hanging="533"/>
        <w:spacing w:after="0"/>
        <w:tabs>
          <w:tab w:leader="none" w:pos="2500" w:val="left"/>
        </w:tabs>
        <w:numPr>
          <w:ilvl w:val="2"/>
          <w:numId w:val="939"/>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30" w:lineRule="exact"/>
        <w:rPr>
          <w:rFonts w:ascii="Arial" w:cs="Arial" w:eastAsia="Arial" w:hAnsi="Arial"/>
          <w:sz w:val="18"/>
          <w:szCs w:val="18"/>
          <w:color w:val="auto"/>
        </w:rPr>
      </w:pPr>
    </w:p>
    <w:p>
      <w:pPr>
        <w:ind w:left="2500" w:hanging="533"/>
        <w:spacing w:after="0"/>
        <w:tabs>
          <w:tab w:leader="none" w:pos="2500" w:val="left"/>
        </w:tabs>
        <w:numPr>
          <w:ilvl w:val="2"/>
          <w:numId w:val="939"/>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130" w:lineRule="exact"/>
        <w:rPr>
          <w:rFonts w:ascii="Arial" w:cs="Arial" w:eastAsia="Arial" w:hAnsi="Arial"/>
          <w:sz w:val="18"/>
          <w:szCs w:val="18"/>
          <w:color w:val="auto"/>
        </w:rPr>
      </w:pPr>
    </w:p>
    <w:p>
      <w:pPr>
        <w:ind w:left="1960" w:right="220" w:hanging="655"/>
        <w:spacing w:after="0" w:line="277" w:lineRule="auto"/>
        <w:tabs>
          <w:tab w:leader="none" w:pos="1960" w:val="left"/>
        </w:tabs>
        <w:numPr>
          <w:ilvl w:val="1"/>
          <w:numId w:val="939"/>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75" w:lineRule="exact"/>
        <w:rPr>
          <w:rFonts w:ascii="Arial" w:cs="Arial" w:eastAsia="Arial" w:hAnsi="Arial"/>
          <w:sz w:val="18"/>
          <w:szCs w:val="18"/>
          <w:color w:val="auto"/>
        </w:rPr>
      </w:pPr>
    </w:p>
    <w:p>
      <w:pPr>
        <w:ind w:left="1960" w:right="20" w:hanging="655"/>
        <w:spacing w:after="0" w:line="342" w:lineRule="auto"/>
        <w:tabs>
          <w:tab w:leader="none" w:pos="1960" w:val="left"/>
        </w:tabs>
        <w:numPr>
          <w:ilvl w:val="1"/>
          <w:numId w:val="939"/>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29" w:lineRule="exact"/>
        <w:rPr>
          <w:rFonts w:ascii="Arial" w:cs="Arial" w:eastAsia="Arial" w:hAnsi="Arial"/>
          <w:sz w:val="16"/>
          <w:szCs w:val="16"/>
          <w:color w:val="auto"/>
        </w:rPr>
      </w:pPr>
    </w:p>
    <w:p>
      <w:pPr>
        <w:ind w:left="1300" w:right="180" w:hanging="535"/>
        <w:spacing w:after="0" w:line="342" w:lineRule="auto"/>
        <w:tabs>
          <w:tab w:leader="none" w:pos="1300" w:val="left"/>
        </w:tabs>
        <w:numPr>
          <w:ilvl w:val="0"/>
          <w:numId w:val="939"/>
        </w:numPr>
        <w:rPr>
          <w:rFonts w:ascii="Arial" w:cs="Arial" w:eastAsia="Arial" w:hAnsi="Arial"/>
          <w:sz w:val="16"/>
          <w:szCs w:val="16"/>
          <w:color w:val="auto"/>
        </w:rPr>
      </w:pPr>
      <w:r>
        <w:rPr>
          <w:rFonts w:ascii="Arial" w:cs="Arial" w:eastAsia="Arial" w:hAnsi="Arial"/>
          <w:sz w:val="16"/>
          <w:szCs w:val="16"/>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29" w:lineRule="exact"/>
        <w:rPr>
          <w:rFonts w:ascii="Arial" w:cs="Arial" w:eastAsia="Arial" w:hAnsi="Arial"/>
          <w:sz w:val="16"/>
          <w:szCs w:val="16"/>
          <w:color w:val="auto"/>
        </w:rPr>
      </w:pPr>
    </w:p>
    <w:p>
      <w:pPr>
        <w:ind w:left="1300" w:right="100" w:hanging="535"/>
        <w:spacing w:after="0" w:line="277" w:lineRule="auto"/>
        <w:tabs>
          <w:tab w:leader="none" w:pos="130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939"/>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939"/>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939"/>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30" w:lineRule="exact"/>
        <w:rPr>
          <w:rFonts w:ascii="Arial" w:cs="Arial" w:eastAsia="Arial" w:hAnsi="Arial"/>
          <w:sz w:val="18"/>
          <w:szCs w:val="18"/>
          <w:color w:val="auto"/>
        </w:rPr>
      </w:pPr>
    </w:p>
    <w:p>
      <w:pPr>
        <w:ind w:left="1300" w:right="40" w:hanging="535"/>
        <w:spacing w:after="0" w:line="301" w:lineRule="auto"/>
        <w:tabs>
          <w:tab w:leader="none" w:pos="1300" w:val="left"/>
        </w:tabs>
        <w:numPr>
          <w:ilvl w:val="0"/>
          <w:numId w:val="939"/>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90"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71" w:name="page672"/>
    <w:bookmarkEnd w:id="671"/>
    <w:p>
      <w:pPr>
        <w:ind w:left="4"/>
        <w:spacing w:after="0"/>
        <w:tabs>
          <w:tab w:leader="none" w:pos="7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15.9</w:t>
      </w:r>
      <w:r>
        <w:rPr>
          <w:sz w:val="20"/>
          <w:szCs w:val="20"/>
          <w:color w:val="auto"/>
        </w:rPr>
        <w:tab/>
      </w:r>
      <w:r>
        <w:rPr>
          <w:rFonts w:ascii="Arial" w:cs="Arial" w:eastAsia="Arial" w:hAnsi="Arial"/>
          <w:sz w:val="16"/>
          <w:szCs w:val="16"/>
          <w:b w:val="1"/>
          <w:bCs w:val="1"/>
          <w:color w:val="auto"/>
        </w:rPr>
        <w:t>FATCA Deduction</w:t>
      </w:r>
    </w:p>
    <w:p>
      <w:pPr>
        <w:spacing w:after="0" w:line="135" w:lineRule="exact"/>
        <w:rPr>
          <w:sz w:val="20"/>
          <w:szCs w:val="20"/>
          <w:color w:val="auto"/>
        </w:rPr>
      </w:pPr>
    </w:p>
    <w:p>
      <w:pPr>
        <w:ind w:left="1304" w:right="180" w:hanging="535"/>
        <w:spacing w:after="0" w:line="263" w:lineRule="auto"/>
        <w:tabs>
          <w:tab w:leader="none" w:pos="1304" w:val="left"/>
        </w:tabs>
        <w:numPr>
          <w:ilvl w:val="0"/>
          <w:numId w:val="940"/>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9" w:lineRule="exact"/>
        <w:rPr>
          <w:rFonts w:ascii="Arial" w:cs="Arial" w:eastAsia="Arial" w:hAnsi="Arial"/>
          <w:sz w:val="18"/>
          <w:szCs w:val="18"/>
          <w:color w:val="auto"/>
        </w:rPr>
      </w:pPr>
    </w:p>
    <w:p>
      <w:pPr>
        <w:ind w:left="1304" w:right="140" w:hanging="535"/>
        <w:spacing w:after="0" w:line="263" w:lineRule="auto"/>
        <w:tabs>
          <w:tab w:leader="none" w:pos="1304" w:val="left"/>
        </w:tabs>
        <w:numPr>
          <w:ilvl w:val="0"/>
          <w:numId w:val="940"/>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328" w:lineRule="exact"/>
        <w:rPr>
          <w:sz w:val="20"/>
          <w:szCs w:val="20"/>
          <w:color w:val="auto"/>
        </w:rPr>
      </w:pPr>
    </w:p>
    <w:p>
      <w:pPr>
        <w:ind w:left="764" w:hanging="764"/>
        <w:spacing w:after="0"/>
        <w:tabs>
          <w:tab w:leader="none" w:pos="764" w:val="left"/>
        </w:tabs>
        <w:numPr>
          <w:ilvl w:val="0"/>
          <w:numId w:val="941"/>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Costs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16.1</w:t>
      </w:r>
      <w:r>
        <w:rPr>
          <w:rFonts w:ascii="Arial" w:cs="Arial" w:eastAsia="Arial" w:hAnsi="Arial"/>
          <w:sz w:val="15"/>
          <w:szCs w:val="15"/>
          <w:b w:val="1"/>
          <w:bCs w:val="1"/>
          <w:color w:val="auto"/>
        </w:rPr>
        <w:t>Increased costs</w:t>
      </w:r>
    </w:p>
    <w:p>
      <w:pPr>
        <w:spacing w:after="0" w:line="134" w:lineRule="exact"/>
        <w:rPr>
          <w:rFonts w:ascii="Arial" w:cs="Arial" w:eastAsia="Arial" w:hAnsi="Arial"/>
          <w:sz w:val="18"/>
          <w:szCs w:val="18"/>
          <w:b w:val="1"/>
          <w:bCs w:val="1"/>
          <w:color w:val="auto"/>
        </w:rPr>
      </w:pPr>
    </w:p>
    <w:p>
      <w:pPr>
        <w:ind w:left="1304" w:right="140" w:hanging="535"/>
        <w:spacing w:after="0" w:line="342" w:lineRule="auto"/>
        <w:tabs>
          <w:tab w:leader="none" w:pos="1304" w:val="left"/>
        </w:tabs>
        <w:numPr>
          <w:ilvl w:val="1"/>
          <w:numId w:val="941"/>
        </w:numPr>
        <w:rPr>
          <w:rFonts w:ascii="Arial" w:cs="Arial" w:eastAsia="Arial" w:hAnsi="Arial"/>
          <w:sz w:val="16"/>
          <w:szCs w:val="16"/>
          <w:color w:val="auto"/>
        </w:rPr>
      </w:pPr>
      <w:r>
        <w:rPr>
          <w:rFonts w:ascii="Arial" w:cs="Arial" w:eastAsia="Arial" w:hAnsi="Arial"/>
          <w:sz w:val="16"/>
          <w:szCs w:val="16"/>
          <w:color w:val="auto"/>
        </w:rPr>
        <w:t>Subject to Clause 16.3 (</w:t>
      </w:r>
      <w:r>
        <w:rPr>
          <w:rFonts w:ascii="Arial" w:cs="Arial" w:eastAsia="Arial" w:hAnsi="Arial"/>
          <w:sz w:val="16"/>
          <w:szCs w:val="16"/>
          <w:i w:val="1"/>
          <w:iCs w:val="1"/>
          <w:color w:val="auto"/>
        </w:rPr>
        <w:t>Exceptions</w:t>
      </w:r>
      <w:r>
        <w:rPr>
          <w:rFonts w:ascii="Arial" w:cs="Arial" w:eastAsia="Arial" w:hAnsi="Arial"/>
          <w:sz w:val="16"/>
          <w:szCs w:val="16"/>
          <w:color w:val="auto"/>
        </w:rPr>
        <w:t>) the Borrower shall, within five (5) Business Days of a demand by the Agent, pay for the account of a Finance Party the amount of any Increased Costs incurred by that Finance Party or any of its Affiliates as a result of:</w:t>
      </w:r>
    </w:p>
    <w:p>
      <w:pPr>
        <w:spacing w:after="0" w:line="29" w:lineRule="exact"/>
        <w:rPr>
          <w:rFonts w:ascii="Arial" w:cs="Arial" w:eastAsia="Arial" w:hAnsi="Arial"/>
          <w:sz w:val="16"/>
          <w:szCs w:val="16"/>
          <w:color w:val="auto"/>
        </w:rPr>
      </w:pPr>
    </w:p>
    <w:p>
      <w:pPr>
        <w:ind w:left="1964" w:right="120" w:hanging="655"/>
        <w:spacing w:after="0" w:line="277" w:lineRule="auto"/>
        <w:tabs>
          <w:tab w:leader="none" w:pos="1964" w:val="left"/>
        </w:tabs>
        <w:numPr>
          <w:ilvl w:val="2"/>
          <w:numId w:val="941"/>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after the date of this Agreement; or</w:t>
      </w:r>
    </w:p>
    <w:p>
      <w:pPr>
        <w:spacing w:after="0" w:line="75" w:lineRule="exact"/>
        <w:rPr>
          <w:rFonts w:ascii="Arial" w:cs="Arial" w:eastAsia="Arial" w:hAnsi="Arial"/>
          <w:sz w:val="18"/>
          <w:szCs w:val="18"/>
          <w:color w:val="auto"/>
        </w:rPr>
      </w:pPr>
    </w:p>
    <w:p>
      <w:pPr>
        <w:ind w:left="1964" w:hanging="655"/>
        <w:spacing w:after="0"/>
        <w:tabs>
          <w:tab w:leader="none" w:pos="1964" w:val="left"/>
        </w:tabs>
        <w:numPr>
          <w:ilvl w:val="2"/>
          <w:numId w:val="941"/>
        </w:numPr>
        <w:rPr>
          <w:rFonts w:ascii="Arial" w:cs="Arial" w:eastAsia="Arial" w:hAnsi="Arial"/>
          <w:sz w:val="18"/>
          <w:szCs w:val="18"/>
          <w:color w:val="auto"/>
        </w:rPr>
      </w:pPr>
      <w:r>
        <w:rPr>
          <w:rFonts w:ascii="Arial" w:cs="Arial" w:eastAsia="Arial" w:hAnsi="Arial"/>
          <w:sz w:val="18"/>
          <w:szCs w:val="18"/>
          <w:color w:val="auto"/>
        </w:rPr>
        <w:t>compliance with any law or regulation made after the date of this Agreement.</w:t>
      </w:r>
    </w:p>
    <w:p>
      <w:pPr>
        <w:spacing w:after="0" w:line="117" w:lineRule="exact"/>
        <w:rPr>
          <w:sz w:val="20"/>
          <w:szCs w:val="20"/>
          <w:color w:val="auto"/>
        </w:rPr>
      </w:pPr>
    </w:p>
    <w:p>
      <w:pPr>
        <w:ind w:left="1324" w:right="440"/>
        <w:spacing w:after="0" w:line="277" w:lineRule="auto"/>
        <w:rPr>
          <w:sz w:val="20"/>
          <w:szCs w:val="20"/>
          <w:color w:val="auto"/>
        </w:rPr>
      </w:pPr>
      <w:r>
        <w:rPr>
          <w:rFonts w:ascii="Arial" w:cs="Arial" w:eastAsia="Arial" w:hAnsi="Arial"/>
          <w:sz w:val="18"/>
          <w:szCs w:val="18"/>
          <w:color w:val="auto"/>
        </w:rPr>
        <w:t>The terms “law” and “regulation” in this paragraph (a) shall include, without limitation, any law or regulation concerning capital adequacy, prudential limits, liquidity, reserve assets or Tax.</w:t>
      </w:r>
    </w:p>
    <w:p>
      <w:pPr>
        <w:spacing w:after="0" w:line="76" w:lineRule="exact"/>
        <w:rPr>
          <w:sz w:val="20"/>
          <w:szCs w:val="20"/>
          <w:color w:val="auto"/>
        </w:rPr>
      </w:pPr>
    </w:p>
    <w:p>
      <w:pPr>
        <w:ind w:left="1304" w:hanging="535"/>
        <w:spacing w:after="0"/>
        <w:tabs>
          <w:tab w:leader="none" w:pos="1304" w:val="left"/>
        </w:tabs>
        <w:numPr>
          <w:ilvl w:val="0"/>
          <w:numId w:val="942"/>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26" w:lineRule="exact"/>
        <w:rPr>
          <w:rFonts w:ascii="Arial" w:cs="Arial" w:eastAsia="Arial" w:hAnsi="Arial"/>
          <w:sz w:val="18"/>
          <w:szCs w:val="18"/>
          <w:color w:val="auto"/>
        </w:rPr>
      </w:pPr>
    </w:p>
    <w:p>
      <w:pPr>
        <w:ind w:left="1964" w:hanging="655"/>
        <w:spacing w:after="0"/>
        <w:tabs>
          <w:tab w:leader="none" w:pos="1964" w:val="left"/>
        </w:tabs>
        <w:numPr>
          <w:ilvl w:val="1"/>
          <w:numId w:val="9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2504" w:right="260" w:hanging="533"/>
        <w:spacing w:after="0" w:line="263" w:lineRule="auto"/>
        <w:tabs>
          <w:tab w:leader="none" w:pos="2504" w:val="left"/>
        </w:tabs>
        <w:numPr>
          <w:ilvl w:val="2"/>
          <w:numId w:val="942"/>
        </w:numPr>
        <w:rPr>
          <w:rFonts w:ascii="Arial" w:cs="Arial" w:eastAsia="Arial" w:hAnsi="Arial"/>
          <w:sz w:val="18"/>
          <w:szCs w:val="18"/>
          <w:color w:val="auto"/>
        </w:rPr>
      </w:pPr>
      <w:r>
        <w:rPr>
          <w:rFonts w:ascii="Arial" w:cs="Arial" w:eastAsia="Arial" w:hAnsi="Arial"/>
          <w:sz w:val="18"/>
          <w:szCs w:val="18"/>
          <w:color w:val="auto"/>
        </w:rPr>
        <w:t>a reduction in the rate of return from a Facility or on a Finance Party’s (or its Affiliate’s) overall capital (including, without limitation, as a result of any reduction in the rate of return on capital brought about by more capital being required to be allocated by such Finance Party);</w:t>
      </w:r>
    </w:p>
    <w:p>
      <w:pPr>
        <w:spacing w:after="0" w:line="89" w:lineRule="exact"/>
        <w:rPr>
          <w:rFonts w:ascii="Arial" w:cs="Arial" w:eastAsia="Arial" w:hAnsi="Arial"/>
          <w:sz w:val="18"/>
          <w:szCs w:val="18"/>
          <w:color w:val="auto"/>
        </w:rPr>
      </w:pPr>
    </w:p>
    <w:p>
      <w:pPr>
        <w:ind w:left="2504" w:hanging="533"/>
        <w:spacing w:after="0"/>
        <w:tabs>
          <w:tab w:leader="none" w:pos="2504" w:val="left"/>
        </w:tabs>
        <w:numPr>
          <w:ilvl w:val="2"/>
          <w:numId w:val="942"/>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30" w:lineRule="exact"/>
        <w:rPr>
          <w:rFonts w:ascii="Arial" w:cs="Arial" w:eastAsia="Arial" w:hAnsi="Arial"/>
          <w:sz w:val="18"/>
          <w:szCs w:val="18"/>
          <w:color w:val="auto"/>
        </w:rPr>
      </w:pPr>
    </w:p>
    <w:p>
      <w:pPr>
        <w:ind w:left="2504" w:hanging="533"/>
        <w:spacing w:after="0"/>
        <w:tabs>
          <w:tab w:leader="none" w:pos="2504" w:val="left"/>
        </w:tabs>
        <w:numPr>
          <w:ilvl w:val="2"/>
          <w:numId w:val="942"/>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17" w:lineRule="exact"/>
        <w:rPr>
          <w:sz w:val="20"/>
          <w:szCs w:val="20"/>
          <w:color w:val="auto"/>
        </w:rPr>
      </w:pPr>
    </w:p>
    <w:p>
      <w:pPr>
        <w:ind w:left="1984" w:right="400"/>
        <w:spacing w:after="0" w:line="342" w:lineRule="auto"/>
        <w:rPr>
          <w:sz w:val="20"/>
          <w:szCs w:val="20"/>
          <w:color w:val="auto"/>
        </w:rPr>
      </w:pPr>
      <w:r>
        <w:rPr>
          <w:rFonts w:ascii="Arial" w:cs="Arial" w:eastAsia="Arial" w:hAnsi="Arial"/>
          <w:sz w:val="16"/>
          <w:szCs w:val="16"/>
          <w:color w:val="auto"/>
        </w:rPr>
        <w:t>which is incurred or suffered by a Finance Party or any of its Affiliates to the extent that it is attributable to that Finance Party having entered into its Commitment or funding or performing its obligations under any Finance Document; and</w:t>
      </w:r>
    </w:p>
    <w:p>
      <w:pPr>
        <w:spacing w:after="0" w:line="56"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72" w:name="page673"/>
    <w:bookmarkEnd w:id="672"/>
    <w:p>
      <w:pPr>
        <w:ind w:left="1960" w:right="140" w:hanging="655"/>
        <w:spacing w:after="0" w:line="291" w:lineRule="auto"/>
        <w:tabs>
          <w:tab w:leader="none" w:pos="1960" w:val="left"/>
        </w:tabs>
        <w:numPr>
          <w:ilvl w:val="0"/>
          <w:numId w:val="9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Basel III</w:t>
      </w:r>
      <w:r>
        <w:rPr>
          <w:rFonts w:ascii="Arial" w:cs="Arial" w:eastAsia="Arial" w:hAnsi="Arial"/>
          <w:sz w:val="16"/>
          <w:szCs w:val="16"/>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on 16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any further guidance or standards published by the Basel Committee on Banking Supervision relating to “Basel III”.</w:t>
      </w:r>
    </w:p>
    <w:p>
      <w:pPr>
        <w:spacing w:after="0" w:line="30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Increased cost claims</w:t>
      </w:r>
    </w:p>
    <w:p>
      <w:pPr>
        <w:spacing w:after="0" w:line="135" w:lineRule="exact"/>
        <w:rPr>
          <w:sz w:val="20"/>
          <w:szCs w:val="20"/>
          <w:color w:val="auto"/>
        </w:rPr>
      </w:pPr>
    </w:p>
    <w:p>
      <w:pPr>
        <w:ind w:left="1300" w:right="120" w:hanging="535"/>
        <w:spacing w:after="0" w:line="263" w:lineRule="auto"/>
        <w:tabs>
          <w:tab w:leader="none" w:pos="1300" w:val="left"/>
        </w:tabs>
        <w:numPr>
          <w:ilvl w:val="0"/>
          <w:numId w:val="944"/>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16.1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within 120 days of the date on which that Finance Party becomes aware of it, following which the Agent shall promptly notify the Borrower.</w:t>
      </w:r>
    </w:p>
    <w:p>
      <w:pPr>
        <w:spacing w:after="0" w:line="89" w:lineRule="exact"/>
        <w:rPr>
          <w:rFonts w:ascii="Arial" w:cs="Arial" w:eastAsia="Arial" w:hAnsi="Arial"/>
          <w:sz w:val="18"/>
          <w:szCs w:val="18"/>
          <w:color w:val="auto"/>
        </w:rPr>
      </w:pPr>
    </w:p>
    <w:p>
      <w:pPr>
        <w:ind w:left="1300" w:right="560" w:hanging="535"/>
        <w:spacing w:after="0" w:line="277" w:lineRule="auto"/>
        <w:tabs>
          <w:tab w:leader="none" w:pos="1300" w:val="left"/>
        </w:tabs>
        <w:numPr>
          <w:ilvl w:val="0"/>
          <w:numId w:val="944"/>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of its Increased Costs.</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300" w:hanging="535"/>
        <w:spacing w:after="0"/>
        <w:tabs>
          <w:tab w:leader="none" w:pos="1300" w:val="left"/>
        </w:tabs>
        <w:numPr>
          <w:ilvl w:val="0"/>
          <w:numId w:val="945"/>
        </w:numPr>
        <w:rPr>
          <w:rFonts w:ascii="Arial" w:cs="Arial" w:eastAsia="Arial" w:hAnsi="Arial"/>
          <w:sz w:val="18"/>
          <w:szCs w:val="18"/>
          <w:color w:val="auto"/>
        </w:rPr>
      </w:pPr>
      <w:r>
        <w:rPr>
          <w:rFonts w:ascii="Arial" w:cs="Arial" w:eastAsia="Arial" w:hAnsi="Arial"/>
          <w:sz w:val="18"/>
          <w:szCs w:val="18"/>
          <w:color w:val="auto"/>
        </w:rPr>
        <w:t>Clause 16.1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945"/>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130" w:lineRule="exact"/>
        <w:rPr>
          <w:rFonts w:ascii="Arial" w:cs="Arial" w:eastAsia="Arial" w:hAnsi="Arial"/>
          <w:sz w:val="18"/>
          <w:szCs w:val="18"/>
          <w:color w:val="auto"/>
        </w:rPr>
      </w:pPr>
    </w:p>
    <w:p>
      <w:pPr>
        <w:ind w:left="1960" w:right="20" w:hanging="655"/>
        <w:spacing w:after="0" w:line="342" w:lineRule="auto"/>
        <w:tabs>
          <w:tab w:leader="none" w:pos="1960" w:val="left"/>
        </w:tabs>
        <w:numPr>
          <w:ilvl w:val="1"/>
          <w:numId w:val="945"/>
        </w:numPr>
        <w:rPr>
          <w:rFonts w:ascii="Arial" w:cs="Arial" w:eastAsia="Arial" w:hAnsi="Arial"/>
          <w:sz w:val="16"/>
          <w:szCs w:val="16"/>
          <w:color w:val="auto"/>
        </w:rPr>
      </w:pPr>
      <w:r>
        <w:rPr>
          <w:rFonts w:ascii="Arial" w:cs="Arial" w:eastAsia="Arial" w:hAnsi="Arial"/>
          <w:sz w:val="16"/>
          <w:szCs w:val="16"/>
          <w:color w:val="auto"/>
        </w:rPr>
        <w:t>compensated for by Clause 15.3 (</w:t>
      </w:r>
      <w:r>
        <w:rPr>
          <w:rFonts w:ascii="Arial" w:cs="Arial" w:eastAsia="Arial" w:hAnsi="Arial"/>
          <w:sz w:val="16"/>
          <w:szCs w:val="16"/>
          <w:i w:val="1"/>
          <w:iCs w:val="1"/>
          <w:color w:val="auto"/>
        </w:rPr>
        <w:t>Tax indemnity</w:t>
      </w:r>
      <w:r>
        <w:rPr>
          <w:rFonts w:ascii="Arial" w:cs="Arial" w:eastAsia="Arial" w:hAnsi="Arial"/>
          <w:sz w:val="16"/>
          <w:szCs w:val="16"/>
          <w:color w:val="auto"/>
        </w:rPr>
        <w:t>) (or would have been compensated for under Clause 15.3 (</w:t>
      </w:r>
      <w:r>
        <w:rPr>
          <w:rFonts w:ascii="Arial" w:cs="Arial" w:eastAsia="Arial" w:hAnsi="Arial"/>
          <w:sz w:val="16"/>
          <w:szCs w:val="16"/>
          <w:i w:val="1"/>
          <w:iCs w:val="1"/>
          <w:color w:val="auto"/>
        </w:rPr>
        <w:t>Tax indemnity</w:t>
      </w:r>
      <w:r>
        <w:rPr>
          <w:rFonts w:ascii="Arial" w:cs="Arial" w:eastAsia="Arial" w:hAnsi="Arial"/>
          <w:sz w:val="16"/>
          <w:szCs w:val="16"/>
          <w:color w:val="auto"/>
        </w:rPr>
        <w:t>) but was not so compensated solely because any of the exclusions in paragraph (b) of Clause 15.3 (</w:t>
      </w:r>
      <w:r>
        <w:rPr>
          <w:rFonts w:ascii="Arial" w:cs="Arial" w:eastAsia="Arial" w:hAnsi="Arial"/>
          <w:sz w:val="16"/>
          <w:szCs w:val="16"/>
          <w:i w:val="1"/>
          <w:iCs w:val="1"/>
          <w:color w:val="auto"/>
        </w:rPr>
        <w:t>Tax indemnity</w:t>
      </w:r>
      <w:r>
        <w:rPr>
          <w:rFonts w:ascii="Arial" w:cs="Arial" w:eastAsia="Arial" w:hAnsi="Arial"/>
          <w:sz w:val="16"/>
          <w:szCs w:val="16"/>
          <w:color w:val="auto"/>
        </w:rPr>
        <w:t>) applied);</w:t>
      </w:r>
    </w:p>
    <w:p>
      <w:pPr>
        <w:spacing w:after="0" w:line="29" w:lineRule="exact"/>
        <w:rPr>
          <w:rFonts w:ascii="Arial" w:cs="Arial" w:eastAsia="Arial" w:hAnsi="Arial"/>
          <w:sz w:val="16"/>
          <w:szCs w:val="16"/>
          <w:color w:val="auto"/>
        </w:rPr>
      </w:pPr>
    </w:p>
    <w:p>
      <w:pPr>
        <w:ind w:left="1960" w:hanging="655"/>
        <w:spacing w:after="0"/>
        <w:tabs>
          <w:tab w:leader="none" w:pos="1960" w:val="left"/>
        </w:tabs>
        <w:numPr>
          <w:ilvl w:val="1"/>
          <w:numId w:val="945"/>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945"/>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 or</w:t>
      </w:r>
    </w:p>
    <w:p>
      <w:pPr>
        <w:spacing w:after="0" w:line="130" w:lineRule="exact"/>
        <w:rPr>
          <w:rFonts w:ascii="Arial" w:cs="Arial" w:eastAsia="Arial" w:hAnsi="Arial"/>
          <w:sz w:val="18"/>
          <w:szCs w:val="18"/>
          <w:color w:val="auto"/>
        </w:rPr>
      </w:pPr>
    </w:p>
    <w:p>
      <w:pPr>
        <w:ind w:left="1960" w:right="40" w:hanging="655"/>
        <w:spacing w:after="0" w:line="257" w:lineRule="auto"/>
        <w:tabs>
          <w:tab w:leader="none" w:pos="1960" w:val="left"/>
        </w:tabs>
        <w:numPr>
          <w:ilvl w:val="1"/>
          <w:numId w:val="945"/>
        </w:numPr>
        <w:rPr>
          <w:rFonts w:ascii="Arial" w:cs="Arial" w:eastAsia="Arial" w:hAnsi="Arial"/>
          <w:sz w:val="18"/>
          <w:szCs w:val="18"/>
          <w:color w:val="auto"/>
        </w:rPr>
      </w:pPr>
      <w:r>
        <w:rPr>
          <w:rFonts w:ascii="Arial" w:cs="Arial" w:eastAsia="Arial" w:hAnsi="Arial"/>
          <w:sz w:val="18"/>
          <w:szCs w:val="18"/>
          <w:color w:val="auto"/>
        </w:rPr>
        <w:t>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Arial" w:cs="Arial" w:eastAsia="Arial" w:hAnsi="Arial"/>
          <w:sz w:val="18"/>
          <w:szCs w:val="18"/>
          <w:b w:val="1"/>
          <w:bCs w:val="1"/>
          <w:color w:val="auto"/>
        </w:rPr>
        <w:t>Basel</w:t>
      </w:r>
      <w:r>
        <w:rPr>
          <w:rFonts w:ascii="Arial" w:cs="Arial" w:eastAsia="Arial" w:hAnsi="Arial"/>
          <w:sz w:val="18"/>
          <w:szCs w:val="18"/>
          <w:color w:val="auto"/>
        </w:rPr>
        <w:t xml:space="preserve"> </w:t>
      </w:r>
      <w:r>
        <w:rPr>
          <w:rFonts w:ascii="Arial" w:cs="Arial" w:eastAsia="Arial" w:hAnsi="Arial"/>
          <w:sz w:val="18"/>
          <w:szCs w:val="18"/>
          <w:b w:val="1"/>
          <w:bCs w:val="1"/>
          <w:color w:val="auto"/>
        </w:rPr>
        <w:t>II</w:t>
      </w:r>
      <w:r>
        <w:rPr>
          <w:rFonts w:ascii="Arial" w:cs="Arial" w:eastAsia="Arial" w:hAnsi="Arial"/>
          <w:sz w:val="18"/>
          <w:szCs w:val="18"/>
          <w:color w:val="auto"/>
        </w:rPr>
        <w:t>”) or any other law or regulation which implements Basel II (whether such implementation, application or compliance is by</w:t>
      </w:r>
      <w:r>
        <w:rPr>
          <w:rFonts w:ascii="Arial" w:cs="Arial" w:eastAsia="Arial" w:hAnsi="Arial"/>
          <w:sz w:val="18"/>
          <w:szCs w:val="18"/>
          <w:b w:val="1"/>
          <w:bCs w:val="1"/>
          <w:color w:val="auto"/>
        </w:rPr>
        <w:t xml:space="preserve"> </w:t>
      </w:r>
      <w:r>
        <w:rPr>
          <w:rFonts w:ascii="Arial" w:cs="Arial" w:eastAsia="Arial" w:hAnsi="Arial"/>
          <w:sz w:val="18"/>
          <w:szCs w:val="18"/>
          <w:color w:val="auto"/>
        </w:rPr>
        <w:t>a government, regulator, Finance Party or any of its Affiliates); or</w:t>
      </w:r>
    </w:p>
    <w:p>
      <w:pPr>
        <w:spacing w:after="0" w:line="93" w:lineRule="exact"/>
        <w:rPr>
          <w:rFonts w:ascii="Arial" w:cs="Arial" w:eastAsia="Arial" w:hAnsi="Arial"/>
          <w:sz w:val="18"/>
          <w:szCs w:val="18"/>
          <w:color w:val="auto"/>
        </w:rPr>
      </w:pPr>
    </w:p>
    <w:p>
      <w:pPr>
        <w:ind w:left="1960" w:right="100" w:hanging="655"/>
        <w:spacing w:after="0" w:line="286" w:lineRule="auto"/>
        <w:tabs>
          <w:tab w:leader="none" w:pos="1960" w:val="left"/>
        </w:tabs>
        <w:numPr>
          <w:ilvl w:val="1"/>
          <w:numId w:val="945"/>
        </w:numPr>
        <w:rPr>
          <w:rFonts w:ascii="Arial" w:cs="Arial" w:eastAsia="Arial" w:hAnsi="Arial"/>
          <w:sz w:val="17"/>
          <w:szCs w:val="17"/>
          <w:color w:val="auto"/>
        </w:rPr>
      </w:pPr>
      <w:r>
        <w:rPr>
          <w:rFonts w:ascii="Arial" w:cs="Arial" w:eastAsia="Arial" w:hAnsi="Arial"/>
          <w:sz w:val="17"/>
          <w:szCs w:val="17"/>
          <w:color w:val="auto"/>
        </w:rPr>
        <w:t>not notified to the Agent by the Finance Party (that is claiming any indemnification or payment under this Clause 16 in respect of such Increased Cost) within 120 days of the date of such Finance Party becoming aware of the event giving rise to such Increased Costs in accordance with paragraph (a) of Clause 16.2 (</w:t>
      </w:r>
      <w:r>
        <w:rPr>
          <w:rFonts w:ascii="Arial" w:cs="Arial" w:eastAsia="Arial" w:hAnsi="Arial"/>
          <w:sz w:val="17"/>
          <w:szCs w:val="17"/>
          <w:i w:val="1"/>
          <w:iCs w:val="1"/>
          <w:color w:val="auto"/>
        </w:rPr>
        <w:t>Increased costs claims</w:t>
      </w:r>
      <w:r>
        <w:rPr>
          <w:rFonts w:ascii="Arial" w:cs="Arial" w:eastAsia="Arial" w:hAnsi="Arial"/>
          <w:sz w:val="17"/>
          <w:szCs w:val="17"/>
          <w:color w:val="auto"/>
        </w:rPr>
        <w:t>).</w:t>
      </w:r>
    </w:p>
    <w:p>
      <w:pPr>
        <w:spacing w:after="0" w:line="66" w:lineRule="exact"/>
        <w:rPr>
          <w:rFonts w:ascii="Arial" w:cs="Arial" w:eastAsia="Arial" w:hAnsi="Arial"/>
          <w:sz w:val="17"/>
          <w:szCs w:val="17"/>
          <w:color w:val="auto"/>
        </w:rPr>
      </w:pPr>
    </w:p>
    <w:p>
      <w:pPr>
        <w:ind w:left="1300" w:hanging="535"/>
        <w:spacing w:after="0"/>
        <w:tabs>
          <w:tab w:leader="none" w:pos="1300" w:val="left"/>
        </w:tabs>
        <w:numPr>
          <w:ilvl w:val="0"/>
          <w:numId w:val="945"/>
        </w:numPr>
        <w:rPr>
          <w:rFonts w:ascii="Arial" w:cs="Arial" w:eastAsia="Arial" w:hAnsi="Arial"/>
          <w:sz w:val="17"/>
          <w:szCs w:val="17"/>
          <w:color w:val="auto"/>
        </w:rPr>
      </w:pPr>
      <w:r>
        <w:rPr>
          <w:rFonts w:ascii="Arial" w:cs="Arial" w:eastAsia="Arial" w:hAnsi="Arial"/>
          <w:sz w:val="17"/>
          <w:szCs w:val="17"/>
          <w:color w:val="auto"/>
        </w:rPr>
        <w:t>In this Clause 16.3, a reference to a “</w:t>
      </w:r>
      <w:r>
        <w:rPr>
          <w:rFonts w:ascii="Arial" w:cs="Arial" w:eastAsia="Arial" w:hAnsi="Arial"/>
          <w:sz w:val="17"/>
          <w:szCs w:val="17"/>
          <w:b w:val="1"/>
          <w:bCs w:val="1"/>
          <w:color w:val="auto"/>
        </w:rPr>
        <w:t>Tax Deduction</w:t>
      </w:r>
      <w:r>
        <w:rPr>
          <w:rFonts w:ascii="Arial" w:cs="Arial" w:eastAsia="Arial" w:hAnsi="Arial"/>
          <w:sz w:val="17"/>
          <w:szCs w:val="17"/>
          <w:color w:val="auto"/>
        </w:rPr>
        <w:t>” has the same meaning given to the term in Clause 15.1 (</w:t>
      </w:r>
      <w:r>
        <w:rPr>
          <w:rFonts w:ascii="Arial" w:cs="Arial" w:eastAsia="Arial" w:hAnsi="Arial"/>
          <w:sz w:val="17"/>
          <w:szCs w:val="17"/>
          <w:i w:val="1"/>
          <w:iCs w:val="1"/>
          <w:color w:val="auto"/>
        </w:rPr>
        <w:t>Definitions</w:t>
      </w:r>
      <w:r>
        <w:rPr>
          <w:rFonts w:ascii="Arial" w:cs="Arial" w:eastAsia="Arial" w:hAnsi="Arial"/>
          <w:sz w:val="17"/>
          <w:szCs w:val="17"/>
          <w:color w:val="auto"/>
        </w:rPr>
        <w:t>).</w:t>
      </w:r>
    </w:p>
    <w:p>
      <w:pPr>
        <w:spacing w:after="0" w:line="173"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73" w:name="page674"/>
    <w:bookmarkEnd w:id="673"/>
    <w:p>
      <w:pPr>
        <w:ind w:left="764" w:hanging="764"/>
        <w:spacing w:after="0"/>
        <w:tabs>
          <w:tab w:leader="none" w:pos="764" w:val="left"/>
        </w:tabs>
        <w:numPr>
          <w:ilvl w:val="0"/>
          <w:numId w:val="9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indemnities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17.1</w:t>
      </w:r>
      <w:r>
        <w:rPr>
          <w:rFonts w:ascii="Arial" w:cs="Arial" w:eastAsia="Arial" w:hAnsi="Arial"/>
          <w:sz w:val="16"/>
          <w:szCs w:val="16"/>
          <w:b w:val="1"/>
          <w:bCs w:val="1"/>
          <w:color w:val="auto"/>
        </w:rPr>
        <w:t>Currency indemnity</w:t>
      </w:r>
    </w:p>
    <w:p>
      <w:pPr>
        <w:spacing w:after="0" w:line="130" w:lineRule="exact"/>
        <w:rPr>
          <w:rFonts w:ascii="Arial" w:cs="Arial" w:eastAsia="Arial" w:hAnsi="Arial"/>
          <w:sz w:val="18"/>
          <w:szCs w:val="18"/>
          <w:b w:val="1"/>
          <w:bCs w:val="1"/>
          <w:color w:val="auto"/>
        </w:rPr>
      </w:pPr>
    </w:p>
    <w:p>
      <w:pPr>
        <w:ind w:left="1304" w:right="160" w:hanging="535"/>
        <w:spacing w:after="0" w:line="266" w:lineRule="auto"/>
        <w:tabs>
          <w:tab w:leader="none" w:pos="1304" w:val="left"/>
        </w:tabs>
        <w:numPr>
          <w:ilvl w:val="1"/>
          <w:numId w:val="946"/>
        </w:numPr>
        <w:rPr>
          <w:rFonts w:ascii="Arial" w:cs="Arial" w:eastAsia="Arial" w:hAnsi="Arial"/>
          <w:sz w:val="18"/>
          <w:szCs w:val="18"/>
          <w:color w:val="auto"/>
        </w:rPr>
      </w:pPr>
      <w:r>
        <w:rPr>
          <w:rFonts w:ascii="Arial" w:cs="Arial" w:eastAsia="Arial" w:hAnsi="Arial"/>
          <w:sz w:val="18"/>
          <w:szCs w:val="18"/>
          <w:color w:val="auto"/>
        </w:rPr>
        <w:t>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85" w:lineRule="exact"/>
        <w:rPr>
          <w:rFonts w:ascii="Arial" w:cs="Arial" w:eastAsia="Arial" w:hAnsi="Arial"/>
          <w:sz w:val="18"/>
          <w:szCs w:val="18"/>
          <w:color w:val="auto"/>
        </w:rPr>
      </w:pPr>
    </w:p>
    <w:p>
      <w:pPr>
        <w:ind w:left="1964" w:hanging="655"/>
        <w:spacing w:after="0"/>
        <w:tabs>
          <w:tab w:leader="none" w:pos="1964" w:val="left"/>
        </w:tabs>
        <w:numPr>
          <w:ilvl w:val="2"/>
          <w:numId w:val="946"/>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or</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2"/>
          <w:numId w:val="946"/>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17" w:lineRule="exact"/>
        <w:rPr>
          <w:sz w:val="20"/>
          <w:szCs w:val="20"/>
          <w:color w:val="auto"/>
        </w:rPr>
      </w:pPr>
    </w:p>
    <w:p>
      <w:pPr>
        <w:ind w:left="1324" w:right="60"/>
        <w:spacing w:after="0" w:line="259" w:lineRule="auto"/>
        <w:rPr>
          <w:sz w:val="20"/>
          <w:szCs w:val="20"/>
          <w:color w:val="auto"/>
        </w:rPr>
      </w:pPr>
      <w:r>
        <w:rPr>
          <w:rFonts w:ascii="Arial" w:cs="Arial" w:eastAsia="Arial" w:hAnsi="Arial"/>
          <w:sz w:val="18"/>
          <w:szCs w:val="18"/>
          <w:color w:val="auto"/>
        </w:rPr>
        <w:t>that Obligor shall as an independent obligation, within five (5)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92" w:lineRule="exact"/>
        <w:rPr>
          <w:sz w:val="20"/>
          <w:szCs w:val="20"/>
          <w:color w:val="auto"/>
        </w:rPr>
      </w:pPr>
    </w:p>
    <w:p>
      <w:pPr>
        <w:ind w:left="1304" w:right="520" w:hanging="535"/>
        <w:spacing w:after="0" w:line="277" w:lineRule="auto"/>
        <w:tabs>
          <w:tab w:leader="none" w:pos="1304" w:val="left"/>
        </w:tabs>
        <w:numPr>
          <w:ilvl w:val="0"/>
          <w:numId w:val="947"/>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Other indemnities</w:t>
      </w:r>
    </w:p>
    <w:p>
      <w:pPr>
        <w:spacing w:after="0" w:line="135" w:lineRule="exact"/>
        <w:rPr>
          <w:sz w:val="20"/>
          <w:szCs w:val="20"/>
          <w:color w:val="auto"/>
        </w:rPr>
      </w:pPr>
    </w:p>
    <w:p>
      <w:pPr>
        <w:ind w:left="1304" w:right="280" w:hanging="535"/>
        <w:spacing w:after="0" w:line="277" w:lineRule="auto"/>
        <w:tabs>
          <w:tab w:leader="none" w:pos="1304" w:val="left"/>
        </w:tabs>
        <w:numPr>
          <w:ilvl w:val="0"/>
          <w:numId w:val="948"/>
        </w:numPr>
        <w:rPr>
          <w:rFonts w:ascii="Arial" w:cs="Arial" w:eastAsia="Arial" w:hAnsi="Arial"/>
          <w:sz w:val="18"/>
          <w:szCs w:val="18"/>
          <w:color w:val="auto"/>
        </w:rPr>
      </w:pPr>
      <w:r>
        <w:rPr>
          <w:rFonts w:ascii="Arial" w:cs="Arial" w:eastAsia="Arial" w:hAnsi="Arial"/>
          <w:sz w:val="18"/>
          <w:szCs w:val="18"/>
          <w:color w:val="auto"/>
        </w:rPr>
        <w:t>The Borrower shall (or shall procure that an Obligor will), within five (5) Business Days of demand, indemnify each Finance Party against any cost, loss or liability incurred by it as a result of:</w:t>
      </w:r>
    </w:p>
    <w:p>
      <w:pPr>
        <w:spacing w:after="0" w:line="75" w:lineRule="exact"/>
        <w:rPr>
          <w:rFonts w:ascii="Arial" w:cs="Arial" w:eastAsia="Arial" w:hAnsi="Arial"/>
          <w:sz w:val="18"/>
          <w:szCs w:val="18"/>
          <w:color w:val="auto"/>
        </w:rPr>
      </w:pPr>
    </w:p>
    <w:p>
      <w:pPr>
        <w:ind w:left="1964" w:hanging="655"/>
        <w:spacing w:after="0"/>
        <w:tabs>
          <w:tab w:leader="none" w:pos="1964" w:val="left"/>
        </w:tabs>
        <w:numPr>
          <w:ilvl w:val="1"/>
          <w:numId w:val="948"/>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30" w:lineRule="exact"/>
        <w:rPr>
          <w:rFonts w:ascii="Arial" w:cs="Arial" w:eastAsia="Arial" w:hAnsi="Arial"/>
          <w:sz w:val="18"/>
          <w:szCs w:val="18"/>
          <w:color w:val="auto"/>
        </w:rPr>
      </w:pPr>
    </w:p>
    <w:p>
      <w:pPr>
        <w:ind w:left="1964" w:right="540" w:hanging="655"/>
        <w:spacing w:after="0" w:line="277" w:lineRule="auto"/>
        <w:tabs>
          <w:tab w:leader="none" w:pos="1964" w:val="left"/>
        </w:tabs>
        <w:numPr>
          <w:ilvl w:val="1"/>
          <w:numId w:val="948"/>
        </w:numPr>
        <w:rPr>
          <w:rFonts w:ascii="Arial" w:cs="Arial" w:eastAsia="Arial" w:hAnsi="Arial"/>
          <w:sz w:val="18"/>
          <w:szCs w:val="18"/>
          <w:color w:val="auto"/>
        </w:rPr>
      </w:pPr>
      <w:r>
        <w:rPr>
          <w:rFonts w:ascii="Arial" w:cs="Arial" w:eastAsia="Arial" w:hAnsi="Arial"/>
          <w:sz w:val="18"/>
          <w:szCs w:val="18"/>
          <w:color w:val="auto"/>
        </w:rPr>
        <w:t>any information produced or approved by any Obligor being or being alleged to be misleading and/or deceptive in any respect;</w:t>
      </w:r>
    </w:p>
    <w:p>
      <w:pPr>
        <w:spacing w:after="0" w:line="75" w:lineRule="exact"/>
        <w:rPr>
          <w:rFonts w:ascii="Arial" w:cs="Arial" w:eastAsia="Arial" w:hAnsi="Arial"/>
          <w:sz w:val="18"/>
          <w:szCs w:val="18"/>
          <w:color w:val="auto"/>
        </w:rPr>
      </w:pPr>
    </w:p>
    <w:p>
      <w:pPr>
        <w:ind w:left="1964" w:right="680" w:hanging="655"/>
        <w:spacing w:after="0" w:line="277" w:lineRule="auto"/>
        <w:tabs>
          <w:tab w:leader="none" w:pos="1964" w:val="left"/>
        </w:tabs>
        <w:numPr>
          <w:ilvl w:val="1"/>
          <w:numId w:val="948"/>
        </w:numPr>
        <w:rPr>
          <w:rFonts w:ascii="Arial" w:cs="Arial" w:eastAsia="Arial" w:hAnsi="Arial"/>
          <w:sz w:val="18"/>
          <w:szCs w:val="18"/>
          <w:color w:val="auto"/>
        </w:rPr>
      </w:pPr>
      <w:r>
        <w:rPr>
          <w:rFonts w:ascii="Arial" w:cs="Arial" w:eastAsia="Arial" w:hAnsi="Arial"/>
          <w:sz w:val="18"/>
          <w:szCs w:val="18"/>
          <w:color w:val="auto"/>
        </w:rPr>
        <w:t>any enquiry, investigation, subpoena (or similar order) or litigation with respect to any Obligor or with respect to the transaction contemplated or financed under this Agreement;</w:t>
      </w:r>
    </w:p>
    <w:p>
      <w:pPr>
        <w:spacing w:after="0" w:line="75" w:lineRule="exact"/>
        <w:rPr>
          <w:rFonts w:ascii="Arial" w:cs="Arial" w:eastAsia="Arial" w:hAnsi="Arial"/>
          <w:sz w:val="18"/>
          <w:szCs w:val="18"/>
          <w:color w:val="auto"/>
        </w:rPr>
      </w:pPr>
    </w:p>
    <w:p>
      <w:pPr>
        <w:ind w:left="1964" w:right="200" w:hanging="655"/>
        <w:spacing w:after="0" w:line="277" w:lineRule="auto"/>
        <w:tabs>
          <w:tab w:leader="none" w:pos="1964" w:val="left"/>
        </w:tabs>
        <w:numPr>
          <w:ilvl w:val="1"/>
          <w:numId w:val="948"/>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cost, loss or liability arising as a result of Clause 30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964" w:right="80" w:hanging="655"/>
        <w:spacing w:after="0" w:line="263" w:lineRule="auto"/>
        <w:tabs>
          <w:tab w:leader="none" w:pos="1964" w:val="left"/>
        </w:tabs>
        <w:numPr>
          <w:ilvl w:val="1"/>
          <w:numId w:val="948"/>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in a Utilisation Request but not made by reason of the operation of any one or more of the provisions of this Agreement (other than by reason of default or negligence by that Finance Party alone); or</w:t>
      </w:r>
    </w:p>
    <w:p>
      <w:pPr>
        <w:spacing w:after="0" w:line="89" w:lineRule="exact"/>
        <w:rPr>
          <w:rFonts w:ascii="Arial" w:cs="Arial" w:eastAsia="Arial" w:hAnsi="Arial"/>
          <w:sz w:val="18"/>
          <w:szCs w:val="18"/>
          <w:color w:val="auto"/>
        </w:rPr>
      </w:pPr>
    </w:p>
    <w:p>
      <w:pPr>
        <w:ind w:left="1964" w:hanging="655"/>
        <w:spacing w:after="0"/>
        <w:tabs>
          <w:tab w:leader="none" w:pos="1964" w:val="left"/>
        </w:tabs>
        <w:numPr>
          <w:ilvl w:val="1"/>
          <w:numId w:val="948"/>
        </w:numPr>
        <w:rPr>
          <w:rFonts w:ascii="Arial" w:cs="Arial" w:eastAsia="Arial" w:hAnsi="Arial"/>
          <w:sz w:val="16"/>
          <w:szCs w:val="16"/>
          <w:color w:val="auto"/>
        </w:rPr>
      </w:pPr>
      <w:r>
        <w:rPr>
          <w:rFonts w:ascii="Arial" w:cs="Arial" w:eastAsia="Arial" w:hAnsi="Arial"/>
          <w:sz w:val="16"/>
          <w:szCs w:val="16"/>
          <w:color w:val="auto"/>
        </w:rPr>
        <w:t>a Loan (or part of a Loan) not being prepaid in accordance with a notice of prepayment given by the Borrower or the Parent.</w:t>
      </w:r>
    </w:p>
    <w:p>
      <w:pPr>
        <w:spacing w:after="0" w:line="393"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Indemnity to the Agent</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The Borrower shall promptly indemnify the Agent against:</w:t>
      </w:r>
    </w:p>
    <w:p>
      <w:pPr>
        <w:spacing w:after="0" w:line="131" w:lineRule="exact"/>
        <w:rPr>
          <w:sz w:val="20"/>
          <w:szCs w:val="20"/>
          <w:color w:val="auto"/>
        </w:rPr>
      </w:pPr>
    </w:p>
    <w:p>
      <w:pPr>
        <w:ind w:left="1304" w:hanging="535"/>
        <w:spacing w:after="0"/>
        <w:tabs>
          <w:tab w:leader="none" w:pos="1304" w:val="left"/>
        </w:tabs>
        <w:numPr>
          <w:ilvl w:val="0"/>
          <w:numId w:val="949"/>
        </w:numPr>
        <w:rPr>
          <w:rFonts w:ascii="Arial" w:cs="Arial" w:eastAsia="Arial" w:hAnsi="Arial"/>
          <w:sz w:val="18"/>
          <w:szCs w:val="18"/>
          <w:color w:val="auto"/>
        </w:rPr>
      </w:pPr>
      <w:r>
        <w:rPr>
          <w:rFonts w:ascii="Arial" w:cs="Arial" w:eastAsia="Arial" w:hAnsi="Arial"/>
          <w:sz w:val="18"/>
          <w:szCs w:val="18"/>
          <w:color w:val="auto"/>
        </w:rPr>
        <w:t>any cost, loss or liability incurred by the Agent (acting reasonably) as a result of:</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949"/>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 and</w:t>
      </w:r>
    </w:p>
    <w:p>
      <w:pPr>
        <w:spacing w:after="0" w:line="158"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74" w:name="page675"/>
    <w:bookmarkEnd w:id="674"/>
    <w:p>
      <w:pPr>
        <w:ind w:left="1964" w:right="240" w:hanging="655"/>
        <w:spacing w:after="0" w:line="277" w:lineRule="auto"/>
        <w:tabs>
          <w:tab w:leader="none" w:pos="1964" w:val="left"/>
        </w:tabs>
        <w:numPr>
          <w:ilvl w:val="2"/>
          <w:numId w:val="9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acting or relying on any notice, request or instruction which it reasonably believes to be genuine, correct and appropriately authorised; and</w:t>
      </w:r>
    </w:p>
    <w:p>
      <w:pPr>
        <w:spacing w:after="0" w:line="75" w:lineRule="exact"/>
        <w:rPr>
          <w:rFonts w:ascii="Arial" w:cs="Arial" w:eastAsia="Arial" w:hAnsi="Arial"/>
          <w:sz w:val="18"/>
          <w:szCs w:val="18"/>
          <w:color w:val="auto"/>
        </w:rPr>
      </w:pPr>
    </w:p>
    <w:p>
      <w:pPr>
        <w:ind w:left="1304" w:right="220" w:hanging="535"/>
        <w:spacing w:after="0" w:line="263" w:lineRule="auto"/>
        <w:tabs>
          <w:tab w:leader="none" w:pos="1304" w:val="left"/>
        </w:tabs>
        <w:numPr>
          <w:ilvl w:val="1"/>
          <w:numId w:val="951"/>
        </w:numPr>
        <w:rPr>
          <w:rFonts w:ascii="Arial" w:cs="Arial" w:eastAsia="Arial" w:hAnsi="Arial"/>
          <w:sz w:val="18"/>
          <w:szCs w:val="18"/>
          <w:color w:val="auto"/>
        </w:rPr>
      </w:pPr>
      <w:r>
        <w:rPr>
          <w:rFonts w:ascii="Arial" w:cs="Arial" w:eastAsia="Arial" w:hAnsi="Arial"/>
          <w:sz w:val="18"/>
          <w:szCs w:val="18"/>
          <w:color w:val="auto"/>
        </w:rPr>
        <w:t>any cost, loss or liability (including, without limitation, for negligence or any other category of liability whatsoever) incurred by the Agent (otherwise than by reason of the Agent’s gross negligence or wilful misconduct) in acting as Agent under the Finance Documents.</w:t>
      </w:r>
    </w:p>
    <w:p>
      <w:pPr>
        <w:spacing w:after="0" w:line="328" w:lineRule="exact"/>
        <w:rPr>
          <w:rFonts w:ascii="Arial" w:cs="Arial" w:eastAsia="Arial" w:hAnsi="Arial"/>
          <w:sz w:val="18"/>
          <w:szCs w:val="18"/>
          <w:color w:val="auto"/>
        </w:rPr>
      </w:pPr>
    </w:p>
    <w:p>
      <w:pPr>
        <w:ind w:left="764" w:hanging="764"/>
        <w:spacing w:after="0"/>
        <w:tabs>
          <w:tab w:leader="none" w:pos="764" w:val="left"/>
        </w:tabs>
        <w:numPr>
          <w:ilvl w:val="0"/>
          <w:numId w:val="952"/>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 by the Lenders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7"/>
          <w:szCs w:val="17"/>
          <w:b w:val="1"/>
          <w:bCs w:val="1"/>
          <w:color w:val="auto"/>
        </w:rPr>
        <w:t>Mitigation</w:t>
      </w:r>
    </w:p>
    <w:p>
      <w:pPr>
        <w:spacing w:after="0" w:line="135" w:lineRule="exact"/>
        <w:rPr>
          <w:sz w:val="20"/>
          <w:szCs w:val="20"/>
          <w:color w:val="auto"/>
        </w:rPr>
      </w:pPr>
    </w:p>
    <w:p>
      <w:pPr>
        <w:ind w:left="1304" w:right="220" w:hanging="535"/>
        <w:spacing w:after="0" w:line="259" w:lineRule="auto"/>
        <w:tabs>
          <w:tab w:leader="none" w:pos="1304" w:val="left"/>
        </w:tabs>
        <w:numPr>
          <w:ilvl w:val="0"/>
          <w:numId w:val="953"/>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 take all reasonable steps to mitigate any circumstances which arise and which would result in any amount becoming payable under or pursuant to, or cancelled pursuant to, any of Clause 8.1 (</w:t>
      </w:r>
      <w:r>
        <w:rPr>
          <w:rFonts w:ascii="Arial" w:cs="Arial" w:eastAsia="Arial" w:hAnsi="Arial"/>
          <w:sz w:val="18"/>
          <w:szCs w:val="18"/>
          <w:i w:val="1"/>
          <w:iCs w:val="1"/>
          <w:color w:val="auto"/>
        </w:rPr>
        <w:t>Illegality</w:t>
      </w:r>
      <w:r>
        <w:rPr>
          <w:rFonts w:ascii="Arial" w:cs="Arial" w:eastAsia="Arial" w:hAnsi="Arial"/>
          <w:sz w:val="18"/>
          <w:szCs w:val="18"/>
          <w:color w:val="auto"/>
        </w:rPr>
        <w:t>), Clause 15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or Clause 16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transferring its rights and obligations under the Finance Documents to another Affiliate or Facility Office.</w:t>
      </w:r>
    </w:p>
    <w:p>
      <w:pPr>
        <w:spacing w:after="0" w:line="92" w:lineRule="exact"/>
        <w:rPr>
          <w:rFonts w:ascii="Arial" w:cs="Arial" w:eastAsia="Arial" w:hAnsi="Arial"/>
          <w:sz w:val="18"/>
          <w:szCs w:val="18"/>
          <w:color w:val="auto"/>
        </w:rPr>
      </w:pPr>
    </w:p>
    <w:p>
      <w:pPr>
        <w:ind w:left="1304" w:hanging="535"/>
        <w:spacing w:after="0"/>
        <w:tabs>
          <w:tab w:leader="none" w:pos="1304" w:val="left"/>
        </w:tabs>
        <w:numPr>
          <w:ilvl w:val="0"/>
          <w:numId w:val="953"/>
        </w:numPr>
        <w:rPr>
          <w:rFonts w:ascii="Arial" w:cs="Arial" w:eastAsia="Arial" w:hAnsi="Arial"/>
          <w:sz w:val="18"/>
          <w:szCs w:val="18"/>
          <w:color w:val="auto"/>
        </w:rPr>
      </w:pPr>
      <w:r>
        <w:rPr>
          <w:rFonts w:ascii="Arial" w:cs="Arial" w:eastAsia="Arial" w:hAnsi="Arial"/>
          <w:sz w:val="18"/>
          <w:szCs w:val="18"/>
          <w:color w:val="auto"/>
        </w:rPr>
        <w:t>Paragraph (a) above does not in any way limit the obligations of any Obligor under the Finance Documents.</w:t>
      </w:r>
    </w:p>
    <w:p>
      <w:pPr>
        <w:spacing w:after="0" w:line="37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7"/>
          <w:szCs w:val="17"/>
          <w:b w:val="1"/>
          <w:bCs w:val="1"/>
          <w:color w:val="auto"/>
        </w:rPr>
        <w:t>Limitation of liability</w:t>
      </w:r>
    </w:p>
    <w:p>
      <w:pPr>
        <w:spacing w:after="0" w:line="135" w:lineRule="exact"/>
        <w:rPr>
          <w:sz w:val="20"/>
          <w:szCs w:val="20"/>
          <w:color w:val="auto"/>
        </w:rPr>
      </w:pPr>
    </w:p>
    <w:p>
      <w:pPr>
        <w:ind w:left="1304" w:right="220" w:hanging="535"/>
        <w:spacing w:after="0" w:line="277" w:lineRule="auto"/>
        <w:tabs>
          <w:tab w:leader="none" w:pos="1304" w:val="left"/>
        </w:tabs>
        <w:numPr>
          <w:ilvl w:val="0"/>
          <w:numId w:val="954"/>
        </w:numPr>
        <w:rPr>
          <w:rFonts w:ascii="Arial" w:cs="Arial" w:eastAsia="Arial" w:hAnsi="Arial"/>
          <w:sz w:val="18"/>
          <w:szCs w:val="18"/>
          <w:color w:val="auto"/>
        </w:rPr>
      </w:pPr>
      <w:r>
        <w:rPr>
          <w:rFonts w:ascii="Arial" w:cs="Arial" w:eastAsia="Arial" w:hAnsi="Arial"/>
          <w:sz w:val="18"/>
          <w:szCs w:val="18"/>
          <w:color w:val="auto"/>
        </w:rPr>
        <w:t>The Borrower shall indemnify each Finance Party for all costs and expenses reasonably incurred by that Finance Party as a result of steps taken by it under Clause 18.1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304" w:right="660" w:hanging="535"/>
        <w:spacing w:after="0" w:line="277" w:lineRule="auto"/>
        <w:tabs>
          <w:tab w:leader="none" w:pos="1304" w:val="left"/>
        </w:tabs>
        <w:numPr>
          <w:ilvl w:val="0"/>
          <w:numId w:val="954"/>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18.1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315" w:lineRule="exact"/>
        <w:rPr>
          <w:sz w:val="20"/>
          <w:szCs w:val="20"/>
          <w:color w:val="auto"/>
        </w:rPr>
      </w:pPr>
    </w:p>
    <w:p>
      <w:pPr>
        <w:ind w:left="764" w:hanging="764"/>
        <w:spacing w:after="0"/>
        <w:tabs>
          <w:tab w:leader="none" w:pos="764" w:val="left"/>
        </w:tabs>
        <w:numPr>
          <w:ilvl w:val="0"/>
          <w:numId w:val="955"/>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19.1</w:t>
      </w:r>
      <w:r>
        <w:rPr>
          <w:rFonts w:ascii="Arial" w:cs="Arial" w:eastAsia="Arial" w:hAnsi="Arial"/>
          <w:sz w:val="15"/>
          <w:szCs w:val="15"/>
          <w:b w:val="1"/>
          <w:bCs w:val="1"/>
          <w:color w:val="auto"/>
        </w:rPr>
        <w:t>Transaction expenses</w:t>
      </w:r>
    </w:p>
    <w:p>
      <w:pPr>
        <w:spacing w:after="0" w:line="121" w:lineRule="exact"/>
        <w:rPr>
          <w:sz w:val="20"/>
          <w:szCs w:val="20"/>
          <w:color w:val="auto"/>
        </w:rPr>
      </w:pPr>
    </w:p>
    <w:p>
      <w:pPr>
        <w:ind w:left="764"/>
        <w:spacing w:after="0" w:line="255" w:lineRule="auto"/>
        <w:rPr>
          <w:sz w:val="20"/>
          <w:szCs w:val="20"/>
          <w:color w:val="auto"/>
        </w:rPr>
      </w:pPr>
      <w:r>
        <w:rPr>
          <w:rFonts w:ascii="Arial" w:cs="Arial" w:eastAsia="Arial" w:hAnsi="Arial"/>
          <w:sz w:val="18"/>
          <w:szCs w:val="18"/>
          <w:color w:val="auto"/>
        </w:rPr>
        <w:t>The Borrower shall within five (5) Business Days (other than in respect of costs and expenses required to be paid as a condition to Utilisation) of demand pay (or shall procure that another member of the Group will pay) the Agent, the Common Security Agent and the POA Agent the amount of all costs and expenses (including legal fees but subject to any agreed caps) reasonably incurred by the Agent, the Common Security Agent or the POA Agent as applicable (and, in the case of the Common Security Agent and the POA Agent, by any Receiver or Delegate) in connection with the negotiation, preparation, printing, execution, syndication and perfection of any Finance Documents executed after the date of this Agreement.</w:t>
      </w:r>
    </w:p>
    <w:p>
      <w:pPr>
        <w:spacing w:after="0" w:line="33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5"/>
          <w:szCs w:val="15"/>
          <w:b w:val="1"/>
          <w:bCs w:val="1"/>
          <w:color w:val="auto"/>
        </w:rPr>
        <w:t>Amendment costs</w:t>
      </w:r>
    </w:p>
    <w:p>
      <w:pPr>
        <w:spacing w:after="0" w:line="121" w:lineRule="exact"/>
        <w:rPr>
          <w:sz w:val="20"/>
          <w:szCs w:val="20"/>
          <w:color w:val="auto"/>
        </w:rPr>
      </w:pPr>
    </w:p>
    <w:p>
      <w:pPr>
        <w:ind w:left="764" w:right="40"/>
        <w:spacing w:after="0" w:line="255" w:lineRule="auto"/>
        <w:rPr>
          <w:sz w:val="20"/>
          <w:szCs w:val="20"/>
          <w:color w:val="auto"/>
        </w:rPr>
      </w:pPr>
      <w:r>
        <w:rPr>
          <w:rFonts w:ascii="Arial" w:cs="Arial" w:eastAsia="Arial" w:hAnsi="Arial"/>
          <w:sz w:val="18"/>
          <w:szCs w:val="18"/>
          <w:color w:val="auto"/>
        </w:rPr>
        <w:t>If (a) an Obligor requests an amendment, waiver or consent or (b) an amendment is required pursuant to Clause 31.10 (</w:t>
      </w:r>
      <w:r>
        <w:rPr>
          <w:rFonts w:ascii="Arial" w:cs="Arial" w:eastAsia="Arial" w:hAnsi="Arial"/>
          <w:sz w:val="18"/>
          <w:szCs w:val="18"/>
          <w:i w:val="1"/>
          <w:iCs w:val="1"/>
          <w:color w:val="auto"/>
        </w:rPr>
        <w:t>Change of currency</w:t>
      </w:r>
      <w:r>
        <w:rPr>
          <w:rFonts w:ascii="Arial" w:cs="Arial" w:eastAsia="Arial" w:hAnsi="Arial"/>
          <w:sz w:val="18"/>
          <w:szCs w:val="18"/>
          <w:color w:val="auto"/>
        </w:rPr>
        <w:t>), the Borrower shall, within five (5) Business Days of demand, reimburse (or shall procure that another member of the Group will reimburse) each of the Agent, the Common Security Agent and the POA Agent for the amount of all costs and expenses (including legal fees, disbursements and other out of pocket expenses) reasonably incurred or made by the Agent, the Common Security Agent or the POA Agent as applicable (and, in the case of the Common Security Agent and the POA Agent, by any Receiver or Delegate) in responding to, evaluating, negotiating or complying with that request or requirement.</w:t>
      </w:r>
    </w:p>
    <w:p>
      <w:pPr>
        <w:spacing w:after="0" w:line="125"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675" w:name="page676"/>
    <w:bookmarkEnd w:id="675"/>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19.3</w:t>
      </w:r>
      <w:r>
        <w:rPr>
          <w:sz w:val="20"/>
          <w:szCs w:val="20"/>
          <w:color w:val="auto"/>
        </w:rPr>
        <w:tab/>
      </w:r>
      <w:r>
        <w:rPr>
          <w:rFonts w:ascii="Arial" w:cs="Arial" w:eastAsia="Arial" w:hAnsi="Arial"/>
          <w:sz w:val="15"/>
          <w:szCs w:val="15"/>
          <w:b w:val="1"/>
          <w:bCs w:val="1"/>
          <w:color w:val="auto"/>
        </w:rPr>
        <w:t>Common Security Agent’s ongoing costs</w:t>
      </w:r>
    </w:p>
    <w:p>
      <w:pPr>
        <w:spacing w:after="0" w:line="135" w:lineRule="exact"/>
        <w:rPr>
          <w:sz w:val="20"/>
          <w:szCs w:val="20"/>
          <w:color w:val="auto"/>
        </w:rPr>
      </w:pPr>
    </w:p>
    <w:p>
      <w:pPr>
        <w:ind w:left="1300" w:right="120" w:hanging="535"/>
        <w:spacing w:after="0" w:line="257" w:lineRule="auto"/>
        <w:tabs>
          <w:tab w:leader="none" w:pos="1300" w:val="left"/>
        </w:tabs>
        <w:numPr>
          <w:ilvl w:val="0"/>
          <w:numId w:val="956"/>
        </w:numPr>
        <w:rPr>
          <w:rFonts w:ascii="Arial" w:cs="Arial" w:eastAsia="Arial" w:hAnsi="Arial"/>
          <w:sz w:val="18"/>
          <w:szCs w:val="18"/>
          <w:color w:val="auto"/>
        </w:rPr>
      </w:pPr>
      <w:r>
        <w:rPr>
          <w:rFonts w:ascii="Arial" w:cs="Arial" w:eastAsia="Arial" w:hAnsi="Arial"/>
          <w:sz w:val="18"/>
          <w:szCs w:val="18"/>
          <w:color w:val="auto"/>
        </w:rPr>
        <w:t>In the event of (i) a Default or (ii) the Common Security Agent considering it necessary or expedient or (iii) the Common Security Agent being requested by an Obligor or the Majority Lenders to undertake duties which the Common Security Agent and the Borrower agree to be of an exceptional nature and/or outside the scope of the normal duties of the Common Security Agent under the Finance Documents, the Borrower shall pay (or shall procure that another member of the Group will pay) to the Common Security Agent any additional remuneration that may be agreed between them.</w:t>
      </w:r>
    </w:p>
    <w:p>
      <w:pPr>
        <w:spacing w:after="0" w:line="93" w:lineRule="exact"/>
        <w:rPr>
          <w:rFonts w:ascii="Arial" w:cs="Arial" w:eastAsia="Arial" w:hAnsi="Arial"/>
          <w:sz w:val="18"/>
          <w:szCs w:val="18"/>
          <w:color w:val="auto"/>
        </w:rPr>
      </w:pPr>
    </w:p>
    <w:p>
      <w:pPr>
        <w:ind w:left="1300" w:right="120" w:hanging="535"/>
        <w:spacing w:after="0" w:line="296" w:lineRule="auto"/>
        <w:tabs>
          <w:tab w:leader="none" w:pos="1300" w:val="left"/>
        </w:tabs>
        <w:numPr>
          <w:ilvl w:val="0"/>
          <w:numId w:val="956"/>
        </w:numPr>
        <w:rPr>
          <w:rFonts w:ascii="Arial" w:cs="Arial" w:eastAsia="Arial" w:hAnsi="Arial"/>
          <w:sz w:val="16"/>
          <w:szCs w:val="16"/>
          <w:color w:val="auto"/>
        </w:rPr>
      </w:pPr>
      <w:r>
        <w:rPr>
          <w:rFonts w:ascii="Arial" w:cs="Arial" w:eastAsia="Arial" w:hAnsi="Arial"/>
          <w:sz w:val="16"/>
          <w:szCs w:val="16"/>
          <w:color w:val="auto"/>
        </w:rPr>
        <w:t>If the Common Security Agent and the Borrower fail to agree upon the nature of the duties or upon any additional remuneration, that dispute shall be determined by an investment bank (acting as an expert and not as an arbitrator) selected by the Common Security Agent and approved by the Borrower or, failing approval, nominated (on the application of the Common Security Agent) by the President for the time being of the Law Society of Hong Kong (the costs of the nomination and of the investment bank being payable by the Borrower) and the determination of any investment bank shall be final and binding upon the parties to this Agreement.</w:t>
      </w:r>
    </w:p>
    <w:p>
      <w:pPr>
        <w:spacing w:after="0" w:line="30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5"/>
          <w:szCs w:val="15"/>
          <w:b w:val="1"/>
          <w:bCs w:val="1"/>
          <w:color w:val="auto"/>
        </w:rPr>
        <w:t>Enforcement and preservation costs</w:t>
      </w:r>
    </w:p>
    <w:p>
      <w:pPr>
        <w:spacing w:after="0" w:line="121" w:lineRule="exact"/>
        <w:rPr>
          <w:sz w:val="20"/>
          <w:szCs w:val="20"/>
          <w:color w:val="auto"/>
        </w:rPr>
      </w:pPr>
    </w:p>
    <w:p>
      <w:pPr>
        <w:ind w:left="760" w:right="280"/>
        <w:spacing w:after="0" w:line="257" w:lineRule="auto"/>
        <w:rPr>
          <w:sz w:val="20"/>
          <w:szCs w:val="20"/>
          <w:color w:val="auto"/>
        </w:rPr>
      </w:pPr>
      <w:r>
        <w:rPr>
          <w:rFonts w:ascii="Arial" w:cs="Arial" w:eastAsia="Arial" w:hAnsi="Arial"/>
          <w:sz w:val="18"/>
          <w:szCs w:val="18"/>
          <w:color w:val="auto"/>
        </w:rPr>
        <w:t>The Borrower shall, within five (5) Business Days of demand, pay (or shall procure that another member of the Group will pay) to each Secured Party the amount of all costs and expenses (including legal fees, disbursements and other out of pocket expenses) incurred by it in connection with the enforcement of or the preservation of any rights under any Finance Document and the Transaction Security and any proceedings instituted by or against the Common Security Agent or the POA Agent as a consequence of taking or holding the Transaction Security or enforcing these rights.</w:t>
      </w:r>
    </w:p>
    <w:p>
      <w:pPr>
        <w:spacing w:after="0" w:line="120"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76" w:name="page677"/>
    <w:bookmarkEnd w:id="67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GUARANTEE</w:t>
      </w:r>
    </w:p>
    <w:p>
      <w:pPr>
        <w:spacing w:after="0" w:line="234" w:lineRule="exact"/>
        <w:rPr>
          <w:sz w:val="20"/>
          <w:szCs w:val="20"/>
          <w:color w:val="auto"/>
        </w:rPr>
      </w:pPr>
    </w:p>
    <w:p>
      <w:pPr>
        <w:ind w:left="764" w:hanging="764"/>
        <w:spacing w:after="0"/>
        <w:tabs>
          <w:tab w:leader="none" w:pos="764" w:val="left"/>
        </w:tabs>
        <w:numPr>
          <w:ilvl w:val="0"/>
          <w:numId w:val="95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and indemnity</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w:t>
      </w:r>
      <w:r>
        <w:rPr>
          <w:rFonts w:ascii="Arial" w:cs="Arial" w:eastAsia="Arial" w:hAnsi="Arial"/>
          <w:sz w:val="16"/>
          <w:szCs w:val="16"/>
          <w:b w:val="1"/>
          <w:bCs w:val="1"/>
          <w:color w:val="auto"/>
        </w:rPr>
        <w:t>Guarantee and indemnity</w:t>
      </w:r>
    </w:p>
    <w:p>
      <w:pPr>
        <w:spacing w:after="0" w:line="121" w:lineRule="exact"/>
        <w:rPr>
          <w:rFonts w:ascii="Arial" w:cs="Arial" w:eastAsia="Arial" w:hAnsi="Arial"/>
          <w:sz w:val="18"/>
          <w:szCs w:val="18"/>
          <w:b w:val="1"/>
          <w:bCs w:val="1"/>
          <w:color w:val="auto"/>
        </w:rPr>
      </w:pPr>
    </w:p>
    <w:p>
      <w:pPr>
        <w:ind w:left="764"/>
        <w:spacing w:after="0"/>
        <w:rPr>
          <w:rFonts w:ascii="Arial" w:cs="Arial" w:eastAsia="Arial" w:hAnsi="Arial"/>
          <w:sz w:val="18"/>
          <w:szCs w:val="18"/>
          <w:b w:val="1"/>
          <w:bCs w:val="1"/>
          <w:color w:val="auto"/>
        </w:rPr>
      </w:pPr>
      <w:r>
        <w:rPr>
          <w:rFonts w:ascii="Arial" w:cs="Arial" w:eastAsia="Arial" w:hAnsi="Arial"/>
          <w:sz w:val="18"/>
          <w:szCs w:val="18"/>
          <w:color w:val="auto"/>
        </w:rPr>
        <w:t>Each Guarantor irrevocably and unconditionally jointly and severally:</w:t>
      </w:r>
    </w:p>
    <w:p>
      <w:pPr>
        <w:spacing w:after="0" w:line="130" w:lineRule="exact"/>
        <w:rPr>
          <w:rFonts w:ascii="Arial" w:cs="Arial" w:eastAsia="Arial" w:hAnsi="Arial"/>
          <w:sz w:val="18"/>
          <w:szCs w:val="18"/>
          <w:b w:val="1"/>
          <w:bCs w:val="1"/>
          <w:color w:val="auto"/>
        </w:rPr>
      </w:pPr>
    </w:p>
    <w:p>
      <w:pPr>
        <w:ind w:left="1304" w:right="460" w:hanging="535"/>
        <w:spacing w:after="0" w:line="277" w:lineRule="auto"/>
        <w:tabs>
          <w:tab w:leader="none" w:pos="1304" w:val="left"/>
        </w:tabs>
        <w:numPr>
          <w:ilvl w:val="1"/>
          <w:numId w:val="957"/>
        </w:numPr>
        <w:rPr>
          <w:rFonts w:ascii="Arial" w:cs="Arial" w:eastAsia="Arial" w:hAnsi="Arial"/>
          <w:sz w:val="18"/>
          <w:szCs w:val="18"/>
          <w:color w:val="auto"/>
        </w:rPr>
      </w:pPr>
      <w:r>
        <w:rPr>
          <w:rFonts w:ascii="Arial" w:cs="Arial" w:eastAsia="Arial" w:hAnsi="Arial"/>
          <w:sz w:val="18"/>
          <w:szCs w:val="18"/>
          <w:color w:val="auto"/>
        </w:rPr>
        <w:t>guarantees to each Finance Party punctual performance by each other Obligor of all that Obligor’s obligations under the Finance Documents;</w:t>
      </w:r>
    </w:p>
    <w:p>
      <w:pPr>
        <w:spacing w:after="0" w:line="75" w:lineRule="exact"/>
        <w:rPr>
          <w:rFonts w:ascii="Arial" w:cs="Arial" w:eastAsia="Arial" w:hAnsi="Arial"/>
          <w:sz w:val="18"/>
          <w:szCs w:val="18"/>
          <w:color w:val="auto"/>
        </w:rPr>
      </w:pPr>
    </w:p>
    <w:p>
      <w:pPr>
        <w:ind w:left="1304" w:right="300" w:hanging="535"/>
        <w:spacing w:after="0" w:line="342" w:lineRule="auto"/>
        <w:tabs>
          <w:tab w:leader="none" w:pos="1304" w:val="left"/>
        </w:tabs>
        <w:numPr>
          <w:ilvl w:val="1"/>
          <w:numId w:val="957"/>
        </w:numPr>
        <w:rPr>
          <w:rFonts w:ascii="Arial" w:cs="Arial" w:eastAsia="Arial" w:hAnsi="Arial"/>
          <w:sz w:val="16"/>
          <w:szCs w:val="16"/>
          <w:color w:val="auto"/>
        </w:rPr>
      </w:pPr>
      <w:r>
        <w:rPr>
          <w:rFonts w:ascii="Arial" w:cs="Arial" w:eastAsia="Arial" w:hAnsi="Arial"/>
          <w:sz w:val="16"/>
          <w:szCs w:val="16"/>
          <w:color w:val="auto"/>
        </w:rPr>
        <w:t>undertakes with each Finance Party that whenever another Obligor does not pay any amount when due under or in connection with any Finance Document, that Guarantor shall immediately on demand pay that amount as if it was the principal obligor; and</w:t>
      </w:r>
    </w:p>
    <w:p>
      <w:pPr>
        <w:spacing w:after="0" w:line="29" w:lineRule="exact"/>
        <w:rPr>
          <w:rFonts w:ascii="Arial" w:cs="Arial" w:eastAsia="Arial" w:hAnsi="Arial"/>
          <w:sz w:val="16"/>
          <w:szCs w:val="16"/>
          <w:color w:val="auto"/>
        </w:rPr>
      </w:pPr>
    </w:p>
    <w:p>
      <w:pPr>
        <w:ind w:left="1304" w:right="20" w:hanging="535"/>
        <w:spacing w:after="0" w:line="255" w:lineRule="auto"/>
        <w:tabs>
          <w:tab w:leader="none" w:pos="1304" w:val="left"/>
        </w:tabs>
        <w:numPr>
          <w:ilvl w:val="1"/>
          <w:numId w:val="957"/>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an Obligor not paying any amount which would, but for such unenforceability, invalidity or illegality, have been payable by it under any Finance Document on the date when it would have been due. The amount payable by a Guarantor under this indemnity will not exceed the amount it would have had to pay under this Clause 20 if the amount claimed had been recoverable on the basis of a guarantee.</w:t>
      </w:r>
    </w:p>
    <w:p>
      <w:pPr>
        <w:spacing w:after="0" w:line="33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Continuing guarantee</w:t>
      </w:r>
    </w:p>
    <w:p>
      <w:pPr>
        <w:spacing w:after="0" w:line="121" w:lineRule="exact"/>
        <w:rPr>
          <w:sz w:val="20"/>
          <w:szCs w:val="20"/>
          <w:color w:val="auto"/>
        </w:rPr>
      </w:pPr>
    </w:p>
    <w:p>
      <w:pPr>
        <w:ind w:left="764" w:right="820"/>
        <w:spacing w:after="0" w:line="277"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Reinstatement</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7"/>
          <w:szCs w:val="17"/>
          <w:color w:val="auto"/>
        </w:rPr>
        <w:t>If for any reason (including, without limitation, as a result of insolvency, breach of fiduciary or statutory duties or any similar event):</w:t>
      </w:r>
    </w:p>
    <w:p>
      <w:pPr>
        <w:spacing w:after="0" w:line="142" w:lineRule="exact"/>
        <w:rPr>
          <w:sz w:val="20"/>
          <w:szCs w:val="20"/>
          <w:color w:val="auto"/>
        </w:rPr>
      </w:pPr>
    </w:p>
    <w:p>
      <w:pPr>
        <w:ind w:left="1304" w:right="780" w:hanging="535"/>
        <w:spacing w:after="0" w:line="277" w:lineRule="auto"/>
        <w:tabs>
          <w:tab w:leader="none" w:pos="1304" w:val="left"/>
        </w:tabs>
        <w:numPr>
          <w:ilvl w:val="0"/>
          <w:numId w:val="958"/>
        </w:numPr>
        <w:rPr>
          <w:rFonts w:ascii="Arial" w:cs="Arial" w:eastAsia="Arial" w:hAnsi="Arial"/>
          <w:sz w:val="18"/>
          <w:szCs w:val="18"/>
          <w:color w:val="auto"/>
        </w:rPr>
      </w:pPr>
      <w:r>
        <w:rPr>
          <w:rFonts w:ascii="Arial" w:cs="Arial" w:eastAsia="Arial" w:hAnsi="Arial"/>
          <w:sz w:val="18"/>
          <w:szCs w:val="18"/>
          <w:color w:val="auto"/>
        </w:rPr>
        <w:t>any payment to a Finance Party (whether in respect of the obligations of any Obligor or any security for those obligations or otherwise) is avoided, reduced or required to be restored, or</w:t>
      </w:r>
    </w:p>
    <w:p>
      <w:pPr>
        <w:spacing w:after="0" w:line="75" w:lineRule="exact"/>
        <w:rPr>
          <w:rFonts w:ascii="Arial" w:cs="Arial" w:eastAsia="Arial" w:hAnsi="Arial"/>
          <w:sz w:val="18"/>
          <w:szCs w:val="18"/>
          <w:color w:val="auto"/>
        </w:rPr>
      </w:pPr>
    </w:p>
    <w:p>
      <w:pPr>
        <w:ind w:left="1304" w:right="560" w:hanging="535"/>
        <w:spacing w:after="0" w:line="263" w:lineRule="auto"/>
        <w:tabs>
          <w:tab w:leader="none" w:pos="1304" w:val="left"/>
        </w:tabs>
        <w:numPr>
          <w:ilvl w:val="0"/>
          <w:numId w:val="958"/>
        </w:numPr>
        <w:rPr>
          <w:rFonts w:ascii="Arial" w:cs="Arial" w:eastAsia="Arial" w:hAnsi="Arial"/>
          <w:sz w:val="18"/>
          <w:szCs w:val="18"/>
          <w:color w:val="auto"/>
        </w:rPr>
      </w:pPr>
      <w:r>
        <w:rPr>
          <w:rFonts w:ascii="Arial" w:cs="Arial" w:eastAsia="Arial" w:hAnsi="Arial"/>
          <w:sz w:val="18"/>
          <w:szCs w:val="18"/>
          <w:color w:val="auto"/>
        </w:rPr>
        <w:t>any discharge, compromise or arrangement (whether in respect of the obligations of any Obligor or any security for any such obligation or otherwise) given or made wholly or partly on the basis of any payment, security or other matter which is avoided, reduced or required to be restored,</w:t>
      </w:r>
    </w:p>
    <w:p>
      <w:pPr>
        <w:spacing w:after="0" w:line="76" w:lineRule="exact"/>
        <w:rPr>
          <w:sz w:val="20"/>
          <w:szCs w:val="20"/>
          <w:color w:val="auto"/>
        </w:rPr>
      </w:pPr>
    </w:p>
    <w:p>
      <w:pPr>
        <w:ind w:left="764"/>
        <w:spacing w:after="0"/>
        <w:rPr>
          <w:sz w:val="20"/>
          <w:szCs w:val="20"/>
          <w:color w:val="auto"/>
        </w:rPr>
      </w:pPr>
      <w:r>
        <w:rPr>
          <w:rFonts w:ascii="Arial" w:cs="Arial" w:eastAsia="Arial" w:hAnsi="Arial"/>
          <w:sz w:val="18"/>
          <w:szCs w:val="18"/>
          <w:color w:val="auto"/>
        </w:rPr>
        <w:t>then:</w:t>
      </w:r>
    </w:p>
    <w:p>
      <w:pPr>
        <w:spacing w:after="0" w:line="131" w:lineRule="exact"/>
        <w:rPr>
          <w:sz w:val="20"/>
          <w:szCs w:val="20"/>
          <w:color w:val="auto"/>
        </w:rPr>
      </w:pPr>
    </w:p>
    <w:p>
      <w:pPr>
        <w:ind w:left="1964" w:right="800" w:hanging="655"/>
        <w:spacing w:after="0" w:line="277" w:lineRule="auto"/>
        <w:tabs>
          <w:tab w:leader="none" w:pos="1964" w:val="left"/>
        </w:tabs>
        <w:numPr>
          <w:ilvl w:val="0"/>
          <w:numId w:val="959"/>
        </w:numPr>
        <w:rPr>
          <w:rFonts w:ascii="Arial" w:cs="Arial" w:eastAsia="Arial" w:hAnsi="Arial"/>
          <w:sz w:val="18"/>
          <w:szCs w:val="18"/>
          <w:color w:val="auto"/>
        </w:rPr>
      </w:pPr>
      <w:r>
        <w:rPr>
          <w:rFonts w:ascii="Arial" w:cs="Arial" w:eastAsia="Arial" w:hAnsi="Arial"/>
          <w:sz w:val="18"/>
          <w:szCs w:val="18"/>
          <w:color w:val="auto"/>
        </w:rPr>
        <w:t>the liability of each Obligor shall continue (or be deemed to continue) as if the payment, discharge, compromise or arrangement had not occurred; and</w:t>
      </w:r>
    </w:p>
    <w:p>
      <w:pPr>
        <w:spacing w:after="0" w:line="75" w:lineRule="exact"/>
        <w:rPr>
          <w:rFonts w:ascii="Arial" w:cs="Arial" w:eastAsia="Arial" w:hAnsi="Arial"/>
          <w:sz w:val="18"/>
          <w:szCs w:val="18"/>
          <w:color w:val="auto"/>
        </w:rPr>
      </w:pPr>
    </w:p>
    <w:p>
      <w:pPr>
        <w:ind w:left="1964" w:right="260" w:hanging="655"/>
        <w:spacing w:after="0" w:line="277" w:lineRule="auto"/>
        <w:tabs>
          <w:tab w:leader="none" w:pos="1964" w:val="left"/>
        </w:tabs>
        <w:numPr>
          <w:ilvl w:val="0"/>
          <w:numId w:val="959"/>
        </w:numPr>
        <w:rPr>
          <w:rFonts w:ascii="Arial" w:cs="Arial" w:eastAsia="Arial" w:hAnsi="Arial"/>
          <w:sz w:val="18"/>
          <w:szCs w:val="18"/>
          <w:color w:val="auto"/>
        </w:rPr>
      </w:pPr>
      <w:r>
        <w:rPr>
          <w:rFonts w:ascii="Arial" w:cs="Arial" w:eastAsia="Arial" w:hAnsi="Arial"/>
          <w:sz w:val="18"/>
          <w:szCs w:val="18"/>
          <w:color w:val="auto"/>
        </w:rPr>
        <w:t>each Finance Party shall be entitled to recover the value or amount of that payment or security from each Obligor, as if the payment, discharge, compromise or arrangement had not occurred.</w:t>
      </w:r>
    </w:p>
    <w:p>
      <w:pPr>
        <w:spacing w:after="0" w:line="103"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77" w:name="page678"/>
    <w:bookmarkEnd w:id="677"/>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20.4</w:t>
      </w:r>
      <w:r>
        <w:rPr>
          <w:sz w:val="20"/>
          <w:szCs w:val="20"/>
          <w:color w:val="auto"/>
        </w:rPr>
        <w:tab/>
      </w:r>
      <w:r>
        <w:rPr>
          <w:rFonts w:ascii="Arial" w:cs="Arial" w:eastAsia="Arial" w:hAnsi="Arial"/>
          <w:sz w:val="16"/>
          <w:szCs w:val="16"/>
          <w:b w:val="1"/>
          <w:bCs w:val="1"/>
          <w:color w:val="auto"/>
        </w:rPr>
        <w:t>Waiver of defences</w:t>
      </w:r>
    </w:p>
    <w:p>
      <w:pPr>
        <w:spacing w:after="0" w:line="121" w:lineRule="exact"/>
        <w:rPr>
          <w:sz w:val="20"/>
          <w:szCs w:val="20"/>
          <w:color w:val="auto"/>
        </w:rPr>
      </w:pPr>
    </w:p>
    <w:p>
      <w:pPr>
        <w:jc w:val="both"/>
        <w:ind w:left="760" w:right="240"/>
        <w:spacing w:after="0" w:line="263" w:lineRule="auto"/>
        <w:rPr>
          <w:sz w:val="20"/>
          <w:szCs w:val="20"/>
          <w:color w:val="auto"/>
        </w:rPr>
      </w:pPr>
      <w:r>
        <w:rPr>
          <w:rFonts w:ascii="Arial" w:cs="Arial" w:eastAsia="Arial" w:hAnsi="Arial"/>
          <w:sz w:val="18"/>
          <w:szCs w:val="18"/>
          <w:color w:val="auto"/>
        </w:rPr>
        <w:t>The obligations of each Guarantor under this Clause 20 will not be affected by any act, omission, matter or thing which, but for this Clause 20, would reduce, release or prejudice any of its obligations under this Clause 20 (without limitation and whether or not known to it or any Finance Party) including:</w:t>
      </w:r>
    </w:p>
    <w:p>
      <w:pPr>
        <w:spacing w:after="0" w:line="89" w:lineRule="exact"/>
        <w:rPr>
          <w:sz w:val="20"/>
          <w:szCs w:val="20"/>
          <w:color w:val="auto"/>
        </w:rPr>
      </w:pPr>
    </w:p>
    <w:p>
      <w:pPr>
        <w:ind w:left="1300" w:hanging="535"/>
        <w:spacing w:after="0"/>
        <w:tabs>
          <w:tab w:leader="none" w:pos="1300" w:val="left"/>
        </w:tabs>
        <w:numPr>
          <w:ilvl w:val="0"/>
          <w:numId w:val="960"/>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130" w:lineRule="exact"/>
        <w:rPr>
          <w:rFonts w:ascii="Arial" w:cs="Arial" w:eastAsia="Arial" w:hAnsi="Arial"/>
          <w:sz w:val="18"/>
          <w:szCs w:val="18"/>
          <w:color w:val="auto"/>
        </w:rPr>
      </w:pPr>
    </w:p>
    <w:p>
      <w:pPr>
        <w:ind w:left="1300" w:right="480" w:hanging="535"/>
        <w:spacing w:after="0" w:line="277" w:lineRule="auto"/>
        <w:tabs>
          <w:tab w:leader="none" w:pos="1300" w:val="left"/>
        </w:tabs>
        <w:numPr>
          <w:ilvl w:val="0"/>
          <w:numId w:val="960"/>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member of the Group;</w:t>
      </w:r>
    </w:p>
    <w:p>
      <w:pPr>
        <w:spacing w:after="0" w:line="75" w:lineRule="exact"/>
        <w:rPr>
          <w:rFonts w:ascii="Arial" w:cs="Arial" w:eastAsia="Arial" w:hAnsi="Arial"/>
          <w:sz w:val="18"/>
          <w:szCs w:val="18"/>
          <w:color w:val="auto"/>
        </w:rPr>
      </w:pPr>
    </w:p>
    <w:p>
      <w:pPr>
        <w:ind w:left="1300" w:right="280" w:hanging="535"/>
        <w:spacing w:after="0" w:line="263" w:lineRule="auto"/>
        <w:tabs>
          <w:tab w:leader="none" w:pos="1300" w:val="left"/>
        </w:tabs>
        <w:numPr>
          <w:ilvl w:val="0"/>
          <w:numId w:val="960"/>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89" w:lineRule="exact"/>
        <w:rPr>
          <w:rFonts w:ascii="Arial" w:cs="Arial" w:eastAsia="Arial" w:hAnsi="Arial"/>
          <w:sz w:val="18"/>
          <w:szCs w:val="18"/>
          <w:color w:val="auto"/>
        </w:rPr>
      </w:pPr>
    </w:p>
    <w:p>
      <w:pPr>
        <w:ind w:left="1300" w:right="280" w:hanging="535"/>
        <w:spacing w:after="0" w:line="277" w:lineRule="auto"/>
        <w:tabs>
          <w:tab w:leader="none" w:pos="1300" w:val="left"/>
        </w:tabs>
        <w:numPr>
          <w:ilvl w:val="0"/>
          <w:numId w:val="960"/>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75" w:lineRule="exact"/>
        <w:rPr>
          <w:rFonts w:ascii="Arial" w:cs="Arial" w:eastAsia="Arial" w:hAnsi="Arial"/>
          <w:sz w:val="18"/>
          <w:szCs w:val="18"/>
          <w:color w:val="auto"/>
        </w:rPr>
      </w:pPr>
    </w:p>
    <w:p>
      <w:pPr>
        <w:ind w:left="1300" w:right="660" w:hanging="535"/>
        <w:spacing w:after="0" w:line="263" w:lineRule="auto"/>
        <w:tabs>
          <w:tab w:leader="none" w:pos="1300" w:val="left"/>
        </w:tabs>
        <w:numPr>
          <w:ilvl w:val="0"/>
          <w:numId w:val="960"/>
        </w:numPr>
        <w:rPr>
          <w:rFonts w:ascii="Arial" w:cs="Arial" w:eastAsia="Arial" w:hAnsi="Arial"/>
          <w:sz w:val="18"/>
          <w:szCs w:val="18"/>
          <w:color w:val="auto"/>
        </w:rPr>
      </w:pPr>
      <w:r>
        <w:rPr>
          <w:rFonts w:ascii="Arial" w:cs="Arial" w:eastAsia="Arial" w:hAnsi="Arial"/>
          <w:sz w:val="18"/>
          <w:szCs w:val="18"/>
          <w:color w:val="auto"/>
        </w:rPr>
        <w:t>any amendment, novation, supplement, extension (whether of maturity or otherwise) or restatement (in each case, however fundamental and of whatsoever nature, and whether or not more onerous) or replacement of a Finance Document or any other document or security;</w:t>
      </w:r>
    </w:p>
    <w:p>
      <w:pPr>
        <w:spacing w:after="0" w:line="89" w:lineRule="exact"/>
        <w:rPr>
          <w:rFonts w:ascii="Arial" w:cs="Arial" w:eastAsia="Arial" w:hAnsi="Arial"/>
          <w:sz w:val="18"/>
          <w:szCs w:val="18"/>
          <w:color w:val="auto"/>
        </w:rPr>
      </w:pPr>
    </w:p>
    <w:p>
      <w:pPr>
        <w:ind w:left="1300" w:right="260" w:hanging="535"/>
        <w:spacing w:after="0" w:line="277" w:lineRule="auto"/>
        <w:tabs>
          <w:tab w:leader="none" w:pos="1300" w:val="left"/>
        </w:tabs>
        <w:numPr>
          <w:ilvl w:val="0"/>
          <w:numId w:val="960"/>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960"/>
        </w:numPr>
        <w:rPr>
          <w:rFonts w:ascii="Arial" w:cs="Arial" w:eastAsia="Arial" w:hAnsi="Arial"/>
          <w:sz w:val="18"/>
          <w:szCs w:val="18"/>
          <w:color w:val="auto"/>
        </w:rPr>
      </w:pPr>
      <w:r>
        <w:rPr>
          <w:rFonts w:ascii="Arial" w:cs="Arial" w:eastAsia="Arial" w:hAnsi="Arial"/>
          <w:sz w:val="18"/>
          <w:szCs w:val="18"/>
          <w:color w:val="auto"/>
        </w:rPr>
        <w:t>any insolvency or similar proceedings; or</w:t>
      </w:r>
    </w:p>
    <w:p>
      <w:pPr>
        <w:spacing w:after="0" w:line="130" w:lineRule="exact"/>
        <w:rPr>
          <w:rFonts w:ascii="Arial" w:cs="Arial" w:eastAsia="Arial" w:hAnsi="Arial"/>
          <w:sz w:val="18"/>
          <w:szCs w:val="18"/>
          <w:color w:val="auto"/>
        </w:rPr>
      </w:pPr>
    </w:p>
    <w:p>
      <w:pPr>
        <w:ind w:left="1300" w:hanging="535"/>
        <w:spacing w:after="0"/>
        <w:tabs>
          <w:tab w:leader="none" w:pos="1300" w:val="left"/>
        </w:tabs>
        <w:numPr>
          <w:ilvl w:val="0"/>
          <w:numId w:val="960"/>
        </w:numPr>
        <w:rPr>
          <w:rFonts w:ascii="Arial" w:cs="Arial" w:eastAsia="Arial" w:hAnsi="Arial"/>
          <w:sz w:val="17"/>
          <w:szCs w:val="17"/>
          <w:color w:val="auto"/>
        </w:rPr>
      </w:pPr>
      <w:r>
        <w:rPr>
          <w:rFonts w:ascii="Arial" w:cs="Arial" w:eastAsia="Arial" w:hAnsi="Arial"/>
          <w:sz w:val="17"/>
          <w:szCs w:val="17"/>
          <w:color w:val="auto"/>
        </w:rPr>
        <w:t>this Agreement or any other Finance Document not being executed by or binding against any other Guarantor or any other party.</w:t>
      </w:r>
    </w:p>
    <w:p>
      <w:pPr>
        <w:spacing w:after="0" w:line="3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7"/>
          <w:szCs w:val="17"/>
          <w:b w:val="1"/>
          <w:bCs w:val="1"/>
          <w:color w:val="auto"/>
        </w:rPr>
        <w:t>Guarantor intent</w:t>
      </w:r>
    </w:p>
    <w:p>
      <w:pPr>
        <w:spacing w:after="0" w:line="121" w:lineRule="exact"/>
        <w:rPr>
          <w:sz w:val="20"/>
          <w:szCs w:val="20"/>
          <w:color w:val="auto"/>
        </w:rPr>
      </w:pPr>
    </w:p>
    <w:p>
      <w:pPr>
        <w:ind w:left="760" w:right="20"/>
        <w:spacing w:after="0" w:line="271" w:lineRule="auto"/>
        <w:rPr>
          <w:sz w:val="20"/>
          <w:szCs w:val="20"/>
          <w:color w:val="auto"/>
        </w:rPr>
      </w:pPr>
      <w:r>
        <w:rPr>
          <w:rFonts w:ascii="Arial" w:cs="Arial" w:eastAsia="Arial" w:hAnsi="Arial"/>
          <w:sz w:val="17"/>
          <w:szCs w:val="17"/>
          <w:color w:val="auto"/>
        </w:rPr>
        <w:t>Without prejudice to the generality of Clause 20.4 (</w:t>
      </w:r>
      <w:r>
        <w:rPr>
          <w:rFonts w:ascii="Arial" w:cs="Arial" w:eastAsia="Arial" w:hAnsi="Arial"/>
          <w:sz w:val="17"/>
          <w:szCs w:val="17"/>
          <w:i w:val="1"/>
          <w:iCs w:val="1"/>
          <w:color w:val="auto"/>
        </w:rPr>
        <w:t>Waiver of defences</w:t>
      </w:r>
      <w:r>
        <w:rPr>
          <w:rFonts w:ascii="Arial" w:cs="Arial" w:eastAsia="Arial" w:hAnsi="Arial"/>
          <w:sz w:val="17"/>
          <w:szCs w:val="17"/>
          <w:color w:val="auto"/>
        </w:rPr>
        <w:t>), each Guarantor expressly confirms that it intends that this guarantee shall extend from time to time to any (however fundamental and of whatsoever nature and whether or not more onerous) variation, increase, extension or addition of or to any of the Finance Documents and/or any facility or amount made available under any of the Finance Documents for or in connection with any purpose whatsoever, including without limitation, any of the following: any amendment or waiver contemplated under a Fee Letter, any Property or Site expansion; acquisitions of any nature; increasing working capital; enabling dividends 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 expenses associated with any of the foregoing.</w:t>
      </w:r>
    </w:p>
    <w:p>
      <w:pPr>
        <w:spacing w:after="0" w:line="3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6"/>
          <w:szCs w:val="16"/>
          <w:b w:val="1"/>
          <w:bCs w:val="1"/>
          <w:color w:val="auto"/>
        </w:rPr>
        <w:t>Immediate recourse</w:t>
      </w:r>
    </w:p>
    <w:p>
      <w:pPr>
        <w:spacing w:after="0" w:line="121" w:lineRule="exact"/>
        <w:rPr>
          <w:sz w:val="20"/>
          <w:szCs w:val="20"/>
          <w:color w:val="auto"/>
        </w:rPr>
      </w:pPr>
    </w:p>
    <w:p>
      <w:pPr>
        <w:jc w:val="both"/>
        <w:ind w:left="760" w:right="80"/>
        <w:spacing w:after="0" w:line="263" w:lineRule="auto"/>
        <w:rPr>
          <w:sz w:val="20"/>
          <w:szCs w:val="20"/>
          <w:color w:val="auto"/>
        </w:rPr>
      </w:pPr>
      <w:r>
        <w:rPr>
          <w:rFonts w:ascii="Arial" w:cs="Arial" w:eastAsia="Arial" w:hAnsi="Arial"/>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20. This waiver applies irrespective of any law or any provision of a Finance Document to the contrary.</w:t>
      </w:r>
    </w:p>
    <w:p>
      <w:pPr>
        <w:spacing w:after="0" w:line="116"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78" w:name="page679"/>
    <w:bookmarkEnd w:id="678"/>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20.7</w:t>
      </w:r>
      <w:r>
        <w:rPr>
          <w:sz w:val="20"/>
          <w:szCs w:val="20"/>
          <w:color w:val="auto"/>
        </w:rPr>
        <w:tab/>
      </w:r>
      <w:r>
        <w:rPr>
          <w:rFonts w:ascii="Arial" w:cs="Arial" w:eastAsia="Arial" w:hAnsi="Arial"/>
          <w:sz w:val="16"/>
          <w:szCs w:val="16"/>
          <w:b w:val="1"/>
          <w:bCs w:val="1"/>
          <w:color w:val="auto"/>
        </w:rPr>
        <w:t>Appropriations</w:t>
      </w:r>
    </w:p>
    <w:p>
      <w:pPr>
        <w:spacing w:after="0" w:line="121" w:lineRule="exact"/>
        <w:rPr>
          <w:sz w:val="20"/>
          <w:szCs w:val="20"/>
          <w:color w:val="auto"/>
        </w:rPr>
      </w:pPr>
    </w:p>
    <w:p>
      <w:pPr>
        <w:ind w:left="760" w:right="840"/>
        <w:spacing w:after="0" w:line="277"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76" w:lineRule="exact"/>
        <w:rPr>
          <w:sz w:val="20"/>
          <w:szCs w:val="20"/>
          <w:color w:val="auto"/>
        </w:rPr>
      </w:pPr>
    </w:p>
    <w:p>
      <w:pPr>
        <w:jc w:val="both"/>
        <w:ind w:left="1300" w:right="80" w:hanging="535"/>
        <w:spacing w:after="0" w:line="263" w:lineRule="auto"/>
        <w:tabs>
          <w:tab w:leader="none" w:pos="1300" w:val="left"/>
        </w:tabs>
        <w:numPr>
          <w:ilvl w:val="0"/>
          <w:numId w:val="961"/>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89" w:lineRule="exact"/>
        <w:rPr>
          <w:rFonts w:ascii="Arial" w:cs="Arial" w:eastAsia="Arial" w:hAnsi="Arial"/>
          <w:sz w:val="18"/>
          <w:szCs w:val="18"/>
          <w:color w:val="auto"/>
        </w:rPr>
      </w:pPr>
    </w:p>
    <w:p>
      <w:pPr>
        <w:ind w:left="1300" w:hanging="535"/>
        <w:spacing w:after="0" w:line="277" w:lineRule="auto"/>
        <w:tabs>
          <w:tab w:leader="none" w:pos="1300" w:val="left"/>
        </w:tabs>
        <w:numPr>
          <w:ilvl w:val="0"/>
          <w:numId w:val="961"/>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Guarantor or on account of any Guarantor’s liability under this Clause 20.</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color w:val="auto"/>
        </w:rPr>
        <w:t>Deferral of Guarantors’ rights</w:t>
      </w:r>
    </w:p>
    <w:p>
      <w:pPr>
        <w:spacing w:after="0" w:line="121" w:lineRule="exact"/>
        <w:rPr>
          <w:sz w:val="20"/>
          <w:szCs w:val="20"/>
          <w:color w:val="auto"/>
        </w:rPr>
      </w:pPr>
    </w:p>
    <w:p>
      <w:pPr>
        <w:ind w:left="760" w:right="260"/>
        <w:spacing w:after="0" w:line="259"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20:</w:t>
      </w:r>
    </w:p>
    <w:p>
      <w:pPr>
        <w:spacing w:after="0" w:line="92" w:lineRule="exact"/>
        <w:rPr>
          <w:sz w:val="20"/>
          <w:szCs w:val="20"/>
          <w:color w:val="auto"/>
        </w:rPr>
      </w:pPr>
    </w:p>
    <w:p>
      <w:pPr>
        <w:ind w:left="1300" w:hanging="535"/>
        <w:spacing w:after="0"/>
        <w:tabs>
          <w:tab w:leader="none" w:pos="130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to be indemnified by an Obligor;</w:t>
      </w:r>
    </w:p>
    <w:p>
      <w:pPr>
        <w:spacing w:after="0" w:line="130" w:lineRule="exact"/>
        <w:rPr>
          <w:rFonts w:ascii="Arial" w:cs="Arial" w:eastAsia="Arial" w:hAnsi="Arial"/>
          <w:sz w:val="18"/>
          <w:szCs w:val="18"/>
          <w:color w:val="auto"/>
        </w:rPr>
      </w:pPr>
    </w:p>
    <w:p>
      <w:pPr>
        <w:ind w:left="1300" w:hanging="535"/>
        <w:spacing w:after="0"/>
        <w:tabs>
          <w:tab w:leader="none" w:pos="130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130" w:lineRule="exact"/>
        <w:rPr>
          <w:rFonts w:ascii="Arial" w:cs="Arial" w:eastAsia="Arial" w:hAnsi="Arial"/>
          <w:sz w:val="18"/>
          <w:szCs w:val="18"/>
          <w:color w:val="auto"/>
        </w:rPr>
      </w:pPr>
    </w:p>
    <w:p>
      <w:pPr>
        <w:ind w:left="1300" w:right="120" w:hanging="535"/>
        <w:spacing w:after="0" w:line="263" w:lineRule="auto"/>
        <w:tabs>
          <w:tab w:leader="none" w:pos="130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89" w:lineRule="exact"/>
        <w:rPr>
          <w:rFonts w:ascii="Arial" w:cs="Arial" w:eastAsia="Arial" w:hAnsi="Arial"/>
          <w:sz w:val="18"/>
          <w:szCs w:val="18"/>
          <w:color w:val="auto"/>
        </w:rPr>
      </w:pPr>
    </w:p>
    <w:p>
      <w:pPr>
        <w:ind w:left="1300" w:right="220" w:hanging="535"/>
        <w:spacing w:after="0" w:line="277" w:lineRule="auto"/>
        <w:tabs>
          <w:tab w:leader="none" w:pos="130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any Guarantor has given a guarantee, undertaking or indemnity under this Clause 20;</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to exercise any right of set off against any Obligor; and/or</w:t>
      </w:r>
    </w:p>
    <w:p>
      <w:pPr>
        <w:spacing w:after="0" w:line="130" w:lineRule="exact"/>
        <w:rPr>
          <w:rFonts w:ascii="Arial" w:cs="Arial" w:eastAsia="Arial" w:hAnsi="Arial"/>
          <w:sz w:val="18"/>
          <w:szCs w:val="18"/>
          <w:color w:val="auto"/>
        </w:rPr>
      </w:pPr>
    </w:p>
    <w:p>
      <w:pPr>
        <w:ind w:left="1300" w:hanging="535"/>
        <w:spacing w:after="0"/>
        <w:tabs>
          <w:tab w:leader="none" w:pos="130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to claim or prove as a creditor of any Obligor in competition with any Finance Party.</w:t>
      </w:r>
    </w:p>
    <w:p>
      <w:pPr>
        <w:spacing w:after="0" w:line="117" w:lineRule="exact"/>
        <w:rPr>
          <w:sz w:val="20"/>
          <w:szCs w:val="20"/>
          <w:color w:val="auto"/>
        </w:rPr>
      </w:pPr>
    </w:p>
    <w:p>
      <w:pPr>
        <w:ind w:left="760" w:right="180"/>
        <w:spacing w:after="0" w:line="311" w:lineRule="auto"/>
        <w:rPr>
          <w:sz w:val="20"/>
          <w:szCs w:val="20"/>
          <w:color w:val="auto"/>
        </w:rPr>
      </w:pPr>
      <w:r>
        <w:rPr>
          <w:rFonts w:ascii="Arial" w:cs="Arial" w:eastAsia="Arial" w:hAnsi="Arial"/>
          <w:sz w:val="16"/>
          <w:szCs w:val="16"/>
          <w:color w:val="auto"/>
        </w:rPr>
        <w:t>If any Obligor receives any benefit, payment or distribution in relation to such rights it shall hold that benefit, payment or distribution to the extent necessary to enable all the Secured Obligations to be repaid or discharged in full, on trust for the Finance Parties and shall promptly pay or transfer the same to the Agent or as the Agent may direct for application in accordance with Clause 31 (</w:t>
      </w:r>
      <w:r>
        <w:rPr>
          <w:rFonts w:ascii="Arial" w:cs="Arial" w:eastAsia="Arial" w:hAnsi="Arial"/>
          <w:sz w:val="16"/>
          <w:szCs w:val="16"/>
          <w:i w:val="1"/>
          <w:iCs w:val="1"/>
          <w:color w:val="auto"/>
        </w:rPr>
        <w:t>Payment mechanics</w:t>
      </w:r>
      <w:r>
        <w:rPr>
          <w:rFonts w:ascii="Arial" w:cs="Arial" w:eastAsia="Arial" w:hAnsi="Arial"/>
          <w:sz w:val="16"/>
          <w:szCs w:val="16"/>
          <w:color w:val="auto"/>
        </w:rPr>
        <w:t>).</w:t>
      </w:r>
    </w:p>
    <w:p>
      <w:pPr>
        <w:spacing w:after="0" w:line="2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20.9</w:t>
      </w:r>
      <w:r>
        <w:rPr>
          <w:sz w:val="20"/>
          <w:szCs w:val="20"/>
          <w:color w:val="auto"/>
        </w:rPr>
        <w:tab/>
      </w:r>
      <w:r>
        <w:rPr>
          <w:rFonts w:ascii="Arial" w:cs="Arial" w:eastAsia="Arial" w:hAnsi="Arial"/>
          <w:sz w:val="16"/>
          <w:szCs w:val="16"/>
          <w:b w:val="1"/>
          <w:bCs w:val="1"/>
          <w:color w:val="auto"/>
        </w:rPr>
        <w:t>Additional security</w:t>
      </w:r>
    </w:p>
    <w:p>
      <w:pPr>
        <w:spacing w:after="0" w:line="121" w:lineRule="exact"/>
        <w:rPr>
          <w:sz w:val="20"/>
          <w:szCs w:val="20"/>
          <w:color w:val="auto"/>
        </w:rPr>
      </w:pPr>
    </w:p>
    <w:p>
      <w:pPr>
        <w:ind w:left="760" w:right="100"/>
        <w:spacing w:after="0" w:line="277" w:lineRule="auto"/>
        <w:rPr>
          <w:sz w:val="20"/>
          <w:szCs w:val="20"/>
          <w:color w:val="auto"/>
        </w:rPr>
      </w:pPr>
      <w:r>
        <w:rPr>
          <w:rFonts w:ascii="Arial" w:cs="Arial" w:eastAsia="Arial" w:hAnsi="Arial"/>
          <w:sz w:val="18"/>
          <w:szCs w:val="18"/>
          <w:color w:val="auto"/>
        </w:rPr>
        <w:t>This guarantee is in addition to and is not in any way prejudiced by any other guarantee or security now or subsequently held by any Finance Party.</w:t>
      </w:r>
    </w:p>
    <w:p>
      <w:pPr>
        <w:spacing w:after="0" w:line="103"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79" w:name="page680"/>
    <w:bookmarkEnd w:id="67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REPRESENTATIONS, UNDERTAKINGS AND EVENTS OF DEFAULT</w:t>
      </w:r>
    </w:p>
    <w:p>
      <w:pPr>
        <w:spacing w:after="0" w:line="234" w:lineRule="exact"/>
        <w:rPr>
          <w:sz w:val="20"/>
          <w:szCs w:val="20"/>
          <w:color w:val="auto"/>
        </w:rPr>
      </w:pPr>
    </w:p>
    <w:p>
      <w:pPr>
        <w:ind w:left="764" w:hanging="764"/>
        <w:spacing w:after="0"/>
        <w:tabs>
          <w:tab w:leader="none" w:pos="764" w:val="left"/>
        </w:tabs>
        <w:numPr>
          <w:ilvl w:val="0"/>
          <w:numId w:val="96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121" w:lineRule="exact"/>
        <w:rPr>
          <w:rFonts w:ascii="Arial" w:cs="Arial" w:eastAsia="Arial" w:hAnsi="Arial"/>
          <w:sz w:val="18"/>
          <w:szCs w:val="18"/>
          <w:b w:val="1"/>
          <w:bCs w:val="1"/>
          <w:color w:val="auto"/>
        </w:rPr>
      </w:pPr>
    </w:p>
    <w:p>
      <w:pPr>
        <w:ind w:left="764"/>
        <w:spacing w:after="0"/>
        <w:rPr>
          <w:rFonts w:ascii="Arial" w:cs="Arial" w:eastAsia="Arial" w:hAnsi="Arial"/>
          <w:sz w:val="18"/>
          <w:szCs w:val="18"/>
          <w:b w:val="1"/>
          <w:bCs w:val="1"/>
          <w:color w:val="auto"/>
        </w:rPr>
      </w:pPr>
      <w:r>
        <w:rPr>
          <w:rFonts w:ascii="Arial" w:cs="Arial" w:eastAsia="Arial" w:hAnsi="Arial"/>
          <w:sz w:val="18"/>
          <w:szCs w:val="18"/>
          <w:color w:val="auto"/>
        </w:rPr>
        <w:t>Each Obligor makes the representations and warranties set out in this Clause 21 at the times set out herein.</w:t>
      </w:r>
    </w:p>
    <w:p>
      <w:pPr>
        <w:spacing w:after="0" w:line="37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5"/>
          <w:szCs w:val="15"/>
          <w:b w:val="1"/>
          <w:bCs w:val="1"/>
          <w:color w:val="auto"/>
        </w:rPr>
        <w:t>Times when representations made</w:t>
      </w:r>
    </w:p>
    <w:p>
      <w:pPr>
        <w:spacing w:after="0" w:line="135" w:lineRule="exact"/>
        <w:rPr>
          <w:sz w:val="20"/>
          <w:szCs w:val="20"/>
          <w:color w:val="auto"/>
        </w:rPr>
      </w:pPr>
    </w:p>
    <w:p>
      <w:pPr>
        <w:jc w:val="both"/>
        <w:ind w:left="1304" w:right="440" w:hanging="535"/>
        <w:spacing w:after="0" w:line="342" w:lineRule="auto"/>
        <w:tabs>
          <w:tab w:leader="none" w:pos="1304" w:val="left"/>
        </w:tabs>
        <w:numPr>
          <w:ilvl w:val="0"/>
          <w:numId w:val="964"/>
        </w:numPr>
        <w:rPr>
          <w:rFonts w:ascii="Arial" w:cs="Arial" w:eastAsia="Arial" w:hAnsi="Arial"/>
          <w:sz w:val="16"/>
          <w:szCs w:val="16"/>
          <w:color w:val="auto"/>
        </w:rPr>
      </w:pPr>
      <w:r>
        <w:rPr>
          <w:rFonts w:ascii="Arial" w:cs="Arial" w:eastAsia="Arial" w:hAnsi="Arial"/>
          <w:sz w:val="16"/>
          <w:szCs w:val="16"/>
          <w:color w:val="auto"/>
        </w:rPr>
        <w:t>All the representations and warranties in this Clause 21 (other than paragraph (a) of Clause 21.11 (</w:t>
      </w:r>
      <w:r>
        <w:rPr>
          <w:rFonts w:ascii="Arial" w:cs="Arial" w:eastAsia="Arial" w:hAnsi="Arial"/>
          <w:sz w:val="16"/>
          <w:szCs w:val="16"/>
          <w:i w:val="1"/>
          <w:iCs w:val="1"/>
          <w:color w:val="auto"/>
        </w:rPr>
        <w:t>No default</w:t>
      </w:r>
      <w:r>
        <w:rPr>
          <w:rFonts w:ascii="Arial" w:cs="Arial" w:eastAsia="Arial" w:hAnsi="Arial"/>
          <w:sz w:val="16"/>
          <w:szCs w:val="16"/>
          <w:color w:val="auto"/>
        </w:rPr>
        <w:t>)) are made by each Obligor on the 2016 Amendment and Restatement Effective Date and on the 2021 Amendment and Restatement Effective Date.</w:t>
      </w:r>
    </w:p>
    <w:p>
      <w:pPr>
        <w:spacing w:after="0" w:line="29" w:lineRule="exact"/>
        <w:rPr>
          <w:rFonts w:ascii="Arial" w:cs="Arial" w:eastAsia="Arial" w:hAnsi="Arial"/>
          <w:sz w:val="16"/>
          <w:szCs w:val="16"/>
          <w:color w:val="auto"/>
        </w:rPr>
      </w:pPr>
    </w:p>
    <w:p>
      <w:pPr>
        <w:ind w:left="1304" w:hanging="535"/>
        <w:spacing w:after="0"/>
        <w:tabs>
          <w:tab w:leader="none" w:pos="1304" w:val="left"/>
        </w:tabs>
        <w:numPr>
          <w:ilvl w:val="0"/>
          <w:numId w:val="964"/>
        </w:numPr>
        <w:rPr>
          <w:rFonts w:ascii="Arial" w:cs="Arial" w:eastAsia="Arial" w:hAnsi="Arial"/>
          <w:sz w:val="18"/>
          <w:szCs w:val="18"/>
          <w:color w:val="auto"/>
        </w:rPr>
      </w:pPr>
      <w:r>
        <w:rPr>
          <w:rFonts w:ascii="Arial" w:cs="Arial" w:eastAsia="Arial" w:hAnsi="Arial"/>
          <w:sz w:val="18"/>
          <w:szCs w:val="18"/>
          <w:color w:val="auto"/>
        </w:rPr>
        <w:t>The Repeating Representations are deemed to be made by each Obligor on:</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964"/>
        </w:numPr>
        <w:rPr>
          <w:rFonts w:ascii="Arial" w:cs="Arial" w:eastAsia="Arial" w:hAnsi="Arial"/>
          <w:sz w:val="18"/>
          <w:szCs w:val="18"/>
          <w:color w:val="auto"/>
        </w:rPr>
      </w:pPr>
      <w:r>
        <w:rPr>
          <w:rFonts w:ascii="Arial" w:cs="Arial" w:eastAsia="Arial" w:hAnsi="Arial"/>
          <w:sz w:val="18"/>
          <w:szCs w:val="18"/>
          <w:color w:val="auto"/>
        </w:rPr>
        <w:t>the date of each Utilisation Request;</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964"/>
        </w:numPr>
        <w:rPr>
          <w:rFonts w:ascii="Arial" w:cs="Arial" w:eastAsia="Arial" w:hAnsi="Arial"/>
          <w:sz w:val="18"/>
          <w:szCs w:val="18"/>
          <w:color w:val="auto"/>
        </w:rPr>
      </w:pPr>
      <w:r>
        <w:rPr>
          <w:rFonts w:ascii="Arial" w:cs="Arial" w:eastAsia="Arial" w:hAnsi="Arial"/>
          <w:sz w:val="18"/>
          <w:szCs w:val="18"/>
          <w:color w:val="auto"/>
        </w:rPr>
        <w:t>each Utilisation Date; and</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964"/>
        </w:numPr>
        <w:rPr>
          <w:rFonts w:ascii="Arial" w:cs="Arial" w:eastAsia="Arial" w:hAnsi="Arial"/>
          <w:sz w:val="18"/>
          <w:szCs w:val="18"/>
          <w:color w:val="auto"/>
        </w:rPr>
      </w:pPr>
      <w:r>
        <w:rPr>
          <w:rFonts w:ascii="Arial" w:cs="Arial" w:eastAsia="Arial" w:hAnsi="Arial"/>
          <w:sz w:val="18"/>
          <w:szCs w:val="18"/>
          <w:color w:val="auto"/>
        </w:rPr>
        <w:t>the first day of each Interest Period.</w:t>
      </w:r>
    </w:p>
    <w:p>
      <w:pPr>
        <w:spacing w:after="0" w:line="130" w:lineRule="exact"/>
        <w:rPr>
          <w:rFonts w:ascii="Arial" w:cs="Arial" w:eastAsia="Arial" w:hAnsi="Arial"/>
          <w:sz w:val="18"/>
          <w:szCs w:val="18"/>
          <w:color w:val="auto"/>
        </w:rPr>
      </w:pPr>
    </w:p>
    <w:p>
      <w:pPr>
        <w:jc w:val="both"/>
        <w:ind w:left="1304" w:right="60" w:hanging="535"/>
        <w:spacing w:after="0" w:line="263" w:lineRule="auto"/>
        <w:tabs>
          <w:tab w:leader="none" w:pos="1304" w:val="left"/>
        </w:tabs>
        <w:numPr>
          <w:ilvl w:val="0"/>
          <w:numId w:val="964"/>
        </w:numPr>
        <w:rPr>
          <w:rFonts w:ascii="Arial" w:cs="Arial" w:eastAsia="Arial" w:hAnsi="Arial"/>
          <w:sz w:val="18"/>
          <w:szCs w:val="18"/>
          <w:color w:val="auto"/>
        </w:rPr>
      </w:pPr>
      <w:r>
        <w:rPr>
          <w:rFonts w:ascii="Arial" w:cs="Arial" w:eastAsia="Arial" w:hAnsi="Arial"/>
          <w:sz w:val="18"/>
          <w:szCs w:val="18"/>
          <w:color w:val="auto"/>
        </w:rPr>
        <w:t>The representations and warranties set out in paragraph (a) of Clause 21.14 (</w:t>
      </w:r>
      <w:r>
        <w:rPr>
          <w:rFonts w:ascii="Arial" w:cs="Arial" w:eastAsia="Arial" w:hAnsi="Arial"/>
          <w:sz w:val="18"/>
          <w:szCs w:val="18"/>
          <w:i w:val="1"/>
          <w:iCs w:val="1"/>
          <w:color w:val="auto"/>
        </w:rPr>
        <w:t>Financial statements</w:t>
      </w:r>
      <w:r>
        <w:rPr>
          <w:rFonts w:ascii="Arial" w:cs="Arial" w:eastAsia="Arial" w:hAnsi="Arial"/>
          <w:sz w:val="18"/>
          <w:szCs w:val="18"/>
          <w:color w:val="auto"/>
        </w:rPr>
        <w:t>) will cease to be made in respect of any financial statements on and from the date on which more recent financial statements are delivered to the Agent pursuant to Clause 22.4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304" w:right="20" w:hanging="535"/>
        <w:spacing w:after="0" w:line="279" w:lineRule="auto"/>
        <w:tabs>
          <w:tab w:leader="none" w:pos="1304" w:val="left"/>
        </w:tabs>
        <w:numPr>
          <w:ilvl w:val="0"/>
          <w:numId w:val="964"/>
        </w:numPr>
        <w:rPr>
          <w:rFonts w:ascii="Arial" w:cs="Arial" w:eastAsia="Arial" w:hAnsi="Arial"/>
          <w:sz w:val="17"/>
          <w:szCs w:val="17"/>
          <w:color w:val="auto"/>
        </w:rPr>
      </w:pPr>
      <w:r>
        <w:rPr>
          <w:rFonts w:ascii="Arial" w:cs="Arial" w:eastAsia="Arial" w:hAnsi="Arial"/>
          <w:sz w:val="17"/>
          <w:szCs w:val="17"/>
          <w:color w:val="auto"/>
        </w:rPr>
        <w:t>The Repeating Representations and each of the representations and warranties set out in Clause 21.9 (</w:t>
      </w:r>
      <w:r>
        <w:rPr>
          <w:rFonts w:ascii="Arial" w:cs="Arial" w:eastAsia="Arial" w:hAnsi="Arial"/>
          <w:sz w:val="17"/>
          <w:szCs w:val="17"/>
          <w:i w:val="1"/>
          <w:iCs w:val="1"/>
          <w:color w:val="auto"/>
        </w:rPr>
        <w:t>No filing or stamp taxes</w:t>
      </w:r>
      <w:r>
        <w:rPr>
          <w:rFonts w:ascii="Arial" w:cs="Arial" w:eastAsia="Arial" w:hAnsi="Arial"/>
          <w:sz w:val="17"/>
          <w:szCs w:val="17"/>
          <w:color w:val="auto"/>
        </w:rPr>
        <w:t>), Clause 21.10 (</w:t>
      </w:r>
      <w:r>
        <w:rPr>
          <w:rFonts w:ascii="Arial" w:cs="Arial" w:eastAsia="Arial" w:hAnsi="Arial"/>
          <w:sz w:val="17"/>
          <w:szCs w:val="17"/>
          <w:i w:val="1"/>
          <w:iCs w:val="1"/>
          <w:color w:val="auto"/>
        </w:rPr>
        <w:t>Deduction of Tax</w:t>
      </w:r>
      <w:r>
        <w:rPr>
          <w:rFonts w:ascii="Arial" w:cs="Arial" w:eastAsia="Arial" w:hAnsi="Arial"/>
          <w:sz w:val="17"/>
          <w:szCs w:val="17"/>
          <w:color w:val="auto"/>
        </w:rPr>
        <w:t>) and paragraph (a) of Clause 21.14 (</w:t>
      </w:r>
      <w:r>
        <w:rPr>
          <w:rFonts w:ascii="Arial" w:cs="Arial" w:eastAsia="Arial" w:hAnsi="Arial"/>
          <w:sz w:val="17"/>
          <w:szCs w:val="17"/>
          <w:i w:val="1"/>
          <w:iCs w:val="1"/>
          <w:color w:val="auto"/>
        </w:rPr>
        <w:t>Financial statements</w:t>
      </w:r>
      <w:r>
        <w:rPr>
          <w:rFonts w:ascii="Arial" w:cs="Arial" w:eastAsia="Arial" w:hAnsi="Arial"/>
          <w:sz w:val="17"/>
          <w:szCs w:val="17"/>
          <w:color w:val="auto"/>
        </w:rPr>
        <w:t>) (as if such representation applied to the financial statements delivered by that Additional Guarantor as a condition precedent to its accession to this Agreement) are deemed to be made by each Additional Guarantor on the day on which it becomes an Additional Guarantor.</w:t>
      </w:r>
    </w:p>
    <w:p>
      <w:pPr>
        <w:spacing w:after="0" w:line="76" w:lineRule="exact"/>
        <w:rPr>
          <w:rFonts w:ascii="Arial" w:cs="Arial" w:eastAsia="Arial" w:hAnsi="Arial"/>
          <w:sz w:val="17"/>
          <w:szCs w:val="17"/>
          <w:color w:val="auto"/>
        </w:rPr>
      </w:pPr>
    </w:p>
    <w:p>
      <w:pPr>
        <w:jc w:val="both"/>
        <w:ind w:left="1304" w:right="180" w:hanging="535"/>
        <w:spacing w:after="0" w:line="263" w:lineRule="auto"/>
        <w:tabs>
          <w:tab w:leader="none" w:pos="1304" w:val="left"/>
        </w:tabs>
        <w:numPr>
          <w:ilvl w:val="0"/>
          <w:numId w:val="964"/>
        </w:numPr>
        <w:rPr>
          <w:rFonts w:ascii="Arial" w:cs="Arial" w:eastAsia="Arial" w:hAnsi="Arial"/>
          <w:sz w:val="18"/>
          <w:szCs w:val="18"/>
          <w:color w:val="auto"/>
        </w:rPr>
      </w:pPr>
      <w:r>
        <w:rPr>
          <w:rFonts w:ascii="Arial" w:cs="Arial" w:eastAsia="Arial" w:hAnsi="Arial"/>
          <w:sz w:val="18"/>
          <w:szCs w:val="18"/>
          <w:color w:val="auto"/>
        </w:rPr>
        <w:t>Each representation or warranty made or deemed to be made after the date of the 2016 Amendment and Restatement Effective Date shall be made or deemed to be made by reference to the facts and circumstances existing at the date the representation or warranty is made or deemed to be made.</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Status</w:t>
      </w:r>
    </w:p>
    <w:p>
      <w:pPr>
        <w:spacing w:after="0" w:line="135" w:lineRule="exact"/>
        <w:rPr>
          <w:sz w:val="20"/>
          <w:szCs w:val="20"/>
          <w:color w:val="auto"/>
        </w:rPr>
      </w:pPr>
    </w:p>
    <w:p>
      <w:pPr>
        <w:ind w:left="1304" w:right="340" w:hanging="535"/>
        <w:spacing w:after="0" w:line="277" w:lineRule="auto"/>
        <w:tabs>
          <w:tab w:leader="none" w:pos="1304" w:val="left"/>
        </w:tabs>
        <w:numPr>
          <w:ilvl w:val="0"/>
          <w:numId w:val="965"/>
        </w:numPr>
        <w:rPr>
          <w:rFonts w:ascii="Arial" w:cs="Arial" w:eastAsia="Arial" w:hAnsi="Arial"/>
          <w:sz w:val="18"/>
          <w:szCs w:val="18"/>
          <w:color w:val="auto"/>
        </w:rPr>
      </w:pPr>
      <w:r>
        <w:rPr>
          <w:rFonts w:ascii="Arial" w:cs="Arial" w:eastAsia="Arial" w:hAnsi="Arial"/>
          <w:sz w:val="18"/>
          <w:szCs w:val="18"/>
          <w:color w:val="auto"/>
        </w:rPr>
        <w:t>Each Obligor is a limited liability corporation or company duly incorporated or organised, as the case may be, and validly existing under the law of its jurisdiction of incorporation or organisation, as the case may be.</w:t>
      </w:r>
    </w:p>
    <w:p>
      <w:pPr>
        <w:spacing w:after="0" w:line="75" w:lineRule="exact"/>
        <w:rPr>
          <w:rFonts w:ascii="Arial" w:cs="Arial" w:eastAsia="Arial" w:hAnsi="Arial"/>
          <w:sz w:val="18"/>
          <w:szCs w:val="18"/>
          <w:color w:val="auto"/>
        </w:rPr>
      </w:pPr>
    </w:p>
    <w:p>
      <w:pPr>
        <w:ind w:left="1304" w:hanging="535"/>
        <w:spacing w:after="0"/>
        <w:tabs>
          <w:tab w:leader="none" w:pos="1304" w:val="left"/>
        </w:tabs>
        <w:numPr>
          <w:ilvl w:val="0"/>
          <w:numId w:val="965"/>
        </w:numPr>
        <w:rPr>
          <w:rFonts w:ascii="Arial" w:cs="Arial" w:eastAsia="Arial" w:hAnsi="Arial"/>
          <w:sz w:val="18"/>
          <w:szCs w:val="18"/>
          <w:color w:val="auto"/>
        </w:rPr>
      </w:pPr>
      <w:r>
        <w:rPr>
          <w:rFonts w:ascii="Arial" w:cs="Arial" w:eastAsia="Arial" w:hAnsi="Arial"/>
          <w:sz w:val="18"/>
          <w:szCs w:val="18"/>
          <w:color w:val="auto"/>
        </w:rPr>
        <w:t>Each of the Obligors has the power to own its assets and carry on its business as it is being conducted.</w:t>
      </w:r>
    </w:p>
    <w:p>
      <w:pPr>
        <w:spacing w:after="0" w:line="37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Binding obligations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Subject to the Legal Reservations:</w:t>
      </w:r>
    </w:p>
    <w:p>
      <w:pPr>
        <w:spacing w:after="0" w:line="131" w:lineRule="exact"/>
        <w:rPr>
          <w:sz w:val="20"/>
          <w:szCs w:val="20"/>
          <w:color w:val="auto"/>
        </w:rPr>
      </w:pPr>
    </w:p>
    <w:p>
      <w:pPr>
        <w:ind w:left="1304" w:right="120" w:hanging="535"/>
        <w:spacing w:after="0" w:line="277" w:lineRule="auto"/>
        <w:tabs>
          <w:tab w:leader="none" w:pos="1304" w:val="left"/>
        </w:tabs>
        <w:numPr>
          <w:ilvl w:val="0"/>
          <w:numId w:val="966"/>
        </w:numPr>
        <w:rPr>
          <w:rFonts w:ascii="Arial" w:cs="Arial" w:eastAsia="Arial" w:hAnsi="Arial"/>
          <w:sz w:val="18"/>
          <w:szCs w:val="18"/>
          <w:color w:val="auto"/>
        </w:rPr>
      </w:pPr>
      <w:r>
        <w:rPr>
          <w:rFonts w:ascii="Arial" w:cs="Arial" w:eastAsia="Arial" w:hAnsi="Arial"/>
          <w:sz w:val="18"/>
          <w:szCs w:val="18"/>
          <w:color w:val="auto"/>
        </w:rPr>
        <w:t>the obligations expressed to be assumed by each Obligor in each Transaction Document to which it is a party are legal, valid, binding and enforceable obligations; and</w:t>
      </w:r>
    </w:p>
    <w:p>
      <w:pPr>
        <w:spacing w:after="0" w:line="75" w:lineRule="exact"/>
        <w:rPr>
          <w:rFonts w:ascii="Arial" w:cs="Arial" w:eastAsia="Arial" w:hAnsi="Arial"/>
          <w:sz w:val="18"/>
          <w:szCs w:val="18"/>
          <w:color w:val="auto"/>
        </w:rPr>
      </w:pPr>
    </w:p>
    <w:p>
      <w:pPr>
        <w:ind w:left="1304" w:right="160" w:hanging="535"/>
        <w:spacing w:after="0" w:line="342" w:lineRule="auto"/>
        <w:tabs>
          <w:tab w:leader="none" w:pos="1304" w:val="left"/>
        </w:tabs>
        <w:numPr>
          <w:ilvl w:val="0"/>
          <w:numId w:val="966"/>
        </w:numPr>
        <w:rPr>
          <w:rFonts w:ascii="Arial" w:cs="Arial" w:eastAsia="Arial" w:hAnsi="Arial"/>
          <w:sz w:val="16"/>
          <w:szCs w:val="16"/>
          <w:color w:val="auto"/>
        </w:rPr>
      </w:pPr>
      <w:r>
        <w:rPr>
          <w:rFonts w:ascii="Arial" w:cs="Arial" w:eastAsia="Arial" w:hAnsi="Arial"/>
          <w:sz w:val="16"/>
          <w:szCs w:val="16"/>
          <w:color w:val="auto"/>
        </w:rPr>
        <w:t>without limiting the generality of paragraph (a) above, each Transaction Security Document to which it is a party creates the security interests which that Transaction Security Document purports to create and those security interests are valid and effective.</w:t>
      </w:r>
    </w:p>
    <w:p>
      <w:pPr>
        <w:spacing w:after="0" w:line="56"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80" w:name="page681"/>
    <w:bookmarkEnd w:id="680"/>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21.4</w:t>
      </w:r>
      <w:r>
        <w:rPr>
          <w:sz w:val="20"/>
          <w:szCs w:val="20"/>
          <w:color w:val="auto"/>
        </w:rPr>
        <w:tab/>
      </w:r>
      <w:r>
        <w:rPr>
          <w:rFonts w:ascii="Arial" w:cs="Arial" w:eastAsia="Arial" w:hAnsi="Arial"/>
          <w:sz w:val="16"/>
          <w:szCs w:val="16"/>
          <w:b w:val="1"/>
          <w:bCs w:val="1"/>
          <w:color w:val="auto"/>
        </w:rPr>
        <w:t>Pari Passu</w:t>
      </w:r>
    </w:p>
    <w:p>
      <w:pPr>
        <w:spacing w:after="0" w:line="121" w:lineRule="exact"/>
        <w:rPr>
          <w:sz w:val="20"/>
          <w:szCs w:val="20"/>
          <w:color w:val="auto"/>
        </w:rPr>
      </w:pPr>
    </w:p>
    <w:p>
      <w:pPr>
        <w:ind w:left="760" w:right="660"/>
        <w:spacing w:after="0" w:line="342" w:lineRule="auto"/>
        <w:rPr>
          <w:sz w:val="20"/>
          <w:szCs w:val="20"/>
          <w:color w:val="auto"/>
        </w:rPr>
      </w:pPr>
      <w:r>
        <w:rPr>
          <w:rFonts w:ascii="Arial" w:cs="Arial" w:eastAsia="Arial" w:hAnsi="Arial"/>
          <w:sz w:val="16"/>
          <w:szCs w:val="16"/>
          <w:color w:val="auto"/>
        </w:rPr>
        <w:t xml:space="preserve">The payment obligations under the Finance Documents of each of the Obligors rank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claims of all its other unsecured and unsubordinated creditors, except for obligations mandatorily preferred by law applying to companies generally.</w:t>
      </w:r>
    </w:p>
    <w:p>
      <w:pPr>
        <w:spacing w:after="0" w:line="2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Non-conflict with other obligations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entry into and performance by each Obligor of, and the transactions contemplated by, the Transaction Documents and the granting of the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Transaction Security do not and will not conflict with:</w:t>
      </w:r>
    </w:p>
    <w:p>
      <w:pPr>
        <w:spacing w:after="0" w:line="116" w:lineRule="exact"/>
        <w:rPr>
          <w:sz w:val="20"/>
          <w:szCs w:val="20"/>
          <w:color w:val="auto"/>
        </w:rPr>
      </w:pPr>
    </w:p>
    <w:p>
      <w:pPr>
        <w:ind w:left="1300" w:hanging="535"/>
        <w:spacing w:after="0"/>
        <w:tabs>
          <w:tab w:leader="none" w:pos="1300" w:val="left"/>
        </w:tabs>
        <w:numPr>
          <w:ilvl w:val="0"/>
          <w:numId w:val="967"/>
        </w:numPr>
        <w:rPr>
          <w:rFonts w:ascii="Arial" w:cs="Arial" w:eastAsia="Arial" w:hAnsi="Arial"/>
          <w:sz w:val="18"/>
          <w:szCs w:val="18"/>
          <w:color w:val="auto"/>
        </w:rPr>
      </w:pPr>
      <w:r>
        <w:rPr>
          <w:rFonts w:ascii="Arial" w:cs="Arial" w:eastAsia="Arial" w:hAnsi="Arial"/>
          <w:sz w:val="18"/>
          <w:szCs w:val="18"/>
          <w:color w:val="auto"/>
        </w:rPr>
        <w:t>any law or regulation applicable to such Obligor;</w:t>
      </w:r>
    </w:p>
    <w:p>
      <w:pPr>
        <w:spacing w:after="0" w:line="130" w:lineRule="exact"/>
        <w:rPr>
          <w:rFonts w:ascii="Arial" w:cs="Arial" w:eastAsia="Arial" w:hAnsi="Arial"/>
          <w:sz w:val="18"/>
          <w:szCs w:val="18"/>
          <w:color w:val="auto"/>
        </w:rPr>
      </w:pPr>
    </w:p>
    <w:p>
      <w:pPr>
        <w:ind w:left="1300" w:hanging="535"/>
        <w:spacing w:after="0"/>
        <w:tabs>
          <w:tab w:leader="none" w:pos="1300" w:val="left"/>
        </w:tabs>
        <w:numPr>
          <w:ilvl w:val="0"/>
          <w:numId w:val="967"/>
        </w:numPr>
        <w:rPr>
          <w:rFonts w:ascii="Arial" w:cs="Arial" w:eastAsia="Arial" w:hAnsi="Arial"/>
          <w:sz w:val="18"/>
          <w:szCs w:val="18"/>
          <w:color w:val="auto"/>
        </w:rPr>
      </w:pPr>
      <w:r>
        <w:rPr>
          <w:rFonts w:ascii="Arial" w:cs="Arial" w:eastAsia="Arial" w:hAnsi="Arial"/>
          <w:sz w:val="18"/>
          <w:szCs w:val="18"/>
          <w:color w:val="auto"/>
        </w:rPr>
        <w:t>its Constitutional Documents; or</w:t>
      </w:r>
    </w:p>
    <w:p>
      <w:pPr>
        <w:spacing w:after="0" w:line="130" w:lineRule="exact"/>
        <w:rPr>
          <w:rFonts w:ascii="Arial" w:cs="Arial" w:eastAsia="Arial" w:hAnsi="Arial"/>
          <w:sz w:val="18"/>
          <w:szCs w:val="18"/>
          <w:color w:val="auto"/>
        </w:rPr>
      </w:pPr>
    </w:p>
    <w:p>
      <w:pPr>
        <w:ind w:left="1300" w:right="260" w:hanging="535"/>
        <w:spacing w:after="0" w:line="342" w:lineRule="auto"/>
        <w:tabs>
          <w:tab w:leader="none" w:pos="1300" w:val="left"/>
        </w:tabs>
        <w:numPr>
          <w:ilvl w:val="0"/>
          <w:numId w:val="967"/>
        </w:numPr>
        <w:rPr>
          <w:rFonts w:ascii="Arial" w:cs="Arial" w:eastAsia="Arial" w:hAnsi="Arial"/>
          <w:sz w:val="16"/>
          <w:szCs w:val="16"/>
          <w:color w:val="auto"/>
        </w:rPr>
      </w:pPr>
      <w:r>
        <w:rPr>
          <w:rFonts w:ascii="Arial" w:cs="Arial" w:eastAsia="Arial" w:hAnsi="Arial"/>
          <w:sz w:val="16"/>
          <w:szCs w:val="16"/>
          <w:color w:val="auto"/>
        </w:rPr>
        <w:t>any agreement or instrument binding upon it or any of assets or constitute a default or termination event (however described) under any such agreement or instrument, except where a Material Adverse Effect does not or would not be reasonably expected to occur.</w:t>
      </w:r>
    </w:p>
    <w:p>
      <w:pPr>
        <w:spacing w:after="0" w:line="2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Power and authority</w:t>
      </w:r>
    </w:p>
    <w:p>
      <w:pPr>
        <w:spacing w:after="0" w:line="121" w:lineRule="exact"/>
        <w:rPr>
          <w:sz w:val="20"/>
          <w:szCs w:val="20"/>
          <w:color w:val="auto"/>
        </w:rPr>
      </w:pPr>
    </w:p>
    <w:p>
      <w:pPr>
        <w:ind w:left="760" w:right="140"/>
        <w:spacing w:after="0" w:line="263" w:lineRule="auto"/>
        <w:rPr>
          <w:sz w:val="20"/>
          <w:szCs w:val="20"/>
          <w:color w:val="auto"/>
        </w:rPr>
      </w:pPr>
      <w:r>
        <w:rPr>
          <w:rFonts w:ascii="Arial" w:cs="Arial" w:eastAsia="Arial" w:hAnsi="Arial"/>
          <w:sz w:val="18"/>
          <w:szCs w:val="18"/>
          <w:color w:val="auto"/>
        </w:rPr>
        <w:t>Each Obligor has the power to enter into, perform and deliver, and if that Obligor is a corporation has taken all necessary corporate action to authorise its entry into, performance and delivery of, the Transaction Documents to which it is or will be a party and the transactions contemplated by those Transaction Documents.</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Validity and admissibility in evidence</w:t>
      </w:r>
    </w:p>
    <w:p>
      <w:pPr>
        <w:spacing w:after="0" w:line="135" w:lineRule="exact"/>
        <w:rPr>
          <w:sz w:val="20"/>
          <w:szCs w:val="20"/>
          <w:color w:val="auto"/>
        </w:rPr>
      </w:pPr>
    </w:p>
    <w:p>
      <w:pPr>
        <w:ind w:left="1300" w:hanging="535"/>
        <w:spacing w:after="0"/>
        <w:tabs>
          <w:tab w:leader="none" w:pos="1300" w:val="left"/>
        </w:tabs>
        <w:numPr>
          <w:ilvl w:val="0"/>
          <w:numId w:val="968"/>
        </w:numPr>
        <w:rPr>
          <w:rFonts w:ascii="Arial" w:cs="Arial" w:eastAsia="Arial" w:hAnsi="Arial"/>
          <w:sz w:val="18"/>
          <w:szCs w:val="18"/>
          <w:color w:val="auto"/>
        </w:rPr>
      </w:pPr>
      <w:r>
        <w:rPr>
          <w:rFonts w:ascii="Arial" w:cs="Arial" w:eastAsia="Arial" w:hAnsi="Arial"/>
          <w:sz w:val="18"/>
          <w:szCs w:val="18"/>
          <w:color w:val="auto"/>
        </w:rPr>
        <w:t>All Authorisations required:</w:t>
      </w:r>
    </w:p>
    <w:p>
      <w:pPr>
        <w:spacing w:after="0" w:line="130" w:lineRule="exact"/>
        <w:rPr>
          <w:rFonts w:ascii="Arial" w:cs="Arial" w:eastAsia="Arial" w:hAnsi="Arial"/>
          <w:sz w:val="18"/>
          <w:szCs w:val="18"/>
          <w:color w:val="auto"/>
        </w:rPr>
      </w:pPr>
    </w:p>
    <w:p>
      <w:pPr>
        <w:ind w:left="1960" w:right="600" w:hanging="655"/>
        <w:spacing w:after="0" w:line="277" w:lineRule="auto"/>
        <w:tabs>
          <w:tab w:leader="none" w:pos="1960" w:val="left"/>
        </w:tabs>
        <w:numPr>
          <w:ilvl w:val="1"/>
          <w:numId w:val="968"/>
        </w:numPr>
        <w:rPr>
          <w:rFonts w:ascii="Arial" w:cs="Arial" w:eastAsia="Arial" w:hAnsi="Arial"/>
          <w:sz w:val="18"/>
          <w:szCs w:val="18"/>
          <w:color w:val="auto"/>
        </w:rPr>
      </w:pPr>
      <w:r>
        <w:rPr>
          <w:rFonts w:ascii="Arial" w:cs="Arial" w:eastAsia="Arial" w:hAnsi="Arial"/>
          <w:sz w:val="18"/>
          <w:szCs w:val="18"/>
          <w:color w:val="auto"/>
        </w:rPr>
        <w:t>to enable each Obligor lawfully to enter into, exercise its rights and comply with its obligations under the Transaction Documents to which it is a party; and</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968"/>
        </w:numPr>
        <w:rPr>
          <w:rFonts w:ascii="Arial" w:cs="Arial" w:eastAsia="Arial" w:hAnsi="Arial"/>
          <w:sz w:val="18"/>
          <w:szCs w:val="18"/>
          <w:color w:val="auto"/>
        </w:rPr>
      </w:pPr>
      <w:r>
        <w:rPr>
          <w:rFonts w:ascii="Arial" w:cs="Arial" w:eastAsia="Arial" w:hAnsi="Arial"/>
          <w:sz w:val="18"/>
          <w:szCs w:val="18"/>
          <w:color w:val="auto"/>
        </w:rPr>
        <w:t>to make the Transaction Documents to which it is a party admissible in evidence in its Relevant Jurisdictions,</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131" w:lineRule="exact"/>
        <w:rPr>
          <w:sz w:val="20"/>
          <w:szCs w:val="20"/>
          <w:color w:val="auto"/>
        </w:rPr>
      </w:pPr>
    </w:p>
    <w:p>
      <w:pPr>
        <w:ind w:left="1300" w:right="820" w:hanging="535"/>
        <w:spacing w:after="0" w:line="342" w:lineRule="auto"/>
        <w:tabs>
          <w:tab w:leader="none" w:pos="1300" w:val="left"/>
        </w:tabs>
        <w:numPr>
          <w:ilvl w:val="0"/>
          <w:numId w:val="969"/>
        </w:numPr>
        <w:rPr>
          <w:rFonts w:ascii="Arial" w:cs="Arial" w:eastAsia="Arial" w:hAnsi="Arial"/>
          <w:sz w:val="16"/>
          <w:szCs w:val="16"/>
          <w:color w:val="auto"/>
        </w:rPr>
      </w:pPr>
      <w:r>
        <w:rPr>
          <w:rFonts w:ascii="Arial" w:cs="Arial" w:eastAsia="Arial" w:hAnsi="Arial"/>
          <w:sz w:val="16"/>
          <w:szCs w:val="16"/>
          <w:color w:val="auto"/>
        </w:rPr>
        <w:t>All Authorisations necessary for it to carry out its business, where the failure of obtaining such Authorisations has or would reasonably be expected to have a Material Adverse Effect, have been obtained or effected and are in full force and effect.</w:t>
      </w:r>
    </w:p>
    <w:p>
      <w:pPr>
        <w:spacing w:after="0" w:line="2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Governing law and enforcement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Subject to the Legal Reservations:</w:t>
      </w:r>
    </w:p>
    <w:p>
      <w:pPr>
        <w:spacing w:after="0" w:line="131" w:lineRule="exact"/>
        <w:rPr>
          <w:sz w:val="20"/>
          <w:szCs w:val="20"/>
          <w:color w:val="auto"/>
        </w:rPr>
      </w:pPr>
    </w:p>
    <w:p>
      <w:pPr>
        <w:ind w:left="1300" w:hanging="535"/>
        <w:spacing w:after="0"/>
        <w:tabs>
          <w:tab w:leader="none" w:pos="1300" w:val="left"/>
        </w:tabs>
        <w:numPr>
          <w:ilvl w:val="0"/>
          <w:numId w:val="970"/>
        </w:numPr>
        <w:rPr>
          <w:rFonts w:ascii="Arial" w:cs="Arial" w:eastAsia="Arial" w:hAnsi="Arial"/>
          <w:sz w:val="16"/>
          <w:szCs w:val="16"/>
          <w:color w:val="auto"/>
        </w:rPr>
      </w:pPr>
      <w:r>
        <w:rPr>
          <w:rFonts w:ascii="Arial" w:cs="Arial" w:eastAsia="Arial" w:hAnsi="Arial"/>
          <w:sz w:val="16"/>
          <w:szCs w:val="16"/>
          <w:color w:val="auto"/>
        </w:rPr>
        <w:t>the choice of governing law of the Finance Documents will be recognised and enforced in each Obligor’s Relevant Jurisdictions; and</w:t>
      </w:r>
    </w:p>
    <w:p>
      <w:pPr>
        <w:spacing w:after="0" w:line="153" w:lineRule="exact"/>
        <w:rPr>
          <w:rFonts w:ascii="Arial" w:cs="Arial" w:eastAsia="Arial" w:hAnsi="Arial"/>
          <w:sz w:val="16"/>
          <w:szCs w:val="16"/>
          <w:color w:val="auto"/>
        </w:rPr>
      </w:pPr>
    </w:p>
    <w:p>
      <w:pPr>
        <w:ind w:left="1300" w:right="260" w:hanging="535"/>
        <w:spacing w:after="0" w:line="277" w:lineRule="auto"/>
        <w:tabs>
          <w:tab w:leader="none" w:pos="1300" w:val="left"/>
        </w:tabs>
        <w:numPr>
          <w:ilvl w:val="0"/>
          <w:numId w:val="970"/>
        </w:numPr>
        <w:rPr>
          <w:rFonts w:ascii="Arial" w:cs="Arial" w:eastAsia="Arial" w:hAnsi="Arial"/>
          <w:sz w:val="18"/>
          <w:szCs w:val="18"/>
          <w:color w:val="auto"/>
        </w:rPr>
      </w:pPr>
      <w:r>
        <w:rPr>
          <w:rFonts w:ascii="Arial" w:cs="Arial" w:eastAsia="Arial" w:hAnsi="Arial"/>
          <w:sz w:val="18"/>
          <w:szCs w:val="18"/>
          <w:color w:val="auto"/>
        </w:rPr>
        <w:t>any judgment obtained in relation to a Finance Document in the jurisdiction of the governing law of that Finance Document will be recognised and enforced in its Relevant Jurisdictions.</w:t>
      </w:r>
    </w:p>
    <w:p>
      <w:pPr>
        <w:spacing w:after="0" w:line="103"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81" w:name="page682"/>
    <w:bookmarkEnd w:id="681"/>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21.9</w:t>
      </w:r>
      <w:r>
        <w:rPr>
          <w:sz w:val="20"/>
          <w:szCs w:val="20"/>
          <w:color w:val="auto"/>
        </w:rPr>
        <w:tab/>
      </w:r>
      <w:r>
        <w:rPr>
          <w:rFonts w:ascii="Arial" w:cs="Arial" w:eastAsia="Arial" w:hAnsi="Arial"/>
          <w:sz w:val="16"/>
          <w:szCs w:val="16"/>
          <w:b w:val="1"/>
          <w:bCs w:val="1"/>
          <w:color w:val="auto"/>
        </w:rPr>
        <w:t>No filing or stamp taxes</w:t>
      </w:r>
    </w:p>
    <w:p>
      <w:pPr>
        <w:spacing w:after="0" w:line="121" w:lineRule="exact"/>
        <w:rPr>
          <w:sz w:val="20"/>
          <w:szCs w:val="20"/>
          <w:color w:val="auto"/>
        </w:rPr>
      </w:pPr>
    </w:p>
    <w:p>
      <w:pPr>
        <w:ind w:left="760" w:right="60"/>
        <w:spacing w:after="0" w:line="273" w:lineRule="auto"/>
        <w:rPr>
          <w:sz w:val="20"/>
          <w:szCs w:val="20"/>
          <w:color w:val="auto"/>
        </w:rPr>
      </w:pPr>
      <w:r>
        <w:rPr>
          <w:rFonts w:ascii="Arial" w:cs="Arial" w:eastAsia="Arial" w:hAnsi="Arial"/>
          <w:sz w:val="17"/>
          <w:szCs w:val="17"/>
          <w:color w:val="auto"/>
        </w:rPr>
        <w:t>Subject to the Legal Reservations, under the laws of each Obligor’s Relevant Jurisdictions it is not necessary that the Finance Documents be filed, recorded or enrolled with any court or other authority in that jurisdiction or that any stamp, registration, notarial or similar Taxes or fees be paid on or in relation to the Finance Documents or the transactions contemplated by the Finance Documents (save for any stamp, registration, notarial or similar Tax which is referred to in any legal opinion of legal counsel in Macau SAR delivered to the Agent under the 2016 Amendment and Restatement Agreement or the 2021 Amendment and Restatement Agreement, which will be made or paid promptly after the date of the relevant Finance Document).</w:t>
      </w:r>
    </w:p>
    <w:p>
      <w:pPr>
        <w:spacing w:after="0" w:line="32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21.10</w:t>
      </w:r>
      <w:r>
        <w:rPr>
          <w:sz w:val="20"/>
          <w:szCs w:val="20"/>
          <w:color w:val="auto"/>
        </w:rPr>
        <w:tab/>
      </w:r>
      <w:r>
        <w:rPr>
          <w:rFonts w:ascii="Arial" w:cs="Arial" w:eastAsia="Arial" w:hAnsi="Arial"/>
          <w:sz w:val="16"/>
          <w:szCs w:val="16"/>
          <w:b w:val="1"/>
          <w:bCs w:val="1"/>
          <w:color w:val="auto"/>
        </w:rPr>
        <w:t>Deduction of Tax</w:t>
      </w:r>
    </w:p>
    <w:p>
      <w:pPr>
        <w:spacing w:after="0" w:line="121" w:lineRule="exact"/>
        <w:rPr>
          <w:sz w:val="20"/>
          <w:szCs w:val="20"/>
          <w:color w:val="auto"/>
        </w:rPr>
      </w:pPr>
    </w:p>
    <w:p>
      <w:pPr>
        <w:ind w:left="760" w:right="200"/>
        <w:spacing w:after="0" w:line="277" w:lineRule="auto"/>
        <w:rPr>
          <w:sz w:val="20"/>
          <w:szCs w:val="20"/>
          <w:color w:val="auto"/>
        </w:rPr>
      </w:pPr>
      <w:r>
        <w:rPr>
          <w:rFonts w:ascii="Arial" w:cs="Arial" w:eastAsia="Arial" w:hAnsi="Arial"/>
          <w:sz w:val="18"/>
          <w:szCs w:val="18"/>
          <w:color w:val="auto"/>
        </w:rPr>
        <w:t>No Obligor is required under the laws of its Relevant Jurisdiction or at its address specified in accordance with this Agreement to make any deduction for or on account of Tax from any payment it may make under any Finance Document.</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6"/>
          <w:szCs w:val="16"/>
          <w:b w:val="1"/>
          <w:bCs w:val="1"/>
          <w:color w:val="auto"/>
        </w:rPr>
        <w:t>No default</w:t>
      </w:r>
    </w:p>
    <w:p>
      <w:pPr>
        <w:spacing w:after="0" w:line="135" w:lineRule="exact"/>
        <w:rPr>
          <w:sz w:val="20"/>
          <w:szCs w:val="20"/>
          <w:color w:val="auto"/>
        </w:rPr>
      </w:pPr>
    </w:p>
    <w:p>
      <w:pPr>
        <w:ind w:left="1300" w:right="220" w:hanging="535"/>
        <w:spacing w:after="0" w:line="277" w:lineRule="auto"/>
        <w:tabs>
          <w:tab w:leader="none" w:pos="1300" w:val="left"/>
        </w:tabs>
        <w:numPr>
          <w:ilvl w:val="0"/>
          <w:numId w:val="971"/>
        </w:numPr>
        <w:rPr>
          <w:rFonts w:ascii="Arial" w:cs="Arial" w:eastAsia="Arial" w:hAnsi="Arial"/>
          <w:sz w:val="18"/>
          <w:szCs w:val="18"/>
          <w:color w:val="auto"/>
        </w:rPr>
      </w:pPr>
      <w:r>
        <w:rPr>
          <w:rFonts w:ascii="Arial" w:cs="Arial" w:eastAsia="Arial" w:hAnsi="Arial"/>
          <w:sz w:val="18"/>
          <w:szCs w:val="18"/>
          <w:color w:val="auto"/>
        </w:rPr>
        <w:t>No Event of Default is continuing or would reasonably be expected to result from the making of any utilisation or the entry into, the performance of, or any transaction contemplated by, any Transaction Document.</w:t>
      </w:r>
    </w:p>
    <w:p>
      <w:pPr>
        <w:spacing w:after="0" w:line="75" w:lineRule="exact"/>
        <w:rPr>
          <w:rFonts w:ascii="Arial" w:cs="Arial" w:eastAsia="Arial" w:hAnsi="Arial"/>
          <w:sz w:val="18"/>
          <w:szCs w:val="18"/>
          <w:color w:val="auto"/>
        </w:rPr>
      </w:pPr>
    </w:p>
    <w:p>
      <w:pPr>
        <w:ind w:left="1300" w:right="40" w:hanging="535"/>
        <w:spacing w:after="0" w:line="259" w:lineRule="auto"/>
        <w:tabs>
          <w:tab w:leader="none" w:pos="1300" w:val="left"/>
        </w:tabs>
        <w:numPr>
          <w:ilvl w:val="0"/>
          <w:numId w:val="971"/>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to which its assets are subject which has or would reasonably be expected to have a Material Adverse Effect.</w:t>
      </w:r>
    </w:p>
    <w:p>
      <w:pPr>
        <w:spacing w:after="0" w:line="3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16"/>
          <w:szCs w:val="16"/>
          <w:b w:val="1"/>
          <w:bCs w:val="1"/>
          <w:color w:val="auto"/>
        </w:rPr>
        <w:t>Taxation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 Obligor is materially overdue in the filing of any Tax returns nor is any Obligor overdue in the payment of any amount in respect of Tax,</w:t>
      </w:r>
    </w:p>
    <w:p>
      <w:pPr>
        <w:spacing w:after="0" w:line="46" w:lineRule="exact"/>
        <w:rPr>
          <w:sz w:val="20"/>
          <w:szCs w:val="20"/>
          <w:color w:val="auto"/>
        </w:rPr>
      </w:pPr>
    </w:p>
    <w:p>
      <w:pPr>
        <w:ind w:left="760" w:right="20" w:firstLine="7"/>
        <w:spacing w:after="0" w:line="255" w:lineRule="auto"/>
        <w:tabs>
          <w:tab w:leader="none" w:pos="1005" w:val="left"/>
        </w:tabs>
        <w:numPr>
          <w:ilvl w:val="0"/>
          <w:numId w:val="972"/>
        </w:numPr>
        <w:rPr>
          <w:rFonts w:ascii="Arial" w:cs="Arial" w:eastAsia="Arial" w:hAnsi="Arial"/>
          <w:sz w:val="18"/>
          <w:szCs w:val="18"/>
          <w:color w:val="auto"/>
        </w:rPr>
      </w:pPr>
      <w:r>
        <w:rPr>
          <w:rFonts w:ascii="Arial" w:cs="Arial" w:eastAsia="Arial" w:hAnsi="Arial"/>
          <w:sz w:val="18"/>
          <w:szCs w:val="18"/>
          <w:color w:val="auto"/>
        </w:rPr>
        <w:t>where the failure to file or pay the Tax has or would reasonably be expected to have a Material Adverse Effect or (b) unless such payment is being contested in good faith by appropriate measures and sufficient reserves in cash or other liquid assets have been retained in accordance with GAAP in respect of such payment.</w:t>
      </w:r>
    </w:p>
    <w:p>
      <w:pPr>
        <w:spacing w:after="0" w:line="33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21.13</w:t>
      </w:r>
      <w:r>
        <w:rPr>
          <w:sz w:val="20"/>
          <w:szCs w:val="20"/>
          <w:color w:val="auto"/>
        </w:rPr>
        <w:tab/>
      </w:r>
      <w:r>
        <w:rPr>
          <w:rFonts w:ascii="Arial" w:cs="Arial" w:eastAsia="Arial" w:hAnsi="Arial"/>
          <w:sz w:val="16"/>
          <w:szCs w:val="16"/>
          <w:b w:val="1"/>
          <w:bCs w:val="1"/>
          <w:color w:val="auto"/>
        </w:rPr>
        <w:t>No misleading information</w:t>
      </w:r>
    </w:p>
    <w:p>
      <w:pPr>
        <w:spacing w:after="0" w:line="121" w:lineRule="exact"/>
        <w:rPr>
          <w:sz w:val="20"/>
          <w:szCs w:val="20"/>
          <w:color w:val="auto"/>
        </w:rPr>
      </w:pPr>
    </w:p>
    <w:p>
      <w:pPr>
        <w:jc w:val="both"/>
        <w:ind w:left="760" w:right="460"/>
        <w:spacing w:after="0" w:line="263" w:lineRule="auto"/>
        <w:rPr>
          <w:sz w:val="20"/>
          <w:szCs w:val="20"/>
          <w:color w:val="auto"/>
        </w:rPr>
      </w:pPr>
      <w:r>
        <w:rPr>
          <w:rFonts w:ascii="Arial" w:cs="Arial" w:eastAsia="Arial" w:hAnsi="Arial"/>
          <w:sz w:val="18"/>
          <w:szCs w:val="18"/>
          <w:color w:val="auto"/>
        </w:rPr>
        <w:t>Except as disclosed to the Agent in writing, to the Borrower’s knowledge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limitation by reference to the Borrower’s knowledge shall not apply with respect to Information that solely relates to the Borrower and does not relate to any other member of the Group):</w:t>
      </w:r>
    </w:p>
    <w:p>
      <w:pPr>
        <w:spacing w:after="0" w:line="85" w:lineRule="exact"/>
        <w:rPr>
          <w:sz w:val="20"/>
          <w:szCs w:val="20"/>
          <w:color w:val="auto"/>
        </w:rPr>
      </w:pPr>
    </w:p>
    <w:p>
      <w:pPr>
        <w:ind w:left="1300" w:right="20" w:hanging="535"/>
        <w:spacing w:after="0" w:line="277" w:lineRule="auto"/>
        <w:tabs>
          <w:tab w:leader="none" w:pos="1300" w:val="left"/>
        </w:tabs>
        <w:numPr>
          <w:ilvl w:val="0"/>
          <w:numId w:val="973"/>
        </w:numPr>
        <w:rPr>
          <w:rFonts w:ascii="Arial" w:cs="Arial" w:eastAsia="Arial" w:hAnsi="Arial"/>
          <w:sz w:val="17"/>
          <w:szCs w:val="17"/>
          <w:color w:val="auto"/>
        </w:rPr>
      </w:pPr>
      <w:r>
        <w:rPr>
          <w:rFonts w:ascii="Arial" w:cs="Arial" w:eastAsia="Arial" w:hAnsi="Arial"/>
          <w:sz w:val="17"/>
          <w:szCs w:val="17"/>
          <w:color w:val="auto"/>
        </w:rPr>
        <w:t>any financial projection or forecast contained in the Financial Model (the “</w:t>
      </w:r>
      <w:r>
        <w:rPr>
          <w:rFonts w:ascii="Arial" w:cs="Arial" w:eastAsia="Arial" w:hAnsi="Arial"/>
          <w:sz w:val="17"/>
          <w:szCs w:val="17"/>
          <w:b w:val="1"/>
          <w:bCs w:val="1"/>
          <w:color w:val="auto"/>
        </w:rPr>
        <w:t>Projections</w:t>
      </w:r>
      <w:r>
        <w:rPr>
          <w:rFonts w:ascii="Arial" w:cs="Arial" w:eastAsia="Arial" w:hAnsi="Arial"/>
          <w:sz w:val="17"/>
          <w:szCs w:val="17"/>
          <w:color w:val="auto"/>
        </w:rPr>
        <w:t>”) have been prepared in good faith on the basis of recent historical information and on the basis of assumptions believed by the Borrower to be reasonable (as at the time of preparation) and have been prepared, where applicable, in accordance with the applicable accounting principles as disclosed to the Lenders, it being understood that the Projections are subject to significant uncertainties and contingencies many of which are beyond the control of the Group and that no assurances can be given that the Projections will be realised;</w:t>
      </w:r>
    </w:p>
    <w:p>
      <w:pPr>
        <w:spacing w:after="0" w:line="104"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82" w:name="page683"/>
    <w:bookmarkEnd w:id="682"/>
    <w:p>
      <w:pPr>
        <w:ind w:left="1300" w:right="120" w:hanging="535"/>
        <w:spacing w:after="0" w:line="286" w:lineRule="auto"/>
        <w:tabs>
          <w:tab w:leader="none" w:pos="1300" w:val="left"/>
        </w:tabs>
        <w:numPr>
          <w:ilvl w:val="0"/>
          <w:numId w:val="9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written factual information provided by any member of the Group to a Finance Party in connection with the Financial Model or the 2016 Amended and Restatement Agreement is, taken as a whole, true, complete and accurate in all material respects and is, taken as a whole, not misleading in any respect (in each case) as at the date on which such information is provided; and</w:t>
      </w:r>
    </w:p>
    <w:p>
      <w:pPr>
        <w:spacing w:after="0" w:line="70" w:lineRule="exact"/>
        <w:rPr>
          <w:rFonts w:ascii="Arial" w:cs="Arial" w:eastAsia="Arial" w:hAnsi="Arial"/>
          <w:sz w:val="17"/>
          <w:szCs w:val="17"/>
          <w:color w:val="auto"/>
        </w:rPr>
      </w:pPr>
    </w:p>
    <w:p>
      <w:pPr>
        <w:ind w:left="1300" w:right="120" w:hanging="535"/>
        <w:spacing w:after="0" w:line="259" w:lineRule="auto"/>
        <w:tabs>
          <w:tab w:leader="none" w:pos="130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all other written information provided by any member of the Group to a Finance Party pursuant to any express provision of any Finance Document on or after the 2016 Amendment and Restatement Effective Date is, taken as a whole, true, complete and accurate in all material respects and is, taken as a whole, not misleading in any respect (in each case) as at the date on which such information is provided.</w:t>
      </w:r>
    </w:p>
    <w:p>
      <w:pPr>
        <w:spacing w:after="0" w:line="3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21.14</w:t>
      </w:r>
      <w:r>
        <w:rPr>
          <w:sz w:val="20"/>
          <w:szCs w:val="20"/>
          <w:color w:val="auto"/>
        </w:rPr>
        <w:tab/>
      </w:r>
      <w:r>
        <w:rPr>
          <w:rFonts w:ascii="Arial" w:cs="Arial" w:eastAsia="Arial" w:hAnsi="Arial"/>
          <w:sz w:val="15"/>
          <w:szCs w:val="15"/>
          <w:b w:val="1"/>
          <w:bCs w:val="1"/>
          <w:color w:val="auto"/>
        </w:rPr>
        <w:t>Financial statements</w:t>
      </w:r>
    </w:p>
    <w:p>
      <w:pPr>
        <w:spacing w:after="0" w:line="135" w:lineRule="exact"/>
        <w:rPr>
          <w:sz w:val="20"/>
          <w:szCs w:val="20"/>
          <w:color w:val="auto"/>
        </w:rPr>
      </w:pPr>
    </w:p>
    <w:p>
      <w:pPr>
        <w:ind w:left="1300" w:right="100" w:hanging="535"/>
        <w:spacing w:after="0" w:line="308" w:lineRule="auto"/>
        <w:tabs>
          <w:tab w:leader="none" w:pos="1300" w:val="left"/>
        </w:tabs>
        <w:numPr>
          <w:ilvl w:val="0"/>
          <w:numId w:val="975"/>
        </w:numPr>
        <w:rPr>
          <w:rFonts w:ascii="Arial" w:cs="Arial" w:eastAsia="Arial" w:hAnsi="Arial"/>
          <w:sz w:val="17"/>
          <w:szCs w:val="17"/>
          <w:color w:val="auto"/>
        </w:rPr>
      </w:pPr>
      <w:r>
        <w:rPr>
          <w:rFonts w:ascii="Arial" w:cs="Arial" w:eastAsia="Arial" w:hAnsi="Arial"/>
          <w:sz w:val="17"/>
          <w:szCs w:val="17"/>
          <w:color w:val="auto"/>
        </w:rPr>
        <w:t>The most recent consolidated financial statements of the Parent delivered pursuant to Clause 22.4 (</w:t>
      </w:r>
      <w:r>
        <w:rPr>
          <w:rFonts w:ascii="Arial" w:cs="Arial" w:eastAsia="Arial" w:hAnsi="Arial"/>
          <w:sz w:val="17"/>
          <w:szCs w:val="17"/>
          <w:i w:val="1"/>
          <w:iCs w:val="1"/>
          <w:color w:val="auto"/>
        </w:rPr>
        <w:t>Financial statements</w:t>
      </w:r>
      <w:r>
        <w:rPr>
          <w:rFonts w:ascii="Arial" w:cs="Arial" w:eastAsia="Arial" w:hAnsi="Arial"/>
          <w:sz w:val="17"/>
          <w:szCs w:val="17"/>
          <w:color w:val="auto"/>
        </w:rPr>
        <w:t>) or otherwise pursuant to this Agreement prior to the 2016 Amendment and Restatement Agreement Effective Date:</w:t>
      </w:r>
    </w:p>
    <w:p>
      <w:pPr>
        <w:spacing w:after="0" w:line="51" w:lineRule="exact"/>
        <w:rPr>
          <w:rFonts w:ascii="Arial" w:cs="Arial" w:eastAsia="Arial" w:hAnsi="Arial"/>
          <w:sz w:val="17"/>
          <w:szCs w:val="17"/>
          <w:color w:val="auto"/>
        </w:rPr>
      </w:pPr>
    </w:p>
    <w:p>
      <w:pPr>
        <w:ind w:left="1960" w:hanging="655"/>
        <w:spacing w:after="0"/>
        <w:tabs>
          <w:tab w:leader="none" w:pos="1960" w:val="left"/>
        </w:tabs>
        <w:numPr>
          <w:ilvl w:val="1"/>
          <w:numId w:val="975"/>
        </w:numPr>
        <w:rPr>
          <w:rFonts w:ascii="Arial" w:cs="Arial" w:eastAsia="Arial" w:hAnsi="Arial"/>
          <w:sz w:val="18"/>
          <w:szCs w:val="18"/>
          <w:color w:val="auto"/>
        </w:rPr>
      </w:pPr>
      <w:r>
        <w:rPr>
          <w:rFonts w:ascii="Arial" w:cs="Arial" w:eastAsia="Arial" w:hAnsi="Arial"/>
          <w:sz w:val="18"/>
          <w:szCs w:val="18"/>
          <w:color w:val="auto"/>
        </w:rPr>
        <w:t>have been prepared in accordance with GAAP; and</w:t>
      </w:r>
    </w:p>
    <w:p>
      <w:pPr>
        <w:spacing w:after="0" w:line="130" w:lineRule="exact"/>
        <w:rPr>
          <w:rFonts w:ascii="Arial" w:cs="Arial" w:eastAsia="Arial" w:hAnsi="Arial"/>
          <w:sz w:val="18"/>
          <w:szCs w:val="18"/>
          <w:color w:val="auto"/>
        </w:rPr>
      </w:pPr>
    </w:p>
    <w:p>
      <w:pPr>
        <w:ind w:left="1960" w:right="160" w:hanging="655"/>
        <w:spacing w:after="0" w:line="277" w:lineRule="auto"/>
        <w:tabs>
          <w:tab w:leader="none" w:pos="1960" w:val="left"/>
        </w:tabs>
        <w:numPr>
          <w:ilvl w:val="1"/>
          <w:numId w:val="975"/>
        </w:numPr>
        <w:rPr>
          <w:rFonts w:ascii="Arial" w:cs="Arial" w:eastAsia="Arial" w:hAnsi="Arial"/>
          <w:sz w:val="18"/>
          <w:szCs w:val="18"/>
          <w:color w:val="auto"/>
        </w:rPr>
      </w:pPr>
      <w:r>
        <w:rPr>
          <w:rFonts w:ascii="Arial" w:cs="Arial" w:eastAsia="Arial" w:hAnsi="Arial"/>
          <w:sz w:val="18"/>
          <w:szCs w:val="18"/>
          <w:color w:val="auto"/>
        </w:rPr>
        <w:t>give a true and fair view of (if audited) or fairly represent (if unaudited) its consolidated financial condition as at the end of, and consolidated results of operations for, the period to which they relate.</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975"/>
        </w:numPr>
        <w:rPr>
          <w:rFonts w:ascii="Arial" w:cs="Arial" w:eastAsia="Arial" w:hAnsi="Arial"/>
          <w:sz w:val="18"/>
          <w:szCs w:val="18"/>
          <w:color w:val="auto"/>
        </w:rPr>
      </w:pPr>
      <w:r>
        <w:rPr>
          <w:rFonts w:ascii="Arial" w:cs="Arial" w:eastAsia="Arial" w:hAnsi="Arial"/>
          <w:sz w:val="18"/>
          <w:szCs w:val="18"/>
          <w:color w:val="auto"/>
        </w:rPr>
        <w:t>The Projections supplied under this Agreement or in connection with the 2016 Amended and Restatement Agreement:</w:t>
      </w:r>
    </w:p>
    <w:p>
      <w:pPr>
        <w:spacing w:after="0" w:line="130" w:lineRule="exact"/>
        <w:rPr>
          <w:rFonts w:ascii="Arial" w:cs="Arial" w:eastAsia="Arial" w:hAnsi="Arial"/>
          <w:sz w:val="18"/>
          <w:szCs w:val="18"/>
          <w:color w:val="auto"/>
        </w:rPr>
      </w:pPr>
    </w:p>
    <w:p>
      <w:pPr>
        <w:ind w:left="1960" w:right="60" w:hanging="655"/>
        <w:spacing w:after="0" w:line="263" w:lineRule="auto"/>
        <w:tabs>
          <w:tab w:leader="none" w:pos="1960" w:val="left"/>
        </w:tabs>
        <w:numPr>
          <w:ilvl w:val="1"/>
          <w:numId w:val="975"/>
        </w:numPr>
        <w:rPr>
          <w:rFonts w:ascii="Arial" w:cs="Arial" w:eastAsia="Arial" w:hAnsi="Arial"/>
          <w:sz w:val="18"/>
          <w:szCs w:val="18"/>
          <w:color w:val="auto"/>
        </w:rPr>
      </w:pPr>
      <w:r>
        <w:rPr>
          <w:rFonts w:ascii="Arial" w:cs="Arial" w:eastAsia="Arial" w:hAnsi="Arial"/>
          <w:sz w:val="18"/>
          <w:szCs w:val="18"/>
          <w:color w:val="auto"/>
        </w:rPr>
        <w:t>were arrived at after careful consideration and have been prepared in good faith and with due care on the basis of recent historical information and on the basis of assumptions which were reasonable as at the date they were prepared and supplied; and</w:t>
      </w:r>
    </w:p>
    <w:p>
      <w:pPr>
        <w:spacing w:after="0" w:line="89" w:lineRule="exact"/>
        <w:rPr>
          <w:rFonts w:ascii="Arial" w:cs="Arial" w:eastAsia="Arial" w:hAnsi="Arial"/>
          <w:sz w:val="18"/>
          <w:szCs w:val="18"/>
          <w:color w:val="auto"/>
        </w:rPr>
      </w:pPr>
    </w:p>
    <w:p>
      <w:pPr>
        <w:ind w:left="1960" w:right="260" w:hanging="655"/>
        <w:spacing w:after="0" w:line="277" w:lineRule="auto"/>
        <w:tabs>
          <w:tab w:leader="none" w:pos="1960" w:val="left"/>
        </w:tabs>
        <w:numPr>
          <w:ilvl w:val="1"/>
          <w:numId w:val="975"/>
        </w:numPr>
        <w:rPr>
          <w:rFonts w:ascii="Arial" w:cs="Arial" w:eastAsia="Arial" w:hAnsi="Arial"/>
          <w:sz w:val="18"/>
          <w:szCs w:val="18"/>
          <w:color w:val="auto"/>
        </w:rPr>
      </w:pPr>
      <w:r>
        <w:rPr>
          <w:rFonts w:ascii="Arial" w:cs="Arial" w:eastAsia="Arial" w:hAnsi="Arial"/>
          <w:sz w:val="18"/>
          <w:szCs w:val="18"/>
          <w:color w:val="auto"/>
        </w:rPr>
        <w:t>are consistent in all material respects with the provisions of the Transaction Documents (including Clause 22 (</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undertakings</w:t>
      </w:r>
      <w:r>
        <w:rPr>
          <w:rFonts w:ascii="Arial" w:cs="Arial" w:eastAsia="Arial" w:hAnsi="Arial"/>
          <w:sz w:val="18"/>
          <w:szCs w:val="18"/>
          <w:color w:val="auto"/>
        </w:rPr>
        <w:t>)) and the Original Financial Statements.</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975"/>
        </w:numPr>
        <w:rPr>
          <w:rFonts w:ascii="Arial" w:cs="Arial" w:eastAsia="Arial" w:hAnsi="Arial"/>
          <w:sz w:val="17"/>
          <w:szCs w:val="17"/>
          <w:color w:val="auto"/>
        </w:rPr>
      </w:pPr>
      <w:r>
        <w:rPr>
          <w:rFonts w:ascii="Arial" w:cs="Arial" w:eastAsia="Arial" w:hAnsi="Arial"/>
          <w:sz w:val="17"/>
          <w:szCs w:val="17"/>
          <w:color w:val="auto"/>
        </w:rPr>
        <w:t>Since 31 December 2015 there has been no material adverse change in the business, assets or financial condition of the Group.</w:t>
      </w:r>
    </w:p>
    <w:p>
      <w:pPr>
        <w:spacing w:after="0" w:line="3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21.15</w:t>
      </w:r>
      <w:r>
        <w:rPr>
          <w:sz w:val="20"/>
          <w:szCs w:val="20"/>
          <w:color w:val="auto"/>
        </w:rPr>
        <w:tab/>
      </w:r>
      <w:r>
        <w:rPr>
          <w:rFonts w:ascii="Arial" w:cs="Arial" w:eastAsia="Arial" w:hAnsi="Arial"/>
          <w:sz w:val="16"/>
          <w:szCs w:val="16"/>
          <w:b w:val="1"/>
          <w:bCs w:val="1"/>
          <w:color w:val="auto"/>
        </w:rPr>
        <w:t>No proceedings started or threatened</w:t>
      </w:r>
    </w:p>
    <w:p>
      <w:pPr>
        <w:spacing w:after="0" w:line="121" w:lineRule="exact"/>
        <w:rPr>
          <w:sz w:val="20"/>
          <w:szCs w:val="20"/>
          <w:color w:val="auto"/>
        </w:rPr>
      </w:pPr>
    </w:p>
    <w:p>
      <w:pPr>
        <w:ind w:left="760"/>
        <w:spacing w:after="0" w:line="275" w:lineRule="auto"/>
        <w:rPr>
          <w:sz w:val="20"/>
          <w:szCs w:val="20"/>
          <w:color w:val="auto"/>
        </w:rPr>
      </w:pPr>
      <w:r>
        <w:rPr>
          <w:rFonts w:ascii="Arial" w:cs="Arial" w:eastAsia="Arial" w:hAnsi="Arial"/>
          <w:sz w:val="17"/>
          <w:szCs w:val="17"/>
          <w:color w:val="auto"/>
        </w:rPr>
        <w:t>Save for any frivolous or vexatious claims (which, in the case of any such proceedings commenced in any jurisdiction other than Macau SAR, have been vacated, discharged, stayed or bonded pending appeal within 60 days of commencement) or save as otherwise disclosed to and accepted by the Agent, to the best of its knowledge and belief and having made due and careful enquiry, no litigation, arbitration, administrative proceedings or investigations of, or before, any court, arbitral body or other Governmental Authority which has or would reasonably be expected to have a Material Adverse Effect have been started or threatened against any Obligor.</w:t>
      </w:r>
    </w:p>
    <w:p>
      <w:pPr>
        <w:spacing w:after="0" w:line="3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21.16</w:t>
      </w:r>
      <w:r>
        <w:rPr>
          <w:sz w:val="20"/>
          <w:szCs w:val="20"/>
          <w:color w:val="auto"/>
        </w:rPr>
        <w:tab/>
      </w:r>
      <w:r>
        <w:rPr>
          <w:rFonts w:ascii="Arial" w:cs="Arial" w:eastAsia="Arial" w:hAnsi="Arial"/>
          <w:sz w:val="16"/>
          <w:szCs w:val="16"/>
          <w:b w:val="1"/>
          <w:bCs w:val="1"/>
          <w:color w:val="auto"/>
        </w:rPr>
        <w:t>No breach of laws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 Obligor has breached any law or regulation which breach has or would reasonably be expected to have a Material Adverse Effect.</w:t>
      </w:r>
    </w:p>
    <w:p>
      <w:pPr>
        <w:spacing w:after="0" w:line="3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21.17</w:t>
      </w:r>
      <w:r>
        <w:rPr>
          <w:sz w:val="20"/>
          <w:szCs w:val="20"/>
          <w:color w:val="auto"/>
        </w:rPr>
        <w:tab/>
      </w:r>
      <w:r>
        <w:rPr>
          <w:rFonts w:ascii="Arial" w:cs="Arial" w:eastAsia="Arial" w:hAnsi="Arial"/>
          <w:sz w:val="16"/>
          <w:szCs w:val="16"/>
          <w:b w:val="1"/>
          <w:bCs w:val="1"/>
          <w:color w:val="auto"/>
        </w:rPr>
        <w:t>No breach of Environmental laws</w:t>
      </w:r>
    </w:p>
    <w:p>
      <w:pPr>
        <w:spacing w:after="0" w:line="135" w:lineRule="exact"/>
        <w:rPr>
          <w:sz w:val="20"/>
          <w:szCs w:val="20"/>
          <w:color w:val="auto"/>
        </w:rPr>
      </w:pPr>
    </w:p>
    <w:p>
      <w:pPr>
        <w:jc w:val="both"/>
        <w:ind w:left="1300" w:right="40" w:hanging="535"/>
        <w:spacing w:after="0" w:line="263" w:lineRule="auto"/>
        <w:tabs>
          <w:tab w:leader="none" w:pos="1300" w:val="left"/>
        </w:tabs>
        <w:numPr>
          <w:ilvl w:val="0"/>
          <w:numId w:val="976"/>
        </w:numPr>
        <w:rPr>
          <w:rFonts w:ascii="Arial" w:cs="Arial" w:eastAsia="Arial" w:hAnsi="Arial"/>
          <w:sz w:val="18"/>
          <w:szCs w:val="18"/>
          <w:color w:val="auto"/>
        </w:rPr>
      </w:pPr>
      <w:r>
        <w:rPr>
          <w:rFonts w:ascii="Arial" w:cs="Arial" w:eastAsia="Arial" w:hAnsi="Arial"/>
          <w:sz w:val="18"/>
          <w:szCs w:val="18"/>
          <w:color w:val="auto"/>
        </w:rPr>
        <w:t>Each Obligor is in compliance with Clause 23.4 (</w:t>
      </w:r>
      <w:r>
        <w:rPr>
          <w:rFonts w:ascii="Arial" w:cs="Arial" w:eastAsia="Arial" w:hAnsi="Arial"/>
          <w:sz w:val="18"/>
          <w:szCs w:val="18"/>
          <w:i w:val="1"/>
          <w:iCs w:val="1"/>
          <w:color w:val="auto"/>
        </w:rPr>
        <w:t>Environmental compliance</w:t>
      </w:r>
      <w:r>
        <w:rPr>
          <w:rFonts w:ascii="Arial" w:cs="Arial" w:eastAsia="Arial" w:hAnsi="Arial"/>
          <w:sz w:val="18"/>
          <w:szCs w:val="18"/>
          <w:color w:val="auto"/>
        </w:rPr>
        <w:t>) and to the best of its knowledge and belief (having made due and careful enquiry) no circumstances have occurred which would prevent such compliance in a manner or to an extent which has or would reasonably be expected to have a Material Adverse Effect.</w:t>
      </w:r>
    </w:p>
    <w:p>
      <w:pPr>
        <w:spacing w:after="0" w:line="116"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83" w:name="page684"/>
    <w:bookmarkEnd w:id="683"/>
    <w:p>
      <w:pPr>
        <w:ind w:left="1300" w:right="300" w:hanging="535"/>
        <w:spacing w:after="0" w:line="286" w:lineRule="auto"/>
        <w:tabs>
          <w:tab w:leader="none" w:pos="1300" w:val="left"/>
        </w:tabs>
        <w:numPr>
          <w:ilvl w:val="0"/>
          <w:numId w:val="9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best of its knowledge and belief (having made due and careful enquiry), the Property does not contain any hazardous substances or antiquities or other obstructions whose presence affects or would reasonably be expected to affect any Obligor or the Property or the Phase II Project in any manner that would reasonably be expected to have a Material Adverse Effect.</w:t>
      </w:r>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21.18</w:t>
      </w:r>
      <w:r>
        <w:rPr>
          <w:sz w:val="20"/>
          <w:szCs w:val="20"/>
          <w:color w:val="auto"/>
        </w:rPr>
        <w:tab/>
      </w:r>
      <w:r>
        <w:rPr>
          <w:rFonts w:ascii="Arial" w:cs="Arial" w:eastAsia="Arial" w:hAnsi="Arial"/>
          <w:sz w:val="16"/>
          <w:szCs w:val="16"/>
          <w:b w:val="1"/>
          <w:bCs w:val="1"/>
          <w:color w:val="auto"/>
        </w:rPr>
        <w:t>Ranking of Transaction Security</w:t>
      </w:r>
    </w:p>
    <w:p>
      <w:pPr>
        <w:spacing w:after="0" w:line="121" w:lineRule="exact"/>
        <w:rPr>
          <w:sz w:val="20"/>
          <w:szCs w:val="20"/>
          <w:color w:val="auto"/>
        </w:rPr>
      </w:pPr>
    </w:p>
    <w:p>
      <w:pPr>
        <w:jc w:val="both"/>
        <w:ind w:left="760" w:right="180"/>
        <w:spacing w:after="0" w:line="263" w:lineRule="auto"/>
        <w:rPr>
          <w:sz w:val="20"/>
          <w:szCs w:val="20"/>
          <w:color w:val="auto"/>
        </w:rPr>
      </w:pPr>
      <w:r>
        <w:rPr>
          <w:rFonts w:ascii="Arial" w:cs="Arial" w:eastAsia="Arial" w:hAnsi="Arial"/>
          <w:sz w:val="18"/>
          <w:szCs w:val="18"/>
          <w:color w:val="auto"/>
        </w:rPr>
        <w:t xml:space="preserve">Subject to the Legal Reservations (other than any qualification or reservation in a legal opinion as to the ranking of the Transaction Security which are not matters of law of general application), the Transaction Security has or (when granted) will have first ranking priority and it is not subject to any prior ranking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ranking Security.</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21.19</w:t>
      </w:r>
      <w:r>
        <w:rPr>
          <w:sz w:val="20"/>
          <w:szCs w:val="20"/>
          <w:color w:val="auto"/>
        </w:rPr>
        <w:tab/>
      </w:r>
      <w:r>
        <w:rPr>
          <w:rFonts w:ascii="Arial" w:cs="Arial" w:eastAsia="Arial" w:hAnsi="Arial"/>
          <w:sz w:val="15"/>
          <w:szCs w:val="15"/>
          <w:b w:val="1"/>
          <w:bCs w:val="1"/>
          <w:color w:val="auto"/>
        </w:rPr>
        <w:t>Good and marketable title to assets</w:t>
      </w:r>
    </w:p>
    <w:p>
      <w:pPr>
        <w:spacing w:after="0" w:line="121" w:lineRule="exact"/>
        <w:rPr>
          <w:sz w:val="20"/>
          <w:szCs w:val="20"/>
          <w:color w:val="auto"/>
        </w:rPr>
      </w:pPr>
    </w:p>
    <w:p>
      <w:pPr>
        <w:ind w:left="760" w:right="380"/>
        <w:spacing w:after="0" w:line="277" w:lineRule="auto"/>
        <w:rPr>
          <w:sz w:val="20"/>
          <w:szCs w:val="20"/>
          <w:color w:val="auto"/>
        </w:rPr>
      </w:pPr>
      <w:r>
        <w:rPr>
          <w:rFonts w:ascii="Arial" w:cs="Arial" w:eastAsia="Arial" w:hAnsi="Arial"/>
          <w:sz w:val="18"/>
          <w:szCs w:val="18"/>
          <w:color w:val="auto"/>
        </w:rPr>
        <w:t>Each Obligor has good, valid and marketable title to, or valid leases or licences of or is otherwise permitted to use the assets necessary to carry on its business as currently conducted.</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21.20</w:t>
      </w:r>
      <w:r>
        <w:rPr>
          <w:sz w:val="20"/>
          <w:szCs w:val="20"/>
          <w:color w:val="auto"/>
        </w:rPr>
        <w:tab/>
      </w:r>
      <w:r>
        <w:rPr>
          <w:rFonts w:ascii="Arial" w:cs="Arial" w:eastAsia="Arial" w:hAnsi="Arial"/>
          <w:sz w:val="16"/>
          <w:szCs w:val="16"/>
          <w:b w:val="1"/>
          <w:bCs w:val="1"/>
          <w:color w:val="auto"/>
        </w:rPr>
        <w:t>Legal and beneficial ownership</w:t>
      </w:r>
    </w:p>
    <w:p>
      <w:pPr>
        <w:spacing w:after="0" w:line="135" w:lineRule="exact"/>
        <w:rPr>
          <w:sz w:val="20"/>
          <w:szCs w:val="20"/>
          <w:color w:val="auto"/>
        </w:rPr>
      </w:pPr>
    </w:p>
    <w:p>
      <w:pPr>
        <w:ind w:left="1300" w:right="240" w:hanging="535"/>
        <w:spacing w:after="0" w:line="342" w:lineRule="auto"/>
        <w:tabs>
          <w:tab w:leader="none" w:pos="1300" w:val="left"/>
        </w:tabs>
        <w:numPr>
          <w:ilvl w:val="0"/>
          <w:numId w:val="978"/>
        </w:numPr>
        <w:rPr>
          <w:rFonts w:ascii="Arial" w:cs="Arial" w:eastAsia="Arial" w:hAnsi="Arial"/>
          <w:sz w:val="16"/>
          <w:szCs w:val="16"/>
          <w:color w:val="auto"/>
        </w:rPr>
      </w:pPr>
      <w:r>
        <w:rPr>
          <w:rFonts w:ascii="Arial" w:cs="Arial" w:eastAsia="Arial" w:hAnsi="Arial"/>
          <w:sz w:val="16"/>
          <w:szCs w:val="16"/>
          <w:color w:val="auto"/>
        </w:rPr>
        <w:t>Each of the Obligors is or will be (as the case may be) the sole legal and beneficial owner of the respective assets over which it purports to grant Security in each case free from any claims, third party rights or competing interests other than any Permitted Lien.</w:t>
      </w:r>
    </w:p>
    <w:p>
      <w:pPr>
        <w:spacing w:after="0" w:line="29" w:lineRule="exact"/>
        <w:rPr>
          <w:rFonts w:ascii="Arial" w:cs="Arial" w:eastAsia="Arial" w:hAnsi="Arial"/>
          <w:sz w:val="16"/>
          <w:szCs w:val="16"/>
          <w:color w:val="auto"/>
        </w:rPr>
      </w:pPr>
    </w:p>
    <w:p>
      <w:pPr>
        <w:ind w:left="1300" w:right="540" w:hanging="535"/>
        <w:spacing w:after="0" w:line="277" w:lineRule="auto"/>
        <w:tabs>
          <w:tab w:leader="none" w:pos="1300" w:val="left"/>
        </w:tabs>
        <w:numPr>
          <w:ilvl w:val="0"/>
          <w:numId w:val="978"/>
        </w:numPr>
        <w:rPr>
          <w:rFonts w:ascii="Arial" w:cs="Arial" w:eastAsia="Arial" w:hAnsi="Arial"/>
          <w:sz w:val="18"/>
          <w:szCs w:val="18"/>
          <w:color w:val="auto"/>
        </w:rPr>
      </w:pPr>
      <w:r>
        <w:rPr>
          <w:rFonts w:ascii="Arial" w:cs="Arial" w:eastAsia="Arial" w:hAnsi="Arial"/>
          <w:sz w:val="18"/>
          <w:szCs w:val="18"/>
          <w:color w:val="auto"/>
        </w:rPr>
        <w:t>Propco is the sole legal and beneficial holder of, and has good title to, or has a valid leasehold right in, the land described in the Amended Land Concession.</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21.21</w:t>
      </w:r>
      <w:r>
        <w:rPr>
          <w:sz w:val="20"/>
          <w:szCs w:val="20"/>
          <w:color w:val="auto"/>
        </w:rPr>
        <w:tab/>
      </w:r>
      <w:r>
        <w:rPr>
          <w:rFonts w:ascii="Arial" w:cs="Arial" w:eastAsia="Arial" w:hAnsi="Arial"/>
          <w:sz w:val="15"/>
          <w:szCs w:val="15"/>
          <w:b w:val="1"/>
          <w:bCs w:val="1"/>
          <w:color w:val="auto"/>
        </w:rPr>
        <w:t>Shares</w:t>
      </w:r>
    </w:p>
    <w:p>
      <w:pPr>
        <w:spacing w:after="0" w:line="121"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The shares of any Obligor which are or will be subject to the Transaction Security are fully paid and not subject to any option to purchase or similar rights. Neither the Constitutional Documents of companies whose shares are subject to the Transaction Security nor any other Legal Requirement can or do restrict or inhibit any transfer or other disposal of those shares on creation or enforcement of the Transaction Security except that the Constitutional Documents of the Macau Obligors contain certain preferential rights in case of a voluntary or judicial transfer of shares. There are no agreements in force which provide for the issue or allotment of, or grant any person the right to call for the issue or allotment of, any share or loan capital of any Obligor (including any option or right of pre-emption or conversion), other than as permitted by the Finance Documents).</w:t>
      </w:r>
    </w:p>
    <w:p>
      <w:pPr>
        <w:spacing w:after="0" w:line="33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21.22</w:t>
      </w:r>
      <w:r>
        <w:rPr>
          <w:sz w:val="20"/>
          <w:szCs w:val="20"/>
          <w:color w:val="auto"/>
        </w:rPr>
        <w:tab/>
      </w:r>
      <w:r>
        <w:rPr>
          <w:rFonts w:ascii="Arial" w:cs="Arial" w:eastAsia="Arial" w:hAnsi="Arial"/>
          <w:sz w:val="16"/>
          <w:szCs w:val="16"/>
          <w:b w:val="1"/>
          <w:bCs w:val="1"/>
          <w:color w:val="auto"/>
        </w:rPr>
        <w:t>Insurance</w:t>
      </w:r>
    </w:p>
    <w:p>
      <w:pPr>
        <w:spacing w:after="0" w:line="135" w:lineRule="exact"/>
        <w:rPr>
          <w:sz w:val="20"/>
          <w:szCs w:val="20"/>
          <w:color w:val="auto"/>
        </w:rPr>
      </w:pPr>
    </w:p>
    <w:p>
      <w:pPr>
        <w:ind w:left="1300" w:right="380" w:hanging="535"/>
        <w:spacing w:after="0" w:line="308" w:lineRule="auto"/>
        <w:tabs>
          <w:tab w:leader="none" w:pos="1300" w:val="left"/>
        </w:tabs>
        <w:numPr>
          <w:ilvl w:val="0"/>
          <w:numId w:val="979"/>
        </w:numPr>
        <w:rPr>
          <w:rFonts w:ascii="Arial" w:cs="Arial" w:eastAsia="Arial" w:hAnsi="Arial"/>
          <w:sz w:val="17"/>
          <w:szCs w:val="17"/>
          <w:color w:val="auto"/>
        </w:rPr>
      </w:pPr>
      <w:r>
        <w:rPr>
          <w:rFonts w:ascii="Arial" w:cs="Arial" w:eastAsia="Arial" w:hAnsi="Arial"/>
          <w:sz w:val="17"/>
          <w:szCs w:val="17"/>
          <w:color w:val="auto"/>
        </w:rPr>
        <w:t>Each Obligor is insured by insurers of recognised financial responsibility against such losses and risks and in such amounts as are prudent and customary in the businesses and in the jurisdiction in which it is or proposed to be engaged.</w:t>
      </w:r>
    </w:p>
    <w:p>
      <w:pPr>
        <w:spacing w:after="0" w:line="51" w:lineRule="exact"/>
        <w:rPr>
          <w:rFonts w:ascii="Arial" w:cs="Arial" w:eastAsia="Arial" w:hAnsi="Arial"/>
          <w:sz w:val="17"/>
          <w:szCs w:val="17"/>
          <w:color w:val="auto"/>
        </w:rPr>
      </w:pPr>
    </w:p>
    <w:p>
      <w:pPr>
        <w:ind w:left="1300" w:right="100" w:hanging="535"/>
        <w:spacing w:after="0" w:line="259" w:lineRule="auto"/>
        <w:tabs>
          <w:tab w:leader="none" w:pos="1300" w:val="left"/>
        </w:tabs>
        <w:numPr>
          <w:ilvl w:val="0"/>
          <w:numId w:val="979"/>
        </w:numPr>
        <w:rPr>
          <w:rFonts w:ascii="Arial" w:cs="Arial" w:eastAsia="Arial" w:hAnsi="Arial"/>
          <w:sz w:val="18"/>
          <w:szCs w:val="18"/>
          <w:color w:val="auto"/>
        </w:rPr>
      </w:pPr>
      <w:r>
        <w:rPr>
          <w:rFonts w:ascii="Arial" w:cs="Arial" w:eastAsia="Arial" w:hAnsi="Arial"/>
          <w:sz w:val="18"/>
          <w:szCs w:val="18"/>
          <w:color w:val="auto"/>
        </w:rPr>
        <w:t>To the best knowledge and belief of each Obligor (after having made due and careful enquiry), no event or circumstance has occurred (including any omission to disclose any fact) which could validly entitle the relevant insurers in respect of any such insurance to terminate, rescind or otherwise avoid or reduce its liability under such insurance to the extent such termination, rescission, avoidance or reduction has or would reasonably be expected to have a Material Adverse Effect.</w:t>
      </w:r>
    </w:p>
    <w:p>
      <w:pPr>
        <w:spacing w:after="0" w:line="119"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84" w:name="page685"/>
    <w:bookmarkEnd w:id="684"/>
    <w:p>
      <w:pPr>
        <w:ind w:left="4"/>
        <w:spacing w:after="0"/>
        <w:tabs>
          <w:tab w:leader="none" w:pos="7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21.23</w:t>
      </w:r>
      <w:r>
        <w:rPr>
          <w:sz w:val="20"/>
          <w:szCs w:val="20"/>
          <w:color w:val="auto"/>
        </w:rPr>
        <w:tab/>
      </w:r>
      <w:r>
        <w:rPr>
          <w:rFonts w:ascii="Arial" w:cs="Arial" w:eastAsia="Arial" w:hAnsi="Arial"/>
          <w:sz w:val="15"/>
          <w:szCs w:val="15"/>
          <w:b w:val="1"/>
          <w:bCs w:val="1"/>
          <w:color w:val="auto"/>
        </w:rPr>
        <w:t>Amended Land Concession</w:t>
      </w:r>
    </w:p>
    <w:p>
      <w:pPr>
        <w:spacing w:after="0" w:line="135" w:lineRule="exact"/>
        <w:rPr>
          <w:sz w:val="20"/>
          <w:szCs w:val="20"/>
          <w:color w:val="auto"/>
        </w:rPr>
      </w:pPr>
    </w:p>
    <w:p>
      <w:pPr>
        <w:jc w:val="both"/>
        <w:ind w:left="1304" w:right="140" w:hanging="535"/>
        <w:spacing w:after="0" w:line="263" w:lineRule="auto"/>
        <w:tabs>
          <w:tab w:leader="none" w:pos="1304" w:val="left"/>
        </w:tabs>
        <w:numPr>
          <w:ilvl w:val="0"/>
          <w:numId w:val="980"/>
        </w:numPr>
        <w:rPr>
          <w:rFonts w:ascii="Arial" w:cs="Arial" w:eastAsia="Arial" w:hAnsi="Arial"/>
          <w:sz w:val="18"/>
          <w:szCs w:val="18"/>
          <w:color w:val="auto"/>
        </w:rPr>
      </w:pPr>
      <w:r>
        <w:rPr>
          <w:rFonts w:ascii="Arial" w:cs="Arial" w:eastAsia="Arial" w:hAnsi="Arial"/>
          <w:sz w:val="18"/>
          <w:szCs w:val="18"/>
          <w:color w:val="auto"/>
        </w:rPr>
        <w:t>The Agent has received a true, complete and correct copy of the Amended Land Concession in effect or required to be in effect as of the date of this representation is made (including all exhibits, schedules, disclosure letters, modifications and amendments referred to therein or delivered or made pursuant thereto, if any).</w:t>
      </w:r>
    </w:p>
    <w:p>
      <w:pPr>
        <w:spacing w:after="0" w:line="89" w:lineRule="exact"/>
        <w:rPr>
          <w:rFonts w:ascii="Arial" w:cs="Arial" w:eastAsia="Arial" w:hAnsi="Arial"/>
          <w:sz w:val="18"/>
          <w:szCs w:val="18"/>
          <w:color w:val="auto"/>
        </w:rPr>
      </w:pPr>
    </w:p>
    <w:p>
      <w:pPr>
        <w:ind w:left="1304" w:right="400" w:hanging="535"/>
        <w:spacing w:after="0" w:line="277" w:lineRule="auto"/>
        <w:tabs>
          <w:tab w:leader="none" w:pos="1304" w:val="left"/>
        </w:tabs>
        <w:numPr>
          <w:ilvl w:val="0"/>
          <w:numId w:val="980"/>
        </w:numPr>
        <w:rPr>
          <w:rFonts w:ascii="Arial" w:cs="Arial" w:eastAsia="Arial" w:hAnsi="Arial"/>
          <w:sz w:val="18"/>
          <w:szCs w:val="18"/>
          <w:color w:val="auto"/>
        </w:rPr>
      </w:pPr>
      <w:r>
        <w:rPr>
          <w:rFonts w:ascii="Arial" w:cs="Arial" w:eastAsia="Arial" w:hAnsi="Arial"/>
          <w:sz w:val="18"/>
          <w:szCs w:val="18"/>
          <w:color w:val="auto"/>
        </w:rPr>
        <w:t>The Amended Land Concession is in full force and effect and enforceable against the parties thereto in accordance with its terms, subject only to the Legal Reservations.</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21.24</w:t>
      </w:r>
      <w:r>
        <w:rPr>
          <w:sz w:val="20"/>
          <w:szCs w:val="20"/>
          <w:color w:val="auto"/>
        </w:rPr>
        <w:tab/>
      </w:r>
      <w:r>
        <w:rPr>
          <w:rFonts w:ascii="Arial" w:cs="Arial" w:eastAsia="Arial" w:hAnsi="Arial"/>
          <w:sz w:val="16"/>
          <w:szCs w:val="16"/>
          <w:b w:val="1"/>
          <w:bCs w:val="1"/>
          <w:color w:val="auto"/>
        </w:rPr>
        <w:t>Labour disputes</w:t>
      </w:r>
    </w:p>
    <w:p>
      <w:pPr>
        <w:spacing w:after="0" w:line="121" w:lineRule="exact"/>
        <w:rPr>
          <w:sz w:val="20"/>
          <w:szCs w:val="20"/>
          <w:color w:val="auto"/>
        </w:rPr>
      </w:pPr>
    </w:p>
    <w:p>
      <w:pPr>
        <w:ind w:left="764" w:right="280"/>
        <w:spacing w:after="0" w:line="263" w:lineRule="auto"/>
        <w:rPr>
          <w:sz w:val="20"/>
          <w:szCs w:val="20"/>
          <w:color w:val="auto"/>
        </w:rPr>
      </w:pPr>
      <w:r>
        <w:rPr>
          <w:rFonts w:ascii="Arial" w:cs="Arial" w:eastAsia="Arial" w:hAnsi="Arial"/>
          <w:sz w:val="18"/>
          <w:szCs w:val="18"/>
          <w:color w:val="auto"/>
        </w:rPr>
        <w:t>There are no strikes, lockouts, stoppages, slowdowns or other labour disputes against any Obligor pending or, to the best of the knowledge and belief (having made all due and proper enquiry) of each Obligor, threatened that (individually or in the aggregate) have or would be reasonably expected to have a Material Adverse Effect.</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21.25</w:t>
      </w:r>
      <w:r>
        <w:rPr>
          <w:sz w:val="20"/>
          <w:szCs w:val="20"/>
          <w:color w:val="auto"/>
        </w:rPr>
        <w:tab/>
      </w:r>
      <w:r>
        <w:rPr>
          <w:rFonts w:ascii="Arial" w:cs="Arial" w:eastAsia="Arial" w:hAnsi="Arial"/>
          <w:sz w:val="16"/>
          <w:szCs w:val="16"/>
          <w:b w:val="1"/>
          <w:bCs w:val="1"/>
          <w:color w:val="auto"/>
        </w:rPr>
        <w:t>Anti-terrorism laws</w:t>
      </w:r>
    </w:p>
    <w:p>
      <w:pPr>
        <w:spacing w:after="0" w:line="135" w:lineRule="exact"/>
        <w:rPr>
          <w:sz w:val="20"/>
          <w:szCs w:val="20"/>
          <w:color w:val="auto"/>
        </w:rPr>
      </w:pPr>
    </w:p>
    <w:p>
      <w:pPr>
        <w:ind w:left="1304" w:right="260" w:hanging="535"/>
        <w:spacing w:after="0" w:line="263" w:lineRule="auto"/>
        <w:tabs>
          <w:tab w:leader="none" w:pos="1304" w:val="left"/>
        </w:tabs>
        <w:numPr>
          <w:ilvl w:val="0"/>
          <w:numId w:val="981"/>
        </w:numPr>
        <w:rPr>
          <w:rFonts w:ascii="Arial" w:cs="Arial" w:eastAsia="Arial" w:hAnsi="Arial"/>
          <w:sz w:val="18"/>
          <w:szCs w:val="18"/>
          <w:color w:val="auto"/>
        </w:rPr>
      </w:pPr>
      <w:r>
        <w:rPr>
          <w:rFonts w:ascii="Arial" w:cs="Arial" w:eastAsia="Arial" w:hAnsi="Arial"/>
          <w:sz w:val="18"/>
          <w:szCs w:val="18"/>
          <w:color w:val="auto"/>
        </w:rPr>
        <w:t>To the best of the Obligors’ knowledge, no Obligor nor any Affiliate thereof: (i) is, or is controlled by, a Restricted Party; (ii) has received funds or other property from a Restricted Party; or (iii) is in breach of or is the subject of any action or investigation under any Anti-Terrorism Law.</w:t>
      </w:r>
    </w:p>
    <w:p>
      <w:pPr>
        <w:spacing w:after="0" w:line="89" w:lineRule="exact"/>
        <w:rPr>
          <w:rFonts w:ascii="Arial" w:cs="Arial" w:eastAsia="Arial" w:hAnsi="Arial"/>
          <w:sz w:val="18"/>
          <w:szCs w:val="18"/>
          <w:color w:val="auto"/>
        </w:rPr>
      </w:pPr>
    </w:p>
    <w:p>
      <w:pPr>
        <w:ind w:left="1304" w:right="140" w:hanging="535"/>
        <w:spacing w:after="0" w:line="277" w:lineRule="auto"/>
        <w:tabs>
          <w:tab w:leader="none" w:pos="1304" w:val="left"/>
        </w:tabs>
        <w:numPr>
          <w:ilvl w:val="0"/>
          <w:numId w:val="981"/>
        </w:numPr>
        <w:rPr>
          <w:rFonts w:ascii="Arial" w:cs="Arial" w:eastAsia="Arial" w:hAnsi="Arial"/>
          <w:sz w:val="18"/>
          <w:szCs w:val="18"/>
          <w:color w:val="auto"/>
        </w:rPr>
      </w:pPr>
      <w:r>
        <w:rPr>
          <w:rFonts w:ascii="Arial" w:cs="Arial" w:eastAsia="Arial" w:hAnsi="Arial"/>
          <w:sz w:val="18"/>
          <w:szCs w:val="18"/>
          <w:color w:val="auto"/>
        </w:rPr>
        <w:t>Each Obligor and, to the best of the Obligors’ knowledge, each Affiliate thereof has taken reasonable measures to ensure compliance with the Anti-Terrorism Laws.</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21.26</w:t>
      </w:r>
      <w:r>
        <w:rPr>
          <w:sz w:val="20"/>
          <w:szCs w:val="20"/>
          <w:color w:val="auto"/>
        </w:rPr>
        <w:tab/>
      </w:r>
      <w:r>
        <w:rPr>
          <w:rFonts w:ascii="Arial" w:cs="Arial" w:eastAsia="Arial" w:hAnsi="Arial"/>
          <w:sz w:val="16"/>
          <w:szCs w:val="16"/>
          <w:b w:val="1"/>
          <w:bCs w:val="1"/>
          <w:color w:val="auto"/>
        </w:rPr>
        <w:t>Acting as principal</w:t>
      </w:r>
    </w:p>
    <w:p>
      <w:pPr>
        <w:spacing w:after="0" w:line="121" w:lineRule="exact"/>
        <w:rPr>
          <w:sz w:val="20"/>
          <w:szCs w:val="20"/>
          <w:color w:val="auto"/>
        </w:rPr>
      </w:pPr>
    </w:p>
    <w:p>
      <w:pPr>
        <w:ind w:left="764" w:right="120"/>
        <w:spacing w:after="0" w:line="277" w:lineRule="auto"/>
        <w:rPr>
          <w:sz w:val="20"/>
          <w:szCs w:val="20"/>
          <w:color w:val="auto"/>
        </w:rPr>
      </w:pPr>
      <w:r>
        <w:rPr>
          <w:rFonts w:ascii="Arial" w:cs="Arial" w:eastAsia="Arial" w:hAnsi="Arial"/>
          <w:sz w:val="18"/>
          <w:szCs w:val="18"/>
          <w:color w:val="auto"/>
        </w:rPr>
        <w:t>Save for the Parent when acting in its capacity as Obligors’ Agent, each Obligor is acting as principal for its own account and not as agent or trustee in any capacity on behalf of any person in relation to the Finance Documents.</w:t>
      </w:r>
    </w:p>
    <w:p>
      <w:pPr>
        <w:spacing w:after="0" w:line="315" w:lineRule="exact"/>
        <w:rPr>
          <w:sz w:val="20"/>
          <w:szCs w:val="20"/>
          <w:color w:val="auto"/>
        </w:rPr>
      </w:pPr>
    </w:p>
    <w:p>
      <w:pPr>
        <w:ind w:left="764" w:hanging="764"/>
        <w:spacing w:after="0"/>
        <w:tabs>
          <w:tab w:leader="none" w:pos="764" w:val="left"/>
        </w:tabs>
        <w:numPr>
          <w:ilvl w:val="0"/>
          <w:numId w:val="982"/>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undertakings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22.1</w:t>
      </w:r>
      <w:r>
        <w:rPr>
          <w:rFonts w:ascii="Arial" w:cs="Arial" w:eastAsia="Arial" w:hAnsi="Arial"/>
          <w:sz w:val="16"/>
          <w:szCs w:val="16"/>
          <w:b w:val="1"/>
          <w:bCs w:val="1"/>
          <w:color w:val="auto"/>
        </w:rPr>
        <w:t>Content</w:t>
      </w:r>
    </w:p>
    <w:p>
      <w:pPr>
        <w:spacing w:after="0" w:line="121" w:lineRule="exact"/>
        <w:rPr>
          <w:rFonts w:ascii="Arial" w:cs="Arial" w:eastAsia="Arial" w:hAnsi="Arial"/>
          <w:sz w:val="18"/>
          <w:szCs w:val="18"/>
          <w:b w:val="1"/>
          <w:bCs w:val="1"/>
          <w:color w:val="auto"/>
        </w:rPr>
      </w:pPr>
    </w:p>
    <w:p>
      <w:pPr>
        <w:ind w:left="764"/>
        <w:spacing w:after="0"/>
        <w:rPr>
          <w:rFonts w:ascii="Arial" w:cs="Arial" w:eastAsia="Arial" w:hAnsi="Arial"/>
          <w:sz w:val="18"/>
          <w:szCs w:val="18"/>
          <w:b w:val="1"/>
          <w:bCs w:val="1"/>
          <w:color w:val="auto"/>
        </w:rPr>
      </w:pPr>
      <w:r>
        <w:rPr>
          <w:rFonts w:ascii="Arial" w:cs="Arial" w:eastAsia="Arial" w:hAnsi="Arial"/>
          <w:sz w:val="16"/>
          <w:szCs w:val="16"/>
          <w:color w:val="auto"/>
        </w:rPr>
        <w:t>The Obligors undertake to each Finance Party that they shall comply with the covenants set out in this Clause 22 (</w:t>
      </w:r>
      <w:r>
        <w:rPr>
          <w:rFonts w:ascii="Arial" w:cs="Arial" w:eastAsia="Arial" w:hAnsi="Arial"/>
          <w:sz w:val="16"/>
          <w:szCs w:val="16"/>
          <w:i w:val="1"/>
          <w:iCs w:val="1"/>
          <w:color w:val="auto"/>
        </w:rPr>
        <w:t>Information undertakings</w:t>
      </w:r>
      <w:r>
        <w:rPr>
          <w:rFonts w:ascii="Arial" w:cs="Arial" w:eastAsia="Arial" w:hAnsi="Arial"/>
          <w:sz w:val="16"/>
          <w:szCs w:val="16"/>
          <w:color w:val="auto"/>
        </w:rPr>
        <w:t>).</w:t>
      </w:r>
    </w:p>
    <w:p>
      <w:pPr>
        <w:spacing w:after="0" w:line="393"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7"/>
          <w:szCs w:val="17"/>
          <w:b w:val="1"/>
          <w:bCs w:val="1"/>
          <w:color w:val="auto"/>
        </w:rPr>
        <w:t>Duration</w:t>
      </w:r>
    </w:p>
    <w:p>
      <w:pPr>
        <w:spacing w:after="0" w:line="121" w:lineRule="exact"/>
        <w:rPr>
          <w:sz w:val="20"/>
          <w:szCs w:val="20"/>
          <w:color w:val="auto"/>
        </w:rPr>
      </w:pPr>
    </w:p>
    <w:p>
      <w:pPr>
        <w:ind w:left="764" w:right="380"/>
        <w:spacing w:after="0" w:line="277" w:lineRule="auto"/>
        <w:rPr>
          <w:sz w:val="20"/>
          <w:szCs w:val="20"/>
          <w:color w:val="auto"/>
        </w:rPr>
      </w:pPr>
      <w:r>
        <w:rPr>
          <w:rFonts w:ascii="Arial" w:cs="Arial" w:eastAsia="Arial" w:hAnsi="Arial"/>
          <w:sz w:val="18"/>
          <w:szCs w:val="18"/>
          <w:color w:val="auto"/>
        </w:rPr>
        <w:t>The covenants in this Clause 22 (</w:t>
      </w:r>
      <w:r>
        <w:rPr>
          <w:rFonts w:ascii="Arial" w:cs="Arial" w:eastAsia="Arial" w:hAnsi="Arial"/>
          <w:sz w:val="18"/>
          <w:szCs w:val="18"/>
          <w:i w:val="1"/>
          <w:iCs w:val="1"/>
          <w:color w:val="auto"/>
        </w:rPr>
        <w:t>Information undertakings</w:t>
      </w:r>
      <w:r>
        <w:rPr>
          <w:rFonts w:ascii="Arial" w:cs="Arial" w:eastAsia="Arial" w:hAnsi="Arial"/>
          <w:sz w:val="18"/>
          <w:szCs w:val="18"/>
          <w:color w:val="auto"/>
        </w:rPr>
        <w:t>) remain in force from the date of this Agreement for so long as any amount is outstanding under the Finance Documents or any Commitment is in force.</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764"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Financial Statements</w:t>
      </w:r>
      <w:r>
        <w:rPr>
          <w:rFonts w:ascii="Arial" w:cs="Arial" w:eastAsia="Arial" w:hAnsi="Arial"/>
          <w:sz w:val="18"/>
          <w:szCs w:val="18"/>
          <w:color w:val="auto"/>
        </w:rPr>
        <w:t>” means the financial statements for a Financial Year delivered pursuant to paragraph (a) of Clause 22.4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54" w:lineRule="exact"/>
        <w:rPr>
          <w:sz w:val="20"/>
          <w:szCs w:val="20"/>
          <w:color w:val="auto"/>
        </w:rPr>
      </w:pPr>
    </w:p>
    <w:p>
      <w:pPr>
        <w:ind w:left="764" w:right="1280"/>
        <w:spacing w:after="0" w:line="45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Quarter</w:t>
      </w:r>
      <w:r>
        <w:rPr>
          <w:rFonts w:ascii="Arial" w:cs="Arial" w:eastAsia="Arial" w:hAnsi="Arial"/>
          <w:sz w:val="16"/>
          <w:szCs w:val="16"/>
          <w:color w:val="auto"/>
        </w:rPr>
        <w:t>” means the period commencing on the day after one Quarter Date and ending on the next Quarter Date; “</w:t>
      </w:r>
      <w:r>
        <w:rPr>
          <w:rFonts w:ascii="Arial" w:cs="Arial" w:eastAsia="Arial" w:hAnsi="Arial"/>
          <w:sz w:val="16"/>
          <w:szCs w:val="16"/>
          <w:b w:val="1"/>
          <w:bCs w:val="1"/>
          <w:color w:val="auto"/>
        </w:rPr>
        <w:t>Financial Year</w:t>
      </w:r>
      <w:r>
        <w:rPr>
          <w:rFonts w:ascii="Arial" w:cs="Arial" w:eastAsia="Arial" w:hAnsi="Arial"/>
          <w:sz w:val="16"/>
          <w:szCs w:val="16"/>
          <w:color w:val="auto"/>
        </w:rPr>
        <w:t>” means the annual accounting period of the Group ending on or about 31 December in each year;</w:t>
      </w:r>
    </w:p>
    <w:p>
      <w:pPr>
        <w:spacing w:after="0" w:line="1"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685" w:name="page686"/>
    <w:bookmarkEnd w:id="685"/>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Quarter Date</w:t>
      </w:r>
      <w:r>
        <w:rPr>
          <w:rFonts w:ascii="Arial" w:cs="Arial" w:eastAsia="Arial" w:hAnsi="Arial"/>
          <w:sz w:val="18"/>
          <w:szCs w:val="18"/>
          <w:color w:val="auto"/>
        </w:rPr>
        <w:t>” means each of 31 March, 30 June, 30 September and 31 December in each Financial Year; and</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Quarterly Financial Statements</w:t>
      </w:r>
      <w:r>
        <w:rPr>
          <w:rFonts w:ascii="Arial" w:cs="Arial" w:eastAsia="Arial" w:hAnsi="Arial"/>
          <w:sz w:val="16"/>
          <w:szCs w:val="16"/>
          <w:color w:val="auto"/>
        </w:rPr>
        <w:t>” means the financial statements delivered pursuant to paragraph (b) of Clause 22.4 (</w:t>
      </w:r>
      <w:r>
        <w:rPr>
          <w:rFonts w:ascii="Arial" w:cs="Arial" w:eastAsia="Arial" w:hAnsi="Arial"/>
          <w:sz w:val="16"/>
          <w:szCs w:val="16"/>
          <w:i w:val="1"/>
          <w:iCs w:val="1"/>
          <w:color w:val="auto"/>
        </w:rPr>
        <w:t>Financial statements</w:t>
      </w:r>
      <w:r>
        <w:rPr>
          <w:rFonts w:ascii="Arial" w:cs="Arial" w:eastAsia="Arial" w:hAnsi="Arial"/>
          <w:sz w:val="16"/>
          <w:szCs w:val="16"/>
          <w:color w:val="auto"/>
        </w:rPr>
        <w:t>).</w:t>
      </w:r>
    </w:p>
    <w:p>
      <w:pPr>
        <w:spacing w:after="0" w:line="140" w:lineRule="exact"/>
        <w:rPr>
          <w:sz w:val="20"/>
          <w:szCs w:val="20"/>
          <w:color w:val="auto"/>
        </w:rPr>
      </w:pPr>
    </w:p>
    <w:p>
      <w:pPr>
        <w:ind w:left="760"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Chief Executive Officer, Chief Financial Officer, President, any Executive Vice President, Senior Vice President or Vice President, Treasurer or Secretary of the Borrower or the Parent or Melco Resorts (as the case may be), or any Directors of the Board or any person acting in that capacity, in each case acting with due authority.</w:t>
      </w:r>
    </w:p>
    <w:p>
      <w:pPr>
        <w:spacing w:after="0" w:line="32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Parent shall supply to the Agent in sufficient copies for all the Lenders:</w:t>
      </w:r>
    </w:p>
    <w:p>
      <w:pPr>
        <w:spacing w:after="0" w:line="131" w:lineRule="exact"/>
        <w:rPr>
          <w:sz w:val="20"/>
          <w:szCs w:val="20"/>
          <w:color w:val="auto"/>
        </w:rPr>
      </w:pPr>
    </w:p>
    <w:p>
      <w:pPr>
        <w:jc w:val="both"/>
        <w:ind w:left="1300" w:right="360" w:hanging="535"/>
        <w:spacing w:after="0" w:line="263" w:lineRule="auto"/>
        <w:tabs>
          <w:tab w:leader="none" w:pos="1300" w:val="left"/>
        </w:tabs>
        <w:numPr>
          <w:ilvl w:val="0"/>
          <w:numId w:val="983"/>
        </w:numPr>
        <w:rPr>
          <w:rFonts w:ascii="Arial" w:cs="Arial" w:eastAsia="Arial" w:hAnsi="Arial"/>
          <w:sz w:val="18"/>
          <w:szCs w:val="18"/>
          <w:color w:val="auto"/>
        </w:rPr>
      </w:pPr>
      <w:r>
        <w:rPr>
          <w:rFonts w:ascii="Arial" w:cs="Arial" w:eastAsia="Arial" w:hAnsi="Arial"/>
          <w:sz w:val="18"/>
          <w:szCs w:val="18"/>
          <w:color w:val="auto"/>
        </w:rPr>
        <w:t>as soon as they are available, but in any event within 120 days after the end of each of its Financial Years the audited consolidated financial statements for that Financial Year of the Parent reported on by the Auditors commencing with the Financial Year ending 31 December 2016; and</w:t>
      </w:r>
    </w:p>
    <w:p>
      <w:pPr>
        <w:spacing w:after="0" w:line="89" w:lineRule="exact"/>
        <w:rPr>
          <w:rFonts w:ascii="Arial" w:cs="Arial" w:eastAsia="Arial" w:hAnsi="Arial"/>
          <w:sz w:val="18"/>
          <w:szCs w:val="18"/>
          <w:color w:val="auto"/>
        </w:rPr>
      </w:pPr>
    </w:p>
    <w:p>
      <w:pPr>
        <w:ind w:left="1300" w:right="520" w:hanging="535"/>
        <w:spacing w:after="0" w:line="263" w:lineRule="auto"/>
        <w:tabs>
          <w:tab w:leader="none" w:pos="1300" w:val="left"/>
        </w:tabs>
        <w:numPr>
          <w:ilvl w:val="0"/>
          <w:numId w:val="983"/>
        </w:numPr>
        <w:rPr>
          <w:rFonts w:ascii="Arial" w:cs="Arial" w:eastAsia="Arial" w:hAnsi="Arial"/>
          <w:sz w:val="18"/>
          <w:szCs w:val="18"/>
          <w:color w:val="auto"/>
        </w:rPr>
      </w:pPr>
      <w:r>
        <w:rPr>
          <w:rFonts w:ascii="Arial" w:cs="Arial" w:eastAsia="Arial" w:hAnsi="Arial"/>
          <w:sz w:val="18"/>
          <w:szCs w:val="18"/>
          <w:color w:val="auto"/>
        </w:rPr>
        <w:t>as soon as they are available, but in any event within 60 days after the end of each of first three Financial Quarters of each of its Financial Years, the unaudited consolidated financial statements for that Financial Quarter of the Parent commencing with the Financial Quarter ending 31 March 2017.</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5"/>
          <w:szCs w:val="15"/>
          <w:b w:val="1"/>
          <w:bCs w:val="1"/>
          <w:color w:val="auto"/>
        </w:rPr>
        <w:t>Requirements as to financial statements</w:t>
      </w:r>
    </w:p>
    <w:p>
      <w:pPr>
        <w:spacing w:after="0" w:line="135" w:lineRule="exact"/>
        <w:rPr>
          <w:sz w:val="20"/>
          <w:szCs w:val="20"/>
          <w:color w:val="auto"/>
        </w:rPr>
      </w:pPr>
    </w:p>
    <w:p>
      <w:pPr>
        <w:ind w:left="1300" w:right="280" w:hanging="535"/>
        <w:spacing w:after="0" w:line="263" w:lineRule="auto"/>
        <w:tabs>
          <w:tab w:leader="none" w:pos="130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The Parent shall procure that each set of Annual Financial Statements and Quarterly Financial Statements which provides for a consolidation of all members of the Parent includes a balance sheet, profit and loss account and cashflow statement. In addition the Parent shall procure that:</w:t>
      </w:r>
    </w:p>
    <w:p>
      <w:pPr>
        <w:spacing w:after="0" w:line="89" w:lineRule="exact"/>
        <w:rPr>
          <w:rFonts w:ascii="Arial" w:cs="Arial" w:eastAsia="Arial" w:hAnsi="Arial"/>
          <w:sz w:val="18"/>
          <w:szCs w:val="18"/>
          <w:color w:val="auto"/>
        </w:rPr>
      </w:pPr>
    </w:p>
    <w:p>
      <w:pPr>
        <w:ind w:left="1960" w:hanging="655"/>
        <w:spacing w:after="0"/>
        <w:tabs>
          <w:tab w:leader="none" w:pos="1960" w:val="left"/>
        </w:tabs>
        <w:numPr>
          <w:ilvl w:val="1"/>
          <w:numId w:val="984"/>
        </w:numPr>
        <w:rPr>
          <w:rFonts w:ascii="Arial" w:cs="Arial" w:eastAsia="Arial" w:hAnsi="Arial"/>
          <w:sz w:val="18"/>
          <w:szCs w:val="18"/>
          <w:color w:val="auto"/>
        </w:rPr>
      </w:pPr>
      <w:r>
        <w:rPr>
          <w:rFonts w:ascii="Arial" w:cs="Arial" w:eastAsia="Arial" w:hAnsi="Arial"/>
          <w:sz w:val="18"/>
          <w:szCs w:val="18"/>
          <w:color w:val="auto"/>
        </w:rPr>
        <w:t>each set of Annual Financial Statements of the Parent shall be audited by the Auditors; and</w:t>
      </w:r>
    </w:p>
    <w:p>
      <w:pPr>
        <w:spacing w:after="0" w:line="130" w:lineRule="exact"/>
        <w:rPr>
          <w:rFonts w:ascii="Arial" w:cs="Arial" w:eastAsia="Arial" w:hAnsi="Arial"/>
          <w:sz w:val="18"/>
          <w:szCs w:val="18"/>
          <w:color w:val="auto"/>
        </w:rPr>
      </w:pPr>
    </w:p>
    <w:p>
      <w:pPr>
        <w:ind w:left="1960" w:right="120" w:hanging="655"/>
        <w:spacing w:after="0" w:line="259" w:lineRule="auto"/>
        <w:tabs>
          <w:tab w:leader="none" w:pos="1960" w:val="left"/>
        </w:tabs>
        <w:numPr>
          <w:ilvl w:val="1"/>
          <w:numId w:val="984"/>
        </w:numPr>
        <w:rPr>
          <w:rFonts w:ascii="Arial" w:cs="Arial" w:eastAsia="Arial" w:hAnsi="Arial"/>
          <w:sz w:val="18"/>
          <w:szCs w:val="18"/>
          <w:color w:val="auto"/>
        </w:rPr>
      </w:pPr>
      <w:r>
        <w:rPr>
          <w:rFonts w:ascii="Arial" w:cs="Arial" w:eastAsia="Arial" w:hAnsi="Arial"/>
          <w:sz w:val="18"/>
          <w:szCs w:val="18"/>
          <w:color w:val="auto"/>
        </w:rPr>
        <w:t>each set of Quarterly Financial Statements includes equivalent figures for the Financial Year to date and each set of Annual Financial Statements and Quarterly Financial Statements also sets forth in comparative form figures for the previous year (if any and to the extent only such periods, in each case, are covered by financial statements required to be delivered under paragraphs (a) and (b) of Clause 22.4 (</w:t>
      </w:r>
      <w:r>
        <w:rPr>
          <w:rFonts w:ascii="Arial" w:cs="Arial" w:eastAsia="Arial" w:hAnsi="Arial"/>
          <w:sz w:val="18"/>
          <w:szCs w:val="18"/>
          <w:i w:val="1"/>
          <w:iCs w:val="1"/>
          <w:color w:val="auto"/>
        </w:rPr>
        <w:t>Financial statements</w:t>
      </w:r>
      <w:r>
        <w:rPr>
          <w:rFonts w:ascii="Arial" w:cs="Arial" w:eastAsia="Arial" w:hAnsi="Arial"/>
          <w:sz w:val="18"/>
          <w:szCs w:val="18"/>
          <w:color w:val="auto"/>
        </w:rPr>
        <w:t>) above).</w:t>
      </w:r>
    </w:p>
    <w:p>
      <w:pPr>
        <w:spacing w:after="0" w:line="92" w:lineRule="exact"/>
        <w:rPr>
          <w:rFonts w:ascii="Arial" w:cs="Arial" w:eastAsia="Arial" w:hAnsi="Arial"/>
          <w:sz w:val="18"/>
          <w:szCs w:val="18"/>
          <w:color w:val="auto"/>
        </w:rPr>
      </w:pPr>
    </w:p>
    <w:p>
      <w:pPr>
        <w:ind w:left="1300" w:hanging="535"/>
        <w:spacing w:after="0"/>
        <w:tabs>
          <w:tab w:leader="none" w:pos="130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22.4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right="120" w:hanging="655"/>
        <w:spacing w:after="0" w:line="255" w:lineRule="auto"/>
        <w:tabs>
          <w:tab w:leader="none" w:pos="1960" w:val="left"/>
        </w:tabs>
        <w:numPr>
          <w:ilvl w:val="1"/>
          <w:numId w:val="984"/>
        </w:numPr>
        <w:rPr>
          <w:rFonts w:ascii="Arial" w:cs="Arial" w:eastAsia="Arial" w:hAnsi="Arial"/>
          <w:sz w:val="18"/>
          <w:szCs w:val="18"/>
          <w:color w:val="auto"/>
        </w:rPr>
      </w:pPr>
      <w:r>
        <w:rPr>
          <w:rFonts w:ascii="Arial" w:cs="Arial" w:eastAsia="Arial" w:hAnsi="Arial"/>
          <w:sz w:val="18"/>
          <w:szCs w:val="18"/>
          <w:color w:val="auto"/>
        </w:rPr>
        <w:t>shall be certified by an Officer of the Parent as giving a true and fair view of (in the case of Annual Financial Statements for any Financial Year), or fairly representing (in other cases), its financial condition and operations as at the date as at which those financial statements were drawn up, and in the case of its audited Original Financial Statements and the Annual Financial Statements, fairly representing (as at the time such financial statements are delivered) its consolidated financial condition and results of operations and give a true and fair view of its consolidated financial condition and results of operations; and</w:t>
      </w:r>
    </w:p>
    <w:p>
      <w:pPr>
        <w:spacing w:after="0" w:line="125"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86" w:name="page687"/>
    <w:bookmarkEnd w:id="686"/>
    <w:p>
      <w:pPr>
        <w:ind w:left="1960" w:right="180" w:hanging="655"/>
        <w:spacing w:after="0" w:line="311" w:lineRule="auto"/>
        <w:tabs>
          <w:tab w:leader="none" w:pos="1960" w:val="left"/>
        </w:tabs>
        <w:numPr>
          <w:ilvl w:val="1"/>
          <w:numId w:val="9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prepared using GAAP, accounting practices and financial reference periods substantially consistent with those applied in the preparation of the Financial Model and the Original Financial Statements unless the Parent notifies the Agent that there has been a change in GAAP, or the accounting practices, in which case, it shall deliver to the Agent:</w:t>
      </w:r>
    </w:p>
    <w:p>
      <w:pPr>
        <w:spacing w:after="0" w:line="54" w:lineRule="exact"/>
        <w:rPr>
          <w:rFonts w:ascii="Arial" w:cs="Arial" w:eastAsia="Arial" w:hAnsi="Arial"/>
          <w:sz w:val="16"/>
          <w:szCs w:val="16"/>
          <w:color w:val="auto"/>
        </w:rPr>
      </w:pPr>
    </w:p>
    <w:p>
      <w:pPr>
        <w:ind w:left="2500" w:right="260" w:hanging="533"/>
        <w:spacing w:after="0" w:line="263" w:lineRule="auto"/>
        <w:tabs>
          <w:tab w:leader="none" w:pos="2500" w:val="left"/>
        </w:tabs>
        <w:numPr>
          <w:ilvl w:val="2"/>
          <w:numId w:val="985"/>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GAAP, or accounting practices upon which the Financial Model, the Original Financial Statements or, as the case may be, any subsequent financial statements were prepared; and</w:t>
      </w:r>
    </w:p>
    <w:p>
      <w:pPr>
        <w:spacing w:after="0" w:line="89" w:lineRule="exact"/>
        <w:rPr>
          <w:rFonts w:ascii="Arial" w:cs="Arial" w:eastAsia="Arial" w:hAnsi="Arial"/>
          <w:sz w:val="18"/>
          <w:szCs w:val="18"/>
          <w:color w:val="auto"/>
        </w:rPr>
      </w:pPr>
    </w:p>
    <w:p>
      <w:pPr>
        <w:ind w:left="2500" w:right="100" w:hanging="533"/>
        <w:spacing w:after="0" w:line="311" w:lineRule="auto"/>
        <w:tabs>
          <w:tab w:leader="none" w:pos="2500" w:val="left"/>
        </w:tabs>
        <w:numPr>
          <w:ilvl w:val="2"/>
          <w:numId w:val="985"/>
        </w:numPr>
        <w:rPr>
          <w:rFonts w:ascii="Arial" w:cs="Arial" w:eastAsia="Arial" w:hAnsi="Arial"/>
          <w:sz w:val="16"/>
          <w:szCs w:val="16"/>
          <w:color w:val="auto"/>
        </w:rPr>
      </w:pPr>
      <w:r>
        <w:rPr>
          <w:rFonts w:ascii="Arial" w:cs="Arial" w:eastAsia="Arial" w:hAnsi="Arial"/>
          <w:sz w:val="16"/>
          <w:szCs w:val="16"/>
          <w:color w:val="auto"/>
        </w:rPr>
        <w:t>sufficient information, in form and substance as may be reasonably required by the Agent, to enable the Lenders to make an accurate comparison between the financial position indicated in those financial statements and the Financial Model, the Original Financial Statements or, as the case may be, any subsequent financial statements.</w:t>
      </w:r>
    </w:p>
    <w:p>
      <w:pPr>
        <w:spacing w:after="0" w:line="54" w:lineRule="exact"/>
        <w:rPr>
          <w:rFonts w:ascii="Arial" w:cs="Arial" w:eastAsia="Arial" w:hAnsi="Arial"/>
          <w:sz w:val="16"/>
          <w:szCs w:val="16"/>
          <w:color w:val="auto"/>
        </w:rPr>
      </w:pPr>
    </w:p>
    <w:p>
      <w:pPr>
        <w:ind w:left="1300" w:right="600" w:hanging="535"/>
        <w:spacing w:after="0" w:line="277" w:lineRule="auto"/>
        <w:tabs>
          <w:tab w:leader="none" w:pos="1300" w:val="left"/>
        </w:tabs>
        <w:numPr>
          <w:ilvl w:val="0"/>
          <w:numId w:val="986"/>
        </w:numPr>
        <w:rPr>
          <w:rFonts w:ascii="Arial" w:cs="Arial" w:eastAsia="Arial" w:hAnsi="Arial"/>
          <w:sz w:val="18"/>
          <w:szCs w:val="18"/>
          <w:color w:val="auto"/>
        </w:rPr>
      </w:pPr>
      <w:r>
        <w:rPr>
          <w:rFonts w:ascii="Arial" w:cs="Arial" w:eastAsia="Arial" w:hAnsi="Arial"/>
          <w:sz w:val="18"/>
          <w:szCs w:val="18"/>
          <w:color w:val="auto"/>
        </w:rPr>
        <w:t>If the Parent notifies the Agent of any change in accordance with paragraph (b)(ii) above, the Parent and Agent shall enter into negotiations in good faith with a view to agreeing:</w:t>
      </w:r>
    </w:p>
    <w:p>
      <w:pPr>
        <w:spacing w:after="0" w:line="75" w:lineRule="exact"/>
        <w:rPr>
          <w:rFonts w:ascii="Arial" w:cs="Arial" w:eastAsia="Arial" w:hAnsi="Arial"/>
          <w:sz w:val="18"/>
          <w:szCs w:val="18"/>
          <w:color w:val="auto"/>
        </w:rPr>
      </w:pPr>
    </w:p>
    <w:p>
      <w:pPr>
        <w:ind w:left="1960" w:right="740" w:hanging="655"/>
        <w:spacing w:after="0" w:line="277" w:lineRule="auto"/>
        <w:tabs>
          <w:tab w:leader="none" w:pos="1960" w:val="left"/>
        </w:tabs>
        <w:numPr>
          <w:ilvl w:val="1"/>
          <w:numId w:val="986"/>
        </w:numPr>
        <w:rPr>
          <w:rFonts w:ascii="Arial" w:cs="Arial" w:eastAsia="Arial" w:hAnsi="Arial"/>
          <w:sz w:val="18"/>
          <w:szCs w:val="18"/>
          <w:color w:val="auto"/>
        </w:rPr>
      </w:pPr>
      <w:r>
        <w:rPr>
          <w:rFonts w:ascii="Arial" w:cs="Arial" w:eastAsia="Arial" w:hAnsi="Arial"/>
          <w:sz w:val="18"/>
          <w:szCs w:val="18"/>
          <w:color w:val="auto"/>
        </w:rPr>
        <w:t>whether or not the change might result in any material alteration in the commercial effect of any of the terms of this Agreement; and</w:t>
      </w:r>
    </w:p>
    <w:p>
      <w:pPr>
        <w:spacing w:after="0" w:line="76" w:lineRule="exact"/>
        <w:rPr>
          <w:sz w:val="20"/>
          <w:szCs w:val="20"/>
          <w:color w:val="auto"/>
        </w:rPr>
      </w:pPr>
    </w:p>
    <w:p>
      <w:pPr>
        <w:ind w:left="1960" w:right="260" w:hanging="655"/>
        <w:spacing w:after="0" w:line="277" w:lineRule="auto"/>
        <w:tabs>
          <w:tab w:leader="none" w:pos="1960" w:val="left"/>
        </w:tabs>
        <w:numPr>
          <w:ilvl w:val="0"/>
          <w:numId w:val="987"/>
        </w:numPr>
        <w:rPr>
          <w:rFonts w:ascii="Arial" w:cs="Arial" w:eastAsia="Arial" w:hAnsi="Arial"/>
          <w:sz w:val="18"/>
          <w:szCs w:val="18"/>
          <w:color w:val="auto"/>
        </w:rPr>
      </w:pPr>
      <w:r>
        <w:rPr>
          <w:rFonts w:ascii="Arial" w:cs="Arial" w:eastAsia="Arial" w:hAnsi="Arial"/>
          <w:sz w:val="18"/>
          <w:szCs w:val="18"/>
          <w:color w:val="auto"/>
        </w:rPr>
        <w:t>if so, any amendments to this Agreement which may be necessary to ensure that the change does not result in any material alteration in the commercial effect of those terms,</w:t>
      </w:r>
    </w:p>
    <w:p>
      <w:pPr>
        <w:spacing w:after="0" w:line="62" w:lineRule="exact"/>
        <w:rPr>
          <w:sz w:val="20"/>
          <w:szCs w:val="20"/>
          <w:color w:val="auto"/>
        </w:rPr>
      </w:pPr>
    </w:p>
    <w:p>
      <w:pPr>
        <w:ind w:left="1320" w:right="40"/>
        <w:spacing w:after="0" w:line="254" w:lineRule="auto"/>
        <w:rPr>
          <w:sz w:val="20"/>
          <w:szCs w:val="20"/>
          <w:color w:val="auto"/>
        </w:rPr>
      </w:pPr>
      <w:r>
        <w:rPr>
          <w:rFonts w:ascii="Arial" w:cs="Arial" w:eastAsia="Arial" w:hAnsi="Arial"/>
          <w:sz w:val="18"/>
          <w:szCs w:val="18"/>
          <w:color w:val="auto"/>
        </w:rPr>
        <w:t>and, if any amendments are agreed they shall take effect and be binding on each of the Parties in accordance with their terms. If no such agreement is reached within 30 days of that notification of change, the Agent shall (if so requested by the Majority Lenders) instruct the Auditors or independent accountants (approved by the Parent or, in the absence of such approval within 5 days of request by the Agent of such approval, a firm with recognised expertise) to determine any amendments to any terms of this Agreement which the Auditors or, as the case may be, accountants (acting as experts and not arbitrators) consider appropriate to ensure the change does not result in any material alteration in the commercial effect of the terms of this Agreement. Those amendments shall take effect when so determined by the Auditors, or as the case may be, accountants. The cost and expense of the Auditors or accountants shall be for the account of the Borrower.</w:t>
      </w:r>
    </w:p>
    <w:p>
      <w:pPr>
        <w:spacing w:after="0" w:line="33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Pari Passu Debt Liabilities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Parent shall supply to the Agent (in sufficient copies for all the Lenders, if the Agent so requests) at the same time as sent to the relevant</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Pari Passu Debt Creditors:</w:t>
      </w:r>
    </w:p>
    <w:p>
      <w:pPr>
        <w:spacing w:after="0" w:line="116" w:lineRule="exact"/>
        <w:rPr>
          <w:sz w:val="20"/>
          <w:szCs w:val="20"/>
          <w:color w:val="auto"/>
        </w:rPr>
      </w:pPr>
    </w:p>
    <w:p>
      <w:pPr>
        <w:ind w:left="1300" w:right="520" w:hanging="535"/>
        <w:spacing w:after="0" w:line="277" w:lineRule="auto"/>
        <w:tabs>
          <w:tab w:leader="none" w:pos="1300" w:val="left"/>
        </w:tabs>
        <w:numPr>
          <w:ilvl w:val="0"/>
          <w:numId w:val="988"/>
        </w:numPr>
        <w:rPr>
          <w:rFonts w:ascii="Arial" w:cs="Arial" w:eastAsia="Arial" w:hAnsi="Arial"/>
          <w:sz w:val="18"/>
          <w:szCs w:val="18"/>
          <w:color w:val="auto"/>
        </w:rPr>
      </w:pPr>
      <w:r>
        <w:rPr>
          <w:rFonts w:ascii="Arial" w:cs="Arial" w:eastAsia="Arial" w:hAnsi="Arial"/>
          <w:sz w:val="18"/>
          <w:szCs w:val="18"/>
          <w:color w:val="auto"/>
        </w:rPr>
        <w:t>any notification of (together with an invitation to each Lender to attend but not participate at) any noteholder or lender meeting, presentation, conference call or other material event announced publicly; and</w:t>
      </w:r>
    </w:p>
    <w:p>
      <w:pPr>
        <w:spacing w:after="0" w:line="75" w:lineRule="exact"/>
        <w:rPr>
          <w:rFonts w:ascii="Arial" w:cs="Arial" w:eastAsia="Arial" w:hAnsi="Arial"/>
          <w:sz w:val="18"/>
          <w:szCs w:val="18"/>
          <w:color w:val="auto"/>
        </w:rPr>
      </w:pPr>
    </w:p>
    <w:p>
      <w:pPr>
        <w:ind w:left="1300" w:right="140" w:hanging="535"/>
        <w:spacing w:after="0" w:line="277" w:lineRule="auto"/>
        <w:tabs>
          <w:tab w:leader="none" w:pos="1300" w:val="left"/>
        </w:tabs>
        <w:numPr>
          <w:ilvl w:val="0"/>
          <w:numId w:val="988"/>
        </w:numPr>
        <w:rPr>
          <w:rFonts w:ascii="Arial" w:cs="Arial" w:eastAsia="Arial" w:hAnsi="Arial"/>
          <w:sz w:val="18"/>
          <w:szCs w:val="18"/>
          <w:color w:val="auto"/>
        </w:rPr>
      </w:pPr>
      <w:r>
        <w:rPr>
          <w:rFonts w:ascii="Arial" w:cs="Arial" w:eastAsia="Arial" w:hAnsi="Arial"/>
          <w:sz w:val="18"/>
          <w:szCs w:val="18"/>
          <w:color w:val="auto"/>
        </w:rPr>
        <w:t>any other notice, document or information provided by an Obligor to any Pari Passu Debt Creditor in connection with any Pari Passu Debt Documents or Pari Passu Debt Liabilities.</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b w:val="1"/>
          <w:bCs w:val="1"/>
          <w:color w:val="auto"/>
        </w:rPr>
        <w:t>Year-end</w:t>
      </w:r>
    </w:p>
    <w:p>
      <w:pPr>
        <w:spacing w:after="0" w:line="121" w:lineRule="exact"/>
        <w:rPr>
          <w:sz w:val="20"/>
          <w:szCs w:val="20"/>
          <w:color w:val="auto"/>
        </w:rPr>
      </w:pPr>
    </w:p>
    <w:p>
      <w:pPr>
        <w:jc w:val="both"/>
        <w:ind w:left="760" w:right="40"/>
        <w:spacing w:after="0" w:line="263" w:lineRule="auto"/>
        <w:rPr>
          <w:sz w:val="20"/>
          <w:szCs w:val="20"/>
          <w:color w:val="auto"/>
        </w:rPr>
      </w:pPr>
      <w:r>
        <w:rPr>
          <w:rFonts w:ascii="Arial" w:cs="Arial" w:eastAsia="Arial" w:hAnsi="Arial"/>
          <w:sz w:val="18"/>
          <w:szCs w:val="18"/>
          <w:color w:val="auto"/>
        </w:rPr>
        <w:t>The Parent shall not change its Financial Year-end or Financial Quarter-end and shall procure that each Financial Year-end of each member of the Group and each other Obligor falls on 31 December and each Financial Quarter-end of each member of the Group and each other Obligor falls on the relevant Quarter Date.</w:t>
      </w:r>
    </w:p>
    <w:p>
      <w:pPr>
        <w:spacing w:after="0" w:line="116"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87" w:name="page688"/>
    <w:bookmarkEnd w:id="687"/>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22.8</w:t>
      </w:r>
      <w:r>
        <w:rPr>
          <w:sz w:val="20"/>
          <w:szCs w:val="20"/>
          <w:color w:val="auto"/>
        </w:rPr>
        <w:tab/>
      </w:r>
      <w:r>
        <w:rPr>
          <w:rFonts w:ascii="Arial" w:cs="Arial" w:eastAsia="Arial" w:hAnsi="Arial"/>
          <w:sz w:val="16"/>
          <w:szCs w:val="16"/>
          <w:b w:val="1"/>
          <w:bCs w:val="1"/>
          <w:color w:val="auto"/>
        </w:rPr>
        <w:t>Information: miscellaneous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Parent shall supply to the Agent (in sufficient copies for all the Lenders, if the Agent so requests):</w:t>
      </w:r>
    </w:p>
    <w:p>
      <w:pPr>
        <w:spacing w:after="0" w:line="131" w:lineRule="exact"/>
        <w:rPr>
          <w:sz w:val="20"/>
          <w:szCs w:val="20"/>
          <w:color w:val="auto"/>
        </w:rPr>
      </w:pPr>
    </w:p>
    <w:p>
      <w:pPr>
        <w:ind w:left="1300" w:right="80" w:hanging="535"/>
        <w:spacing w:after="0" w:line="255" w:lineRule="auto"/>
        <w:tabs>
          <w:tab w:leader="none" w:pos="1300" w:val="left"/>
        </w:tabs>
        <w:numPr>
          <w:ilvl w:val="0"/>
          <w:numId w:val="989"/>
        </w:numPr>
        <w:rPr>
          <w:rFonts w:ascii="Arial" w:cs="Arial" w:eastAsia="Arial" w:hAnsi="Arial"/>
          <w:sz w:val="18"/>
          <w:szCs w:val="18"/>
          <w:color w:val="auto"/>
        </w:rPr>
      </w:pPr>
      <w:r>
        <w:rPr>
          <w:rFonts w:ascii="Arial" w:cs="Arial" w:eastAsia="Arial" w:hAnsi="Arial"/>
          <w:sz w:val="18"/>
          <w:szCs w:val="18"/>
          <w:color w:val="auto"/>
        </w:rPr>
        <w:t>promptly, details of any insurance claim or series of related insurance claims by any Obligor under any insurance policies required to be maintained under this Agreement which exceed, in aggregate, US$50,000,000 (or its equivalent), details of material changes in the insurance cover under any insurance policies required to be maintained under this Agreement in respect of the Group and, upon request by the Agent, copies of insurance policies or certificates of insurance in respect of the Group under any insurance policies required to be maintained under this Agreement or such other evidence of the existence of those policies as may be reasonably acceptable to the Agent;</w:t>
      </w:r>
    </w:p>
    <w:p>
      <w:pPr>
        <w:spacing w:after="0" w:line="97" w:lineRule="exact"/>
        <w:rPr>
          <w:rFonts w:ascii="Arial" w:cs="Arial" w:eastAsia="Arial" w:hAnsi="Arial"/>
          <w:sz w:val="18"/>
          <w:szCs w:val="18"/>
          <w:color w:val="auto"/>
        </w:rPr>
      </w:pPr>
    </w:p>
    <w:p>
      <w:pPr>
        <w:ind w:left="1300" w:right="360" w:hanging="535"/>
        <w:spacing w:after="0" w:line="263" w:lineRule="auto"/>
        <w:tabs>
          <w:tab w:leader="none" w:pos="1300" w:val="left"/>
        </w:tabs>
        <w:numPr>
          <w:ilvl w:val="0"/>
          <w:numId w:val="989"/>
        </w:numPr>
        <w:rPr>
          <w:rFonts w:ascii="Arial" w:cs="Arial" w:eastAsia="Arial" w:hAnsi="Arial"/>
          <w:sz w:val="18"/>
          <w:szCs w:val="18"/>
          <w:color w:val="auto"/>
        </w:rPr>
      </w:pPr>
      <w:r>
        <w:rPr>
          <w:rFonts w:ascii="Arial" w:cs="Arial" w:eastAsia="Arial" w:hAnsi="Arial"/>
          <w:sz w:val="18"/>
          <w:szCs w:val="18"/>
          <w:color w:val="auto"/>
        </w:rPr>
        <w:t>a copy of each written notice which is delivered under or in connection with the Amended Land Concession to or from the Macau SAR Government or any Governmental Authority (if material to the interests of the Finance Parties) promptly upon despatch or receipt of such notice;</w:t>
      </w:r>
    </w:p>
    <w:p>
      <w:pPr>
        <w:spacing w:after="0" w:line="89" w:lineRule="exact"/>
        <w:rPr>
          <w:rFonts w:ascii="Arial" w:cs="Arial" w:eastAsia="Arial" w:hAnsi="Arial"/>
          <w:sz w:val="18"/>
          <w:szCs w:val="18"/>
          <w:color w:val="auto"/>
        </w:rPr>
      </w:pPr>
    </w:p>
    <w:p>
      <w:pPr>
        <w:ind w:left="1300" w:right="100" w:hanging="535"/>
        <w:spacing w:after="0" w:line="263" w:lineRule="auto"/>
        <w:tabs>
          <w:tab w:leader="none" w:pos="1300" w:val="left"/>
        </w:tabs>
        <w:numPr>
          <w:ilvl w:val="0"/>
          <w:numId w:val="989"/>
        </w:numPr>
        <w:rPr>
          <w:rFonts w:ascii="Arial" w:cs="Arial" w:eastAsia="Arial" w:hAnsi="Arial"/>
          <w:sz w:val="18"/>
          <w:szCs w:val="18"/>
          <w:color w:val="auto"/>
        </w:rPr>
      </w:pPr>
      <w:r>
        <w:rPr>
          <w:rFonts w:ascii="Arial" w:cs="Arial" w:eastAsia="Arial" w:hAnsi="Arial"/>
          <w:sz w:val="18"/>
          <w:szCs w:val="18"/>
          <w:color w:val="auto"/>
        </w:rPr>
        <w:t>at the same time as they are dispatched, copies of all documents dispatched by the Parent to its shareholders generally (or any class of them in their capacity as shareholders) or dispatched by the Parent to its creditors generally (or any class of them) (other than in the ordinary course of business);</w:t>
      </w:r>
    </w:p>
    <w:p>
      <w:pPr>
        <w:spacing w:after="0" w:line="89" w:lineRule="exact"/>
        <w:rPr>
          <w:rFonts w:ascii="Arial" w:cs="Arial" w:eastAsia="Arial" w:hAnsi="Arial"/>
          <w:sz w:val="18"/>
          <w:szCs w:val="18"/>
          <w:color w:val="auto"/>
        </w:rPr>
      </w:pPr>
    </w:p>
    <w:p>
      <w:pPr>
        <w:ind w:left="1300" w:right="460" w:hanging="535"/>
        <w:spacing w:after="0" w:line="293" w:lineRule="auto"/>
        <w:tabs>
          <w:tab w:leader="none" w:pos="1300" w:val="left"/>
        </w:tabs>
        <w:numPr>
          <w:ilvl w:val="0"/>
          <w:numId w:val="989"/>
        </w:numPr>
        <w:rPr>
          <w:rFonts w:ascii="Arial" w:cs="Arial" w:eastAsia="Arial" w:hAnsi="Arial"/>
          <w:sz w:val="16"/>
          <w:szCs w:val="16"/>
          <w:color w:val="auto"/>
        </w:rPr>
      </w:pPr>
      <w:r>
        <w:rPr>
          <w:rFonts w:ascii="Arial" w:cs="Arial" w:eastAsia="Arial" w:hAnsi="Arial"/>
          <w:sz w:val="16"/>
          <w:szCs w:val="16"/>
          <w:color w:val="auto"/>
        </w:rPr>
        <w:t>promptly upon becoming aware of them, the details of any material litigation, arbitration or investigation by a Governmental Authority or other administrative proceedings other than any frivolous or vexatious proceedings which are current, threatened or pending against any Obligor which would involve a loss, liability, or a potential or alleged loss or liability which, if adversely determined, has or would reasonably be expected to have a Material Adverse Effect, or any material development in any such proceedings and details of any material updates to the status of the arbitration proceedings in respect of the Phase I Construction Contract, in each case together with such other information concerning such proceedings as the Agent may reasonably require;</w:t>
      </w:r>
    </w:p>
    <w:p>
      <w:pPr>
        <w:spacing w:after="0" w:line="69" w:lineRule="exact"/>
        <w:rPr>
          <w:rFonts w:ascii="Arial" w:cs="Arial" w:eastAsia="Arial" w:hAnsi="Arial"/>
          <w:sz w:val="16"/>
          <w:szCs w:val="16"/>
          <w:color w:val="auto"/>
        </w:rPr>
      </w:pPr>
    </w:p>
    <w:p>
      <w:pPr>
        <w:ind w:left="1300" w:right="20" w:hanging="535"/>
        <w:spacing w:after="0" w:line="277" w:lineRule="auto"/>
        <w:tabs>
          <w:tab w:leader="none" w:pos="1300" w:val="left"/>
        </w:tabs>
        <w:numPr>
          <w:ilvl w:val="0"/>
          <w:numId w:val="989"/>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disposal or other facts and circumstances which may result in a prepayment under Clause 9.4 (</w:t>
      </w:r>
      <w:r>
        <w:rPr>
          <w:rFonts w:ascii="Arial" w:cs="Arial" w:eastAsia="Arial" w:hAnsi="Arial"/>
          <w:sz w:val="18"/>
          <w:szCs w:val="18"/>
          <w:i w:val="1"/>
          <w:iCs w:val="1"/>
          <w:color w:val="auto"/>
        </w:rPr>
        <w:t>Notes Repurchases</w:t>
      </w:r>
      <w:r>
        <w:rPr>
          <w:rFonts w:ascii="Arial" w:cs="Arial" w:eastAsia="Arial" w:hAnsi="Arial"/>
          <w:sz w:val="18"/>
          <w:szCs w:val="18"/>
          <w:color w:val="auto"/>
        </w:rPr>
        <w:t>) or Clause 9.5 (</w:t>
      </w:r>
      <w:r>
        <w:rPr>
          <w:rFonts w:ascii="Arial" w:cs="Arial" w:eastAsia="Arial" w:hAnsi="Arial"/>
          <w:sz w:val="18"/>
          <w:szCs w:val="18"/>
          <w:i w:val="1"/>
          <w:iCs w:val="1"/>
          <w:color w:val="auto"/>
        </w:rPr>
        <w:t>Asset Sales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300" w:right="300" w:hanging="535"/>
        <w:spacing w:after="0" w:line="277" w:lineRule="auto"/>
        <w:tabs>
          <w:tab w:leader="none" w:pos="1300" w:val="left"/>
        </w:tabs>
        <w:numPr>
          <w:ilvl w:val="0"/>
          <w:numId w:val="989"/>
        </w:numPr>
        <w:rPr>
          <w:rFonts w:ascii="Arial" w:cs="Arial" w:eastAsia="Arial" w:hAnsi="Arial"/>
          <w:sz w:val="18"/>
          <w:szCs w:val="18"/>
          <w:color w:val="auto"/>
        </w:rPr>
      </w:pPr>
      <w:r>
        <w:rPr>
          <w:rFonts w:ascii="Arial" w:cs="Arial" w:eastAsia="Arial" w:hAnsi="Arial"/>
          <w:sz w:val="18"/>
          <w:szCs w:val="18"/>
          <w:color w:val="auto"/>
        </w:rPr>
        <w:t>a copy of any filing made by Melco Resorts with any stock exchange or regulatory authority in respect of circumstances that could give rise to a Change of Control at the same time as that filing is made;</w:t>
      </w:r>
    </w:p>
    <w:p>
      <w:pPr>
        <w:spacing w:after="0" w:line="75" w:lineRule="exact"/>
        <w:rPr>
          <w:rFonts w:ascii="Arial" w:cs="Arial" w:eastAsia="Arial" w:hAnsi="Arial"/>
          <w:sz w:val="18"/>
          <w:szCs w:val="18"/>
          <w:color w:val="auto"/>
        </w:rPr>
      </w:pPr>
    </w:p>
    <w:p>
      <w:pPr>
        <w:ind w:left="1300" w:right="60" w:hanging="535"/>
        <w:spacing w:after="0" w:line="277" w:lineRule="auto"/>
        <w:tabs>
          <w:tab w:leader="none" w:pos="1300" w:val="left"/>
        </w:tabs>
        <w:numPr>
          <w:ilvl w:val="0"/>
          <w:numId w:val="989"/>
        </w:numPr>
        <w:rPr>
          <w:rFonts w:ascii="Arial" w:cs="Arial" w:eastAsia="Arial" w:hAnsi="Arial"/>
          <w:sz w:val="18"/>
          <w:szCs w:val="18"/>
          <w:color w:val="auto"/>
        </w:rPr>
      </w:pPr>
      <w:r>
        <w:rPr>
          <w:rFonts w:ascii="Arial" w:cs="Arial" w:eastAsia="Arial" w:hAnsi="Arial"/>
          <w:sz w:val="18"/>
          <w:szCs w:val="18"/>
          <w:color w:val="auto"/>
        </w:rPr>
        <w:t>promptly, such information as the Common Security Agent may reasonably require about the Charged Property and compliance of the Obligors with the terms of any Transaction Security Documents;</w:t>
      </w:r>
    </w:p>
    <w:p>
      <w:pPr>
        <w:spacing w:after="0" w:line="75" w:lineRule="exact"/>
        <w:rPr>
          <w:rFonts w:ascii="Arial" w:cs="Arial" w:eastAsia="Arial" w:hAnsi="Arial"/>
          <w:sz w:val="18"/>
          <w:szCs w:val="18"/>
          <w:color w:val="auto"/>
        </w:rPr>
      </w:pPr>
    </w:p>
    <w:p>
      <w:pPr>
        <w:ind w:left="1300" w:right="280" w:hanging="535"/>
        <w:spacing w:after="0" w:line="277" w:lineRule="auto"/>
        <w:tabs>
          <w:tab w:leader="none" w:pos="1300" w:val="left"/>
        </w:tabs>
        <w:numPr>
          <w:ilvl w:val="0"/>
          <w:numId w:val="989"/>
        </w:numPr>
        <w:rPr>
          <w:rFonts w:ascii="Arial" w:cs="Arial" w:eastAsia="Arial" w:hAnsi="Arial"/>
          <w:sz w:val="18"/>
          <w:szCs w:val="18"/>
          <w:color w:val="auto"/>
        </w:rPr>
      </w:pPr>
      <w:r>
        <w:rPr>
          <w:rFonts w:ascii="Arial" w:cs="Arial" w:eastAsia="Arial" w:hAnsi="Arial"/>
          <w:sz w:val="18"/>
          <w:szCs w:val="18"/>
          <w:color w:val="auto"/>
        </w:rPr>
        <w:t>promptly on request, such further information regarding the financial condition, assets and operations of any Obligor or an updated Group structure chart as any Finance Party through the Agent may reasonably request; and</w:t>
      </w:r>
    </w:p>
    <w:p>
      <w:pPr>
        <w:spacing w:after="0" w:line="75" w:lineRule="exact"/>
        <w:rPr>
          <w:rFonts w:ascii="Arial" w:cs="Arial" w:eastAsia="Arial" w:hAnsi="Arial"/>
          <w:sz w:val="18"/>
          <w:szCs w:val="18"/>
          <w:color w:val="auto"/>
        </w:rPr>
      </w:pPr>
    </w:p>
    <w:p>
      <w:pPr>
        <w:jc w:val="both"/>
        <w:ind w:left="1300" w:right="460" w:hanging="535"/>
        <w:spacing w:after="0" w:line="279" w:lineRule="auto"/>
        <w:tabs>
          <w:tab w:leader="none" w:pos="1300" w:val="left"/>
        </w:tabs>
        <w:numPr>
          <w:ilvl w:val="0"/>
          <w:numId w:val="989"/>
        </w:numPr>
        <w:rPr>
          <w:rFonts w:ascii="Arial" w:cs="Arial" w:eastAsia="Arial" w:hAnsi="Arial"/>
          <w:sz w:val="17"/>
          <w:szCs w:val="17"/>
          <w:color w:val="auto"/>
        </w:rPr>
      </w:pPr>
      <w:r>
        <w:rPr>
          <w:rFonts w:ascii="Arial" w:cs="Arial" w:eastAsia="Arial" w:hAnsi="Arial"/>
          <w:sz w:val="17"/>
          <w:szCs w:val="17"/>
          <w:color w:val="auto"/>
        </w:rPr>
        <w:t>promptly and for information purpose only, a copy of (A) the project budget for the Phase II Project following its approval by an Officer of Melco Resorts; and (ii) any information in respect of Phase II delivered to the creditors of any Financial Indebtedness incurred under clause (b)(i)(a)(y) of Section 4 (</w:t>
      </w:r>
      <w:r>
        <w:rPr>
          <w:rFonts w:ascii="Arial" w:cs="Arial" w:eastAsia="Arial" w:hAnsi="Arial"/>
          <w:sz w:val="17"/>
          <w:szCs w:val="17"/>
          <w:i w:val="1"/>
          <w:iCs w:val="1"/>
          <w:color w:val="auto"/>
        </w:rPr>
        <w:t>Limitation on Incurrence of Indebtedness and Issuance of Disqualified Stock and</w:t>
      </w:r>
      <w:r>
        <w:rPr>
          <w:rFonts w:ascii="Arial" w:cs="Arial" w:eastAsia="Arial" w:hAnsi="Arial"/>
          <w:sz w:val="17"/>
          <w:szCs w:val="17"/>
          <w:color w:val="auto"/>
        </w:rPr>
        <w:t xml:space="preserve"> </w:t>
      </w:r>
      <w:r>
        <w:rPr>
          <w:rFonts w:ascii="Arial" w:cs="Arial" w:eastAsia="Arial" w:hAnsi="Arial"/>
          <w:sz w:val="17"/>
          <w:szCs w:val="17"/>
          <w:i w:val="1"/>
          <w:iCs w:val="1"/>
          <w:color w:val="auto"/>
        </w:rPr>
        <w:t>Preferred Stock</w:t>
      </w:r>
      <w:r>
        <w:rPr>
          <w:rFonts w:ascii="Arial" w:cs="Arial" w:eastAsia="Arial" w:hAnsi="Arial"/>
          <w:sz w:val="17"/>
          <w:szCs w:val="17"/>
          <w:color w:val="auto"/>
        </w:rPr>
        <w:t>) of Schedule 10 (</w:t>
      </w:r>
      <w:r>
        <w:rPr>
          <w:rFonts w:ascii="Arial" w:cs="Arial" w:eastAsia="Arial" w:hAnsi="Arial"/>
          <w:sz w:val="17"/>
          <w:szCs w:val="17"/>
          <w:i w:val="1"/>
          <w:iCs w:val="1"/>
          <w:color w:val="auto"/>
        </w:rPr>
        <w:t>Covenants</w:t>
      </w:r>
      <w:r>
        <w:rPr>
          <w:rFonts w:ascii="Arial" w:cs="Arial" w:eastAsia="Arial" w:hAnsi="Arial"/>
          <w:sz w:val="17"/>
          <w:szCs w:val="17"/>
          <w:color w:val="auto"/>
        </w:rPr>
        <w:t>) for the purposes of funding the Phase II Project.</w:t>
      </w:r>
    </w:p>
    <w:p>
      <w:pPr>
        <w:spacing w:after="0" w:line="104"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88" w:name="page689"/>
    <w:bookmarkEnd w:id="688"/>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22.9</w:t>
      </w:r>
      <w:r>
        <w:rPr>
          <w:sz w:val="20"/>
          <w:szCs w:val="20"/>
          <w:color w:val="auto"/>
        </w:rPr>
        <w:tab/>
      </w:r>
      <w:r>
        <w:rPr>
          <w:rFonts w:ascii="Arial" w:cs="Arial" w:eastAsia="Arial" w:hAnsi="Arial"/>
          <w:sz w:val="16"/>
          <w:szCs w:val="16"/>
          <w:b w:val="1"/>
          <w:bCs w:val="1"/>
          <w:color w:val="auto"/>
        </w:rPr>
        <w:t>Notification of default</w:t>
      </w:r>
    </w:p>
    <w:p>
      <w:pPr>
        <w:spacing w:after="0" w:line="135" w:lineRule="exact"/>
        <w:rPr>
          <w:sz w:val="20"/>
          <w:szCs w:val="20"/>
          <w:color w:val="auto"/>
        </w:rPr>
      </w:pPr>
    </w:p>
    <w:p>
      <w:pPr>
        <w:ind w:left="1300" w:right="420" w:hanging="535"/>
        <w:spacing w:after="0" w:line="342" w:lineRule="auto"/>
        <w:tabs>
          <w:tab w:leader="none" w:pos="1300" w:val="left"/>
        </w:tabs>
        <w:numPr>
          <w:ilvl w:val="0"/>
          <w:numId w:val="990"/>
        </w:numPr>
        <w:rPr>
          <w:rFonts w:ascii="Arial" w:cs="Arial" w:eastAsia="Arial" w:hAnsi="Arial"/>
          <w:sz w:val="16"/>
          <w:szCs w:val="16"/>
          <w:color w:val="auto"/>
        </w:rPr>
      </w:pPr>
      <w:r>
        <w:rPr>
          <w:rFonts w:ascii="Arial" w:cs="Arial" w:eastAsia="Arial" w:hAnsi="Arial"/>
          <w:sz w:val="16"/>
          <w:szCs w:val="16"/>
          <w:color w:val="auto"/>
        </w:rPr>
        <w:t>Each Obligor shall notify the Agent of any continuing Default (and the steps, if any, being taken to remedy it) promptly upon becoming aware of its occurrence (unless that Obligor is aware that a notification has already been provided by another Obligor).</w:t>
      </w:r>
    </w:p>
    <w:p>
      <w:pPr>
        <w:spacing w:after="0" w:line="29" w:lineRule="exact"/>
        <w:rPr>
          <w:rFonts w:ascii="Arial" w:cs="Arial" w:eastAsia="Arial" w:hAnsi="Arial"/>
          <w:sz w:val="16"/>
          <w:szCs w:val="16"/>
          <w:color w:val="auto"/>
        </w:rPr>
      </w:pPr>
    </w:p>
    <w:p>
      <w:pPr>
        <w:jc w:val="both"/>
        <w:ind w:left="1300" w:right="160" w:hanging="535"/>
        <w:spacing w:after="0" w:line="263" w:lineRule="auto"/>
        <w:tabs>
          <w:tab w:leader="none" w:pos="1300" w:val="left"/>
        </w:tabs>
        <w:numPr>
          <w:ilvl w:val="0"/>
          <w:numId w:val="990"/>
        </w:numPr>
        <w:rPr>
          <w:rFonts w:ascii="Arial" w:cs="Arial" w:eastAsia="Arial" w:hAnsi="Arial"/>
          <w:sz w:val="18"/>
          <w:szCs w:val="18"/>
          <w:color w:val="auto"/>
        </w:rPr>
      </w:pPr>
      <w:r>
        <w:rPr>
          <w:rFonts w:ascii="Arial" w:cs="Arial" w:eastAsia="Arial" w:hAnsi="Arial"/>
          <w:sz w:val="18"/>
          <w:szCs w:val="18"/>
          <w:color w:val="auto"/>
        </w:rPr>
        <w:t>Promptly upon a request by the Agent, the Borrower shall supply to the Agent a certificate signed by two authorised signatories (one of whom is a director of the Parent) on its behalf certifying that no Default is continuing (or if a Default is continuing, specifying the Default and the steps, if any, being taken to remedy it).</w:t>
      </w:r>
    </w:p>
    <w:p>
      <w:pPr>
        <w:spacing w:after="0" w:line="89" w:lineRule="exact"/>
        <w:rPr>
          <w:rFonts w:ascii="Arial" w:cs="Arial" w:eastAsia="Arial" w:hAnsi="Arial"/>
          <w:sz w:val="18"/>
          <w:szCs w:val="18"/>
          <w:color w:val="auto"/>
        </w:rPr>
      </w:pPr>
    </w:p>
    <w:p>
      <w:pPr>
        <w:ind w:left="1300" w:right="120" w:hanging="535"/>
        <w:spacing w:after="0" w:line="257" w:lineRule="auto"/>
        <w:tabs>
          <w:tab w:leader="none" w:pos="1300" w:val="left"/>
        </w:tabs>
        <w:numPr>
          <w:ilvl w:val="0"/>
          <w:numId w:val="990"/>
        </w:numPr>
        <w:rPr>
          <w:rFonts w:ascii="Arial" w:cs="Arial" w:eastAsia="Arial" w:hAnsi="Arial"/>
          <w:sz w:val="18"/>
          <w:szCs w:val="18"/>
          <w:color w:val="auto"/>
        </w:rPr>
      </w:pPr>
      <w:r>
        <w:rPr>
          <w:rFonts w:ascii="Arial" w:cs="Arial" w:eastAsia="Arial" w:hAnsi="Arial"/>
          <w:sz w:val="18"/>
          <w:szCs w:val="18"/>
          <w:color w:val="auto"/>
        </w:rPr>
        <w:t>Each Obligor shall notify the Agent of the occurrence promptly upon becoming aware thereof of an event of default (however described) under or in respect of the High Yield Notes, the Additional High Yield Notes or, following any High Yield Note Refinancing or Additional High Yield Notes Refinancing, the high yield notes issued pursuant to the High Yield Note Refinancing or Additional High Yield Notes Refinancing (as the case may be) (unless that Obligor is aware that a notification has already been provided by another Obligor).</w:t>
      </w:r>
    </w:p>
    <w:p>
      <w:pPr>
        <w:spacing w:after="0" w:line="93" w:lineRule="exact"/>
        <w:rPr>
          <w:rFonts w:ascii="Arial" w:cs="Arial" w:eastAsia="Arial" w:hAnsi="Arial"/>
          <w:sz w:val="18"/>
          <w:szCs w:val="18"/>
          <w:color w:val="auto"/>
        </w:rPr>
      </w:pPr>
    </w:p>
    <w:p>
      <w:pPr>
        <w:ind w:left="1300" w:right="420" w:hanging="535"/>
        <w:spacing w:after="0" w:line="263" w:lineRule="auto"/>
        <w:tabs>
          <w:tab w:leader="none" w:pos="1300" w:val="left"/>
        </w:tabs>
        <w:numPr>
          <w:ilvl w:val="0"/>
          <w:numId w:val="990"/>
        </w:numPr>
        <w:rPr>
          <w:rFonts w:ascii="Arial" w:cs="Arial" w:eastAsia="Arial" w:hAnsi="Arial"/>
          <w:sz w:val="18"/>
          <w:szCs w:val="18"/>
          <w:color w:val="auto"/>
        </w:rPr>
      </w:pPr>
      <w:r>
        <w:rPr>
          <w:rFonts w:ascii="Arial" w:cs="Arial" w:eastAsia="Arial" w:hAnsi="Arial"/>
          <w:sz w:val="18"/>
          <w:szCs w:val="18"/>
          <w:color w:val="auto"/>
        </w:rPr>
        <w:t>Each Obligor shall notify the Agent of the occurrence promptly upon becoming aware thereof of an event of default (however described) under or in respect of any Pari Passu Debt Document (unless that Obligor is aware that a notification has already been provided by another Obligor).</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22.10</w:t>
      </w:r>
      <w:r>
        <w:rPr>
          <w:sz w:val="20"/>
          <w:szCs w:val="20"/>
          <w:color w:val="auto"/>
        </w:rPr>
        <w:tab/>
      </w:r>
      <w:r>
        <w:rPr>
          <w:rFonts w:ascii="Arial" w:cs="Arial" w:eastAsia="Arial" w:hAnsi="Arial"/>
          <w:sz w:val="16"/>
          <w:szCs w:val="16"/>
          <w:b w:val="1"/>
          <w:bCs w:val="1"/>
          <w:color w:val="auto"/>
        </w:rPr>
        <w:t>“Know your customer” checks</w:t>
      </w:r>
    </w:p>
    <w:p>
      <w:pPr>
        <w:spacing w:after="0" w:line="135" w:lineRule="exact"/>
        <w:rPr>
          <w:sz w:val="20"/>
          <w:szCs w:val="20"/>
          <w:color w:val="auto"/>
        </w:rPr>
      </w:pPr>
    </w:p>
    <w:p>
      <w:pPr>
        <w:ind w:left="1300" w:hanging="535"/>
        <w:spacing w:after="0"/>
        <w:tabs>
          <w:tab w:leader="none" w:pos="1300" w:val="left"/>
        </w:tabs>
        <w:numPr>
          <w:ilvl w:val="0"/>
          <w:numId w:val="991"/>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960" w:right="220" w:hanging="655"/>
        <w:spacing w:after="0" w:line="277" w:lineRule="auto"/>
        <w:tabs>
          <w:tab w:leader="none" w:pos="1960" w:val="left"/>
        </w:tabs>
        <w:numPr>
          <w:ilvl w:val="1"/>
          <w:numId w:val="991"/>
        </w:numPr>
        <w:rPr>
          <w:rFonts w:ascii="Arial" w:cs="Arial" w:eastAsia="Arial" w:hAnsi="Arial"/>
          <w:sz w:val="18"/>
          <w:szCs w:val="18"/>
          <w:color w:val="auto"/>
        </w:rPr>
      </w:pPr>
      <w:r>
        <w:rPr>
          <w:rFonts w:ascii="Arial" w:cs="Arial" w:eastAsia="Arial" w:hAnsi="Arial"/>
          <w:sz w:val="18"/>
          <w:szCs w:val="18"/>
          <w:color w:val="auto"/>
        </w:rPr>
        <w:t>any existing law or regulation or the introduction of or any change in (or in the interpretation, administration or application of) any law or regulation made after the date of this Agreement;</w:t>
      </w:r>
    </w:p>
    <w:p>
      <w:pPr>
        <w:spacing w:after="0" w:line="75" w:lineRule="exact"/>
        <w:rPr>
          <w:rFonts w:ascii="Arial" w:cs="Arial" w:eastAsia="Arial" w:hAnsi="Arial"/>
          <w:sz w:val="18"/>
          <w:szCs w:val="18"/>
          <w:color w:val="auto"/>
        </w:rPr>
      </w:pPr>
    </w:p>
    <w:p>
      <w:pPr>
        <w:ind w:left="1960" w:right="140" w:hanging="655"/>
        <w:spacing w:after="0" w:line="277" w:lineRule="auto"/>
        <w:tabs>
          <w:tab w:leader="none" w:pos="1960" w:val="left"/>
        </w:tabs>
        <w:numPr>
          <w:ilvl w:val="1"/>
          <w:numId w:val="991"/>
        </w:numPr>
        <w:rPr>
          <w:rFonts w:ascii="Arial" w:cs="Arial" w:eastAsia="Arial" w:hAnsi="Arial"/>
          <w:sz w:val="18"/>
          <w:szCs w:val="18"/>
          <w:color w:val="auto"/>
        </w:rPr>
      </w:pPr>
      <w:r>
        <w:rPr>
          <w:rFonts w:ascii="Arial" w:cs="Arial" w:eastAsia="Arial" w:hAnsi="Arial"/>
          <w:sz w:val="18"/>
          <w:szCs w:val="18"/>
          <w:color w:val="auto"/>
        </w:rPr>
        <w:t>any change in the status of an Obligor or the composition of the shareholders of an Obligor after the date of this Agreement; or</w:t>
      </w:r>
    </w:p>
    <w:p>
      <w:pPr>
        <w:spacing w:after="0" w:line="75" w:lineRule="exact"/>
        <w:rPr>
          <w:rFonts w:ascii="Arial" w:cs="Arial" w:eastAsia="Arial" w:hAnsi="Arial"/>
          <w:sz w:val="18"/>
          <w:szCs w:val="18"/>
          <w:color w:val="auto"/>
        </w:rPr>
      </w:pPr>
    </w:p>
    <w:p>
      <w:pPr>
        <w:ind w:left="1960" w:right="220" w:hanging="655"/>
        <w:spacing w:after="0" w:line="277" w:lineRule="auto"/>
        <w:tabs>
          <w:tab w:leader="none" w:pos="1960" w:val="left"/>
        </w:tabs>
        <w:numPr>
          <w:ilvl w:val="1"/>
          <w:numId w:val="991"/>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and/or obligations under this Agreement to a party that is not a Lender prior to such assignment or transfer,</w:t>
      </w:r>
    </w:p>
    <w:p>
      <w:pPr>
        <w:spacing w:after="0" w:line="62" w:lineRule="exact"/>
        <w:rPr>
          <w:sz w:val="20"/>
          <w:szCs w:val="20"/>
          <w:color w:val="auto"/>
        </w:rPr>
      </w:pPr>
    </w:p>
    <w:p>
      <w:pPr>
        <w:ind w:left="1320" w:right="120"/>
        <w:spacing w:after="0" w:line="271" w:lineRule="auto"/>
        <w:rPr>
          <w:sz w:val="20"/>
          <w:szCs w:val="20"/>
          <w:color w:val="auto"/>
        </w:rPr>
      </w:pPr>
      <w:r>
        <w:rPr>
          <w:rFonts w:ascii="Arial" w:cs="Arial" w:eastAsia="Arial" w:hAnsi="Arial"/>
          <w:sz w:val="17"/>
          <w:szCs w:val="17"/>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with the results of all necessary “know your customer” or other similar checks under all applicable laws and regulations pursuant to the transactions contemplated in the Finance Documents.</w:t>
      </w:r>
    </w:p>
    <w:p>
      <w:pPr>
        <w:spacing w:after="0" w:line="111"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89" w:name="page690"/>
    <w:bookmarkEnd w:id="689"/>
    <w:p>
      <w:pPr>
        <w:ind w:left="1304" w:right="60" w:hanging="535"/>
        <w:spacing w:after="0" w:line="259" w:lineRule="auto"/>
        <w:tabs>
          <w:tab w:leader="none" w:pos="1304" w:val="left"/>
        </w:tabs>
        <w:numPr>
          <w:ilvl w:val="0"/>
          <w:numId w:val="9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shall promptly upon the request of the Agent supply, or procure the supply of, such documentation and other evidence as is reasonably requested by the Agent (for itself) in order for the Agent to carry out and be satisfied with the results of all necessary “know your customer” or other similar checks under all applicable laws and regulations pursuant to the transactions contemplated in the Finance Documents.</w:t>
      </w:r>
    </w:p>
    <w:p>
      <w:pPr>
        <w:spacing w:after="0" w:line="92" w:lineRule="exact"/>
        <w:rPr>
          <w:rFonts w:ascii="Arial" w:cs="Arial" w:eastAsia="Arial" w:hAnsi="Arial"/>
          <w:sz w:val="18"/>
          <w:szCs w:val="18"/>
          <w:color w:val="auto"/>
        </w:rPr>
      </w:pPr>
    </w:p>
    <w:p>
      <w:pPr>
        <w:jc w:val="both"/>
        <w:ind w:left="1304" w:right="200" w:hanging="535"/>
        <w:spacing w:after="0" w:line="263" w:lineRule="auto"/>
        <w:tabs>
          <w:tab w:leader="none" w:pos="1304" w:val="left"/>
        </w:tabs>
        <w:numPr>
          <w:ilvl w:val="0"/>
          <w:numId w:val="992"/>
        </w:numPr>
        <w:rPr>
          <w:rFonts w:ascii="Arial" w:cs="Arial" w:eastAsia="Arial" w:hAnsi="Arial"/>
          <w:sz w:val="18"/>
          <w:szCs w:val="18"/>
          <w:color w:val="auto"/>
        </w:rPr>
      </w:pPr>
      <w:r>
        <w:rPr>
          <w:rFonts w:ascii="Arial" w:cs="Arial" w:eastAsia="Arial" w:hAnsi="Arial"/>
          <w:sz w:val="18"/>
          <w:szCs w:val="18"/>
          <w:color w:val="auto"/>
        </w:rPr>
        <w:t>The Parent shall, by not less than 10 Business Days’ prior written notice to the Agent, notify the Agent (which shall promptly notify the Lenders) of its intention to request that one of its Subsidiaries becomes an Additional Guarantor pursuant to Clause 27 (</w:t>
      </w:r>
      <w:r>
        <w:rPr>
          <w:rFonts w:ascii="Arial" w:cs="Arial" w:eastAsia="Arial" w:hAnsi="Arial"/>
          <w:sz w:val="18"/>
          <w:szCs w:val="18"/>
          <w:i w:val="1"/>
          <w:iCs w:val="1"/>
          <w:color w:val="auto"/>
        </w:rPr>
        <w:t>Changes</w:t>
      </w:r>
      <w:r>
        <w:rPr>
          <w:rFonts w:ascii="Arial" w:cs="Arial" w:eastAsia="Arial" w:hAnsi="Arial"/>
          <w:sz w:val="18"/>
          <w:szCs w:val="18"/>
          <w:color w:val="auto"/>
        </w:rPr>
        <w:t xml:space="preserve"> </w:t>
      </w:r>
      <w:r>
        <w:rPr>
          <w:rFonts w:ascii="Arial" w:cs="Arial" w:eastAsia="Arial" w:hAnsi="Arial"/>
          <w:sz w:val="18"/>
          <w:szCs w:val="18"/>
          <w:i w:val="1"/>
          <w:iCs w:val="1"/>
          <w:color w:val="auto"/>
        </w:rPr>
        <w:t>to the Obligors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304" w:right="20" w:hanging="535"/>
        <w:spacing w:after="0" w:line="291" w:lineRule="auto"/>
        <w:tabs>
          <w:tab w:leader="none" w:pos="1304" w:val="left"/>
        </w:tabs>
        <w:numPr>
          <w:ilvl w:val="0"/>
          <w:numId w:val="992"/>
        </w:numPr>
        <w:rPr>
          <w:rFonts w:ascii="Arial" w:cs="Arial" w:eastAsia="Arial" w:hAnsi="Arial"/>
          <w:sz w:val="16"/>
          <w:szCs w:val="16"/>
          <w:color w:val="auto"/>
        </w:rPr>
      </w:pPr>
      <w:r>
        <w:rPr>
          <w:rFonts w:ascii="Arial" w:cs="Arial" w:eastAsia="Arial" w:hAnsi="Arial"/>
          <w:sz w:val="16"/>
          <w:szCs w:val="16"/>
          <w:color w:val="auto"/>
        </w:rPr>
        <w:t>Following the giving of any notice pursuant to paragraph (c) above, if the accession of such Additional Guarantor obliges the Agent or any Lender to comply with “know your customer” or similar identification procedures in circumstances where the necessary information is not already available to it, the Borrower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Guarantor.</w:t>
      </w:r>
    </w:p>
    <w:p>
      <w:pPr>
        <w:spacing w:after="0" w:line="31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22.11</w:t>
      </w:r>
      <w:r>
        <w:rPr>
          <w:sz w:val="20"/>
          <w:szCs w:val="20"/>
          <w:color w:val="auto"/>
        </w:rPr>
        <w:tab/>
      </w:r>
      <w:r>
        <w:rPr>
          <w:rFonts w:ascii="Arial" w:cs="Arial" w:eastAsia="Arial" w:hAnsi="Arial"/>
          <w:sz w:val="16"/>
          <w:szCs w:val="16"/>
          <w:b w:val="1"/>
          <w:bCs w:val="1"/>
          <w:color w:val="auto"/>
        </w:rPr>
        <w:t>Unrestricted Subsidiaries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7"/>
          <w:szCs w:val="17"/>
          <w:color w:val="auto"/>
        </w:rPr>
        <w:t>If any Subsidiaries of the Borrower have been designated as Unrestricted Subsidiaries, the information delivered under Clause 22.4</w:t>
      </w:r>
    </w:p>
    <w:p>
      <w:pPr>
        <w:spacing w:after="0" w:line="35" w:lineRule="exact"/>
        <w:rPr>
          <w:sz w:val="20"/>
          <w:szCs w:val="20"/>
          <w:color w:val="auto"/>
        </w:rPr>
      </w:pPr>
    </w:p>
    <w:p>
      <w:pPr>
        <w:ind w:left="764" w:right="5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statements</w:t>
      </w:r>
      <w:r>
        <w:rPr>
          <w:rFonts w:ascii="Arial" w:cs="Arial" w:eastAsia="Arial" w:hAnsi="Arial"/>
          <w:sz w:val="18"/>
          <w:szCs w:val="18"/>
          <w:color w:val="auto"/>
        </w:rPr>
        <w:t>) will include reasonably detailed information as to the financial condition of the Group separate from that of the Unrestricted Subsidiaries.</w:t>
      </w:r>
    </w:p>
    <w:p>
      <w:pPr>
        <w:spacing w:after="0" w:line="330" w:lineRule="exact"/>
        <w:rPr>
          <w:sz w:val="20"/>
          <w:szCs w:val="20"/>
          <w:color w:val="auto"/>
        </w:rPr>
      </w:pPr>
    </w:p>
    <w:p>
      <w:pPr>
        <w:ind w:left="764" w:hanging="764"/>
        <w:spacing w:after="0"/>
        <w:tabs>
          <w:tab w:leader="none" w:pos="764" w:val="left"/>
        </w:tabs>
        <w:numPr>
          <w:ilvl w:val="0"/>
          <w:numId w:val="993"/>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undertakings</w:t>
      </w:r>
    </w:p>
    <w:p>
      <w:pPr>
        <w:spacing w:after="0" w:line="121" w:lineRule="exact"/>
        <w:rPr>
          <w:rFonts w:ascii="Arial" w:cs="Arial" w:eastAsia="Arial" w:hAnsi="Arial"/>
          <w:sz w:val="18"/>
          <w:szCs w:val="18"/>
          <w:b w:val="1"/>
          <w:bCs w:val="1"/>
          <w:color w:val="auto"/>
        </w:rPr>
      </w:pPr>
    </w:p>
    <w:p>
      <w:pPr>
        <w:ind w:left="764"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undertakings in this Clause 23 shall continue for so long as any amount is outstanding under the Finance Documents or any Revolving Commitment is in force.</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5"/>
          <w:szCs w:val="15"/>
          <w:b w:val="1"/>
          <w:bCs w:val="1"/>
          <w:color w:val="auto"/>
        </w:rPr>
        <w:t>Notes covenants</w:t>
      </w:r>
    </w:p>
    <w:p>
      <w:pPr>
        <w:spacing w:after="0" w:line="121" w:lineRule="exact"/>
        <w:rPr>
          <w:sz w:val="20"/>
          <w:szCs w:val="20"/>
          <w:color w:val="auto"/>
        </w:rPr>
      </w:pPr>
    </w:p>
    <w:p>
      <w:pPr>
        <w:ind w:left="764" w:right="40"/>
        <w:spacing w:after="0" w:line="277" w:lineRule="auto"/>
        <w:rPr>
          <w:sz w:val="20"/>
          <w:szCs w:val="20"/>
          <w:color w:val="auto"/>
        </w:rPr>
      </w:pPr>
      <w:r>
        <w:rPr>
          <w:rFonts w:ascii="Arial" w:cs="Arial" w:eastAsia="Arial" w:hAnsi="Arial"/>
          <w:sz w:val="18"/>
          <w:szCs w:val="18"/>
          <w:color w:val="auto"/>
        </w:rPr>
        <w:t>In addition to the undertakings set out below in this Clause 23, below, each Obligor shall (and the Parent shall ensure that each member of the Group will) comply with each of the covenants set out in Schedule 10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Permits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Each Obligor shall promptly:</w:t>
      </w:r>
    </w:p>
    <w:p>
      <w:pPr>
        <w:spacing w:after="0" w:line="131" w:lineRule="exact"/>
        <w:rPr>
          <w:sz w:val="20"/>
          <w:szCs w:val="20"/>
          <w:color w:val="auto"/>
        </w:rPr>
      </w:pPr>
    </w:p>
    <w:p>
      <w:pPr>
        <w:ind w:left="1304" w:hanging="535"/>
        <w:spacing w:after="0"/>
        <w:tabs>
          <w:tab w:leader="none" w:pos="1304" w:val="left"/>
        </w:tabs>
        <w:numPr>
          <w:ilvl w:val="0"/>
          <w:numId w:val="994"/>
        </w:numPr>
        <w:rPr>
          <w:rFonts w:ascii="Arial" w:cs="Arial" w:eastAsia="Arial" w:hAnsi="Arial"/>
          <w:sz w:val="18"/>
          <w:szCs w:val="18"/>
          <w:color w:val="auto"/>
        </w:rPr>
      </w:pPr>
      <w:r>
        <w:rPr>
          <w:rFonts w:ascii="Arial" w:cs="Arial" w:eastAsia="Arial" w:hAnsi="Arial"/>
          <w:sz w:val="18"/>
          <w:szCs w:val="18"/>
          <w:color w:val="auto"/>
        </w:rPr>
        <w:t>when necessary obtain, comply with and do all that is necessary to maintain in full force and effect; and</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0"/>
          <w:numId w:val="994"/>
        </w:numPr>
        <w:rPr>
          <w:rFonts w:ascii="Arial" w:cs="Arial" w:eastAsia="Arial" w:hAnsi="Arial"/>
          <w:sz w:val="18"/>
          <w:szCs w:val="18"/>
          <w:color w:val="auto"/>
        </w:rPr>
      </w:pPr>
      <w:r>
        <w:rPr>
          <w:rFonts w:ascii="Arial" w:cs="Arial" w:eastAsia="Arial" w:hAnsi="Arial"/>
          <w:sz w:val="18"/>
          <w:szCs w:val="18"/>
          <w:color w:val="auto"/>
        </w:rPr>
        <w:t>upon request by the Agent supply certified copies to the Agent of,</w:t>
      </w:r>
    </w:p>
    <w:p>
      <w:pPr>
        <w:spacing w:after="0" w:line="117" w:lineRule="exact"/>
        <w:rPr>
          <w:sz w:val="20"/>
          <w:szCs w:val="20"/>
          <w:color w:val="auto"/>
        </w:rPr>
      </w:pPr>
    </w:p>
    <w:p>
      <w:pPr>
        <w:ind w:left="764" w:right="640"/>
        <w:spacing w:after="0" w:line="277" w:lineRule="auto"/>
        <w:rPr>
          <w:sz w:val="20"/>
          <w:szCs w:val="20"/>
          <w:color w:val="auto"/>
        </w:rPr>
      </w:pPr>
      <w:r>
        <w:rPr>
          <w:rFonts w:ascii="Arial" w:cs="Arial" w:eastAsia="Arial" w:hAnsi="Arial"/>
          <w:sz w:val="18"/>
          <w:szCs w:val="18"/>
          <w:color w:val="auto"/>
        </w:rPr>
        <w:t>any Permit (including any amendments, supplements or other modifications thereto) and any Authorisation required under any law or regulation of a Relevant Jurisdiction to:</w:t>
      </w:r>
    </w:p>
    <w:p>
      <w:pPr>
        <w:spacing w:after="0" w:line="76" w:lineRule="exact"/>
        <w:rPr>
          <w:sz w:val="20"/>
          <w:szCs w:val="20"/>
          <w:color w:val="auto"/>
        </w:rPr>
      </w:pPr>
    </w:p>
    <w:p>
      <w:pPr>
        <w:ind w:left="1964" w:hanging="655"/>
        <w:spacing w:after="0"/>
        <w:tabs>
          <w:tab w:leader="none" w:pos="1964" w:val="left"/>
        </w:tabs>
        <w:numPr>
          <w:ilvl w:val="0"/>
          <w:numId w:val="995"/>
        </w:numPr>
        <w:rPr>
          <w:rFonts w:ascii="Arial" w:cs="Arial" w:eastAsia="Arial" w:hAnsi="Arial"/>
          <w:sz w:val="18"/>
          <w:szCs w:val="18"/>
          <w:color w:val="auto"/>
        </w:rPr>
      </w:pPr>
      <w:r>
        <w:rPr>
          <w:rFonts w:ascii="Arial" w:cs="Arial" w:eastAsia="Arial" w:hAnsi="Arial"/>
          <w:sz w:val="18"/>
          <w:szCs w:val="18"/>
          <w:color w:val="auto"/>
        </w:rPr>
        <w:t>enable it to perform its obligations under the Transaction Documents;</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0"/>
          <w:numId w:val="995"/>
        </w:numPr>
        <w:rPr>
          <w:rFonts w:ascii="Arial" w:cs="Arial" w:eastAsia="Arial" w:hAnsi="Arial"/>
          <w:sz w:val="18"/>
          <w:szCs w:val="18"/>
          <w:color w:val="auto"/>
        </w:rPr>
      </w:pPr>
      <w:r>
        <w:rPr>
          <w:rFonts w:ascii="Arial" w:cs="Arial" w:eastAsia="Arial" w:hAnsi="Arial"/>
          <w:sz w:val="18"/>
          <w:szCs w:val="18"/>
          <w:color w:val="auto"/>
        </w:rPr>
        <w:t>ensure the legality, validity, enforceability or admissibility in evidence of any Transaction Document; and</w:t>
      </w:r>
    </w:p>
    <w:p>
      <w:pPr>
        <w:spacing w:after="0" w:line="158"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690" w:name="page691"/>
    <w:bookmarkEnd w:id="690"/>
    <w:p>
      <w:pPr>
        <w:ind w:left="1960" w:right="120" w:hanging="655"/>
        <w:spacing w:after="0" w:line="277" w:lineRule="auto"/>
        <w:tabs>
          <w:tab w:leader="none" w:pos="1960" w:val="left"/>
        </w:tabs>
        <w:numPr>
          <w:ilvl w:val="0"/>
          <w:numId w:val="9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enable it to own its assets and to carry on its business (including any assets owned and business conducted or proposed to be owned or conducted in connection with the Property),</w:t>
      </w:r>
    </w:p>
    <w:p>
      <w:pPr>
        <w:spacing w:after="0" w:line="62" w:lineRule="exact"/>
        <w:rPr>
          <w:sz w:val="20"/>
          <w:szCs w:val="20"/>
          <w:color w:val="auto"/>
        </w:rPr>
      </w:pPr>
    </w:p>
    <w:p>
      <w:pPr>
        <w:ind w:left="760" w:right="160"/>
        <w:spacing w:after="0" w:line="277" w:lineRule="auto"/>
        <w:rPr>
          <w:sz w:val="20"/>
          <w:szCs w:val="20"/>
          <w:color w:val="auto"/>
        </w:rPr>
      </w:pPr>
      <w:r>
        <w:rPr>
          <w:rFonts w:ascii="Arial" w:cs="Arial" w:eastAsia="Arial" w:hAnsi="Arial"/>
          <w:sz w:val="18"/>
          <w:szCs w:val="18"/>
          <w:color w:val="auto"/>
        </w:rPr>
        <w:t>where failure to obtain or comply with those Permits or Authorisations would reasonably be expected to have a Material Adverse Effect and shall promptly deliver to the Agent:</w:t>
      </w:r>
    </w:p>
    <w:p>
      <w:pPr>
        <w:spacing w:after="0" w:line="76" w:lineRule="exact"/>
        <w:rPr>
          <w:sz w:val="20"/>
          <w:szCs w:val="20"/>
          <w:color w:val="auto"/>
        </w:rPr>
      </w:pPr>
    </w:p>
    <w:p>
      <w:pPr>
        <w:ind w:left="2500" w:right="20" w:hanging="533"/>
        <w:spacing w:after="0" w:line="259" w:lineRule="auto"/>
        <w:tabs>
          <w:tab w:leader="none" w:pos="250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any notice that any Governmental Authority may condition approval of, or any application for, any of those Permits or Authorisations held by it on terms and conditions that are materially burdensome to the Obligor, or to the operation of any of its businesses or any assets owned by it to the extent comprised in the Property, in each case in a manner not previously contemplated; and</w:t>
      </w:r>
    </w:p>
    <w:p>
      <w:pPr>
        <w:spacing w:after="0" w:line="92" w:lineRule="exact"/>
        <w:rPr>
          <w:rFonts w:ascii="Arial" w:cs="Arial" w:eastAsia="Arial" w:hAnsi="Arial"/>
          <w:sz w:val="18"/>
          <w:szCs w:val="18"/>
          <w:color w:val="auto"/>
        </w:rPr>
      </w:pPr>
    </w:p>
    <w:p>
      <w:pPr>
        <w:ind w:left="2500" w:right="180" w:hanging="533"/>
        <w:spacing w:after="0" w:line="277" w:lineRule="auto"/>
        <w:tabs>
          <w:tab w:leader="none" w:pos="250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such other documents and information as from time to time may reasonably be requested by the Agent in relation to any of the matters referred to in this paragraph Clause 23.2.</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Compliance with laws</w:t>
      </w:r>
    </w:p>
    <w:p>
      <w:pPr>
        <w:spacing w:after="0" w:line="121" w:lineRule="exact"/>
        <w:rPr>
          <w:sz w:val="20"/>
          <w:szCs w:val="20"/>
          <w:color w:val="auto"/>
        </w:rPr>
      </w:pPr>
    </w:p>
    <w:p>
      <w:pPr>
        <w:ind w:left="760" w:right="60"/>
        <w:spacing w:after="0" w:line="255" w:lineRule="auto"/>
        <w:rPr>
          <w:sz w:val="20"/>
          <w:szCs w:val="20"/>
          <w:color w:val="auto"/>
        </w:rPr>
      </w:pPr>
      <w:r>
        <w:rPr>
          <w:rFonts w:ascii="Arial" w:cs="Arial" w:eastAsia="Arial" w:hAnsi="Arial"/>
          <w:sz w:val="18"/>
          <w:szCs w:val="18"/>
          <w:color w:val="auto"/>
        </w:rPr>
        <w:t>Each Obligor shall comply in all respects with all Legal Requirements (where failure to do so has or would be reasonably expected to have a Material Adverse Effect) and its Constitutional Documents and will comply with (and conduct its business in compliance with) all applicable anti-money laundering, non-corruption, counter-terrorism financing, economic or trade sanctions laws and regulations in each case applicable to an Obligor (including, without limitation, each Anti-Terrorism Law), will not directly or indirectly use the proceeds of the Facilities in a manner which would breach any such laws and regulations and will maintain policies and procedures designed to promote and achieve compliance with such laws and regulations.</w:t>
      </w:r>
    </w:p>
    <w:p>
      <w:pPr>
        <w:spacing w:after="0" w:line="33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b w:val="1"/>
          <w:bCs w:val="1"/>
          <w:color w:val="auto"/>
        </w:rPr>
        <w:t>Environmental compliance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Obligor shall:</w:t>
      </w:r>
    </w:p>
    <w:p>
      <w:pPr>
        <w:spacing w:after="0" w:line="131" w:lineRule="exact"/>
        <w:rPr>
          <w:sz w:val="20"/>
          <w:szCs w:val="20"/>
          <w:color w:val="auto"/>
        </w:rPr>
      </w:pPr>
    </w:p>
    <w:p>
      <w:pPr>
        <w:ind w:left="1300" w:hanging="535"/>
        <w:spacing w:after="0"/>
        <w:tabs>
          <w:tab w:leader="none" w:pos="130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comply in all material respects with all Environmental Laws applicable to it;</w:t>
      </w:r>
    </w:p>
    <w:p>
      <w:pPr>
        <w:spacing w:after="0" w:line="130" w:lineRule="exact"/>
        <w:rPr>
          <w:rFonts w:ascii="Arial" w:cs="Arial" w:eastAsia="Arial" w:hAnsi="Arial"/>
          <w:sz w:val="18"/>
          <w:szCs w:val="18"/>
          <w:color w:val="auto"/>
        </w:rPr>
      </w:pPr>
    </w:p>
    <w:p>
      <w:pPr>
        <w:ind w:left="1300" w:hanging="535"/>
        <w:spacing w:after="0"/>
        <w:tabs>
          <w:tab w:leader="none" w:pos="130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obtain, maintain and ensure compliance in all material respects with all requisite Environmental Permits;</w:t>
      </w:r>
    </w:p>
    <w:p>
      <w:pPr>
        <w:spacing w:after="0" w:line="130" w:lineRule="exact"/>
        <w:rPr>
          <w:rFonts w:ascii="Arial" w:cs="Arial" w:eastAsia="Arial" w:hAnsi="Arial"/>
          <w:sz w:val="18"/>
          <w:szCs w:val="18"/>
          <w:color w:val="auto"/>
        </w:rPr>
      </w:pPr>
    </w:p>
    <w:p>
      <w:pPr>
        <w:ind w:left="760" w:right="2120" w:firstLine="5"/>
        <w:spacing w:after="0" w:line="440" w:lineRule="auto"/>
        <w:tabs>
          <w:tab w:leader="none" w:pos="1298" w:val="left"/>
        </w:tabs>
        <w:numPr>
          <w:ilvl w:val="0"/>
          <w:numId w:val="998"/>
        </w:numPr>
        <w:rPr>
          <w:rFonts w:ascii="Arial" w:cs="Arial" w:eastAsia="Arial" w:hAnsi="Arial"/>
          <w:sz w:val="17"/>
          <w:szCs w:val="17"/>
          <w:color w:val="auto"/>
        </w:rPr>
      </w:pPr>
      <w:r>
        <w:rPr>
          <w:rFonts w:ascii="Arial" w:cs="Arial" w:eastAsia="Arial" w:hAnsi="Arial"/>
          <w:sz w:val="17"/>
          <w:szCs w:val="17"/>
          <w:color w:val="auto"/>
        </w:rPr>
        <w:t>implement procedures to monitor compliance with and to prevent liability under any Environmental Law, where failure to do so has or would reasonably be expected to have a Material Adverse Effect.</w:t>
      </w:r>
    </w:p>
    <w:p>
      <w:pPr>
        <w:spacing w:after="0" w:line="18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Environmental claims</w:t>
      </w:r>
    </w:p>
    <w:p>
      <w:pPr>
        <w:spacing w:after="0" w:line="12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Each Obligor shall (through the Parent) inform the Agent in writing as soon as reasonably practicable upon its becoming aware of:</w:t>
      </w:r>
    </w:p>
    <w:p>
      <w:pPr>
        <w:spacing w:after="0" w:line="131" w:lineRule="exact"/>
        <w:rPr>
          <w:sz w:val="20"/>
          <w:szCs w:val="20"/>
          <w:color w:val="auto"/>
        </w:rPr>
      </w:pPr>
    </w:p>
    <w:p>
      <w:pPr>
        <w:ind w:left="1300" w:right="300" w:hanging="535"/>
        <w:spacing w:after="0" w:line="311" w:lineRule="auto"/>
        <w:tabs>
          <w:tab w:leader="none" w:pos="1300" w:val="left"/>
        </w:tabs>
        <w:numPr>
          <w:ilvl w:val="0"/>
          <w:numId w:val="999"/>
        </w:numPr>
        <w:rPr>
          <w:rFonts w:ascii="Arial" w:cs="Arial" w:eastAsia="Arial" w:hAnsi="Arial"/>
          <w:sz w:val="16"/>
          <w:szCs w:val="16"/>
          <w:color w:val="auto"/>
        </w:rPr>
      </w:pPr>
      <w:r>
        <w:rPr>
          <w:rFonts w:ascii="Arial" w:cs="Arial" w:eastAsia="Arial" w:hAnsi="Arial"/>
          <w:sz w:val="16"/>
          <w:szCs w:val="16"/>
          <w:color w:val="auto"/>
        </w:rPr>
        <w:t>any Environmental Claim that has commenced or been threatened against any member of the Group which is current, pending or threatened (including copies of any notices from any Governmental Authority of non compliance with any material Environmental Law or Environmental Permit to which the Property is subject and any other notices of Environmental Claims); or</w:t>
      </w:r>
    </w:p>
    <w:p>
      <w:pPr>
        <w:spacing w:after="0" w:line="54" w:lineRule="exact"/>
        <w:rPr>
          <w:rFonts w:ascii="Arial" w:cs="Arial" w:eastAsia="Arial" w:hAnsi="Arial"/>
          <w:sz w:val="16"/>
          <w:szCs w:val="16"/>
          <w:color w:val="auto"/>
        </w:rPr>
      </w:pPr>
    </w:p>
    <w:p>
      <w:pPr>
        <w:ind w:left="1300" w:right="140" w:hanging="535"/>
        <w:spacing w:after="0" w:line="277" w:lineRule="auto"/>
        <w:tabs>
          <w:tab w:leader="none" w:pos="1300" w:val="left"/>
        </w:tabs>
        <w:numPr>
          <w:ilvl w:val="0"/>
          <w:numId w:val="999"/>
        </w:numPr>
        <w:rPr>
          <w:rFonts w:ascii="Arial" w:cs="Arial" w:eastAsia="Arial" w:hAnsi="Arial"/>
          <w:sz w:val="18"/>
          <w:szCs w:val="18"/>
          <w:color w:val="auto"/>
        </w:rPr>
      </w:pPr>
      <w:r>
        <w:rPr>
          <w:rFonts w:ascii="Arial" w:cs="Arial" w:eastAsia="Arial" w:hAnsi="Arial"/>
          <w:sz w:val="18"/>
          <w:szCs w:val="18"/>
          <w:color w:val="auto"/>
        </w:rPr>
        <w:t>any facts or circumstances which results in or would reasonably be expected to result in any Environmental Claim being commenced or threatened against any member of the Group,</w:t>
      </w:r>
    </w:p>
    <w:p>
      <w:pPr>
        <w:spacing w:after="0" w:line="103"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91" w:name="page692"/>
    <w:bookmarkEnd w:id="691"/>
    <w:p>
      <w:pPr>
        <w:ind w:left="76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where such Environmental Claim has or would reasonably be expected, if determined against that member of the Group, to have a Material Adverse Effect.</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6"/>
          <w:szCs w:val="16"/>
          <w:b w:val="1"/>
          <w:bCs w:val="1"/>
          <w:color w:val="auto"/>
        </w:rPr>
        <w:t>Taxation</w:t>
      </w:r>
    </w:p>
    <w:p>
      <w:pPr>
        <w:spacing w:after="0" w:line="135" w:lineRule="exact"/>
        <w:rPr>
          <w:sz w:val="20"/>
          <w:szCs w:val="20"/>
          <w:color w:val="auto"/>
        </w:rPr>
      </w:pPr>
    </w:p>
    <w:p>
      <w:pPr>
        <w:ind w:left="1300" w:right="100" w:hanging="535"/>
        <w:spacing w:after="0" w:line="277" w:lineRule="auto"/>
        <w:tabs>
          <w:tab w:leader="none" w:pos="1300" w:val="left"/>
        </w:tabs>
        <w:numPr>
          <w:ilvl w:val="0"/>
          <w:numId w:val="1000"/>
        </w:numPr>
        <w:rPr>
          <w:rFonts w:ascii="Arial" w:cs="Arial" w:eastAsia="Arial" w:hAnsi="Arial"/>
          <w:sz w:val="18"/>
          <w:szCs w:val="18"/>
          <w:color w:val="auto"/>
        </w:rPr>
      </w:pPr>
      <w:r>
        <w:rPr>
          <w:rFonts w:ascii="Arial" w:cs="Arial" w:eastAsia="Arial" w:hAnsi="Arial"/>
          <w:sz w:val="18"/>
          <w:szCs w:val="18"/>
          <w:color w:val="auto"/>
        </w:rPr>
        <w:t>Each Obligor shall duly and punctually pay and discharge all Taxes required to be paid by it when due within the time period allowed without incurring penalties unless and only to the extent that:</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1000"/>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00"/>
        </w:numPr>
        <w:rPr>
          <w:rFonts w:ascii="Arial" w:cs="Arial" w:eastAsia="Arial" w:hAnsi="Arial"/>
          <w:sz w:val="16"/>
          <w:szCs w:val="16"/>
          <w:color w:val="auto"/>
        </w:rPr>
      </w:pPr>
      <w:r>
        <w:rPr>
          <w:rFonts w:ascii="Arial" w:cs="Arial" w:eastAsia="Arial" w:hAnsi="Arial"/>
          <w:sz w:val="16"/>
          <w:szCs w:val="16"/>
          <w:color w:val="auto"/>
        </w:rPr>
        <w:t>adequate reserves are being maintained for those Taxes or other obligations and the costs required to contest them; and</w:t>
      </w:r>
    </w:p>
    <w:p>
      <w:pPr>
        <w:spacing w:after="0" w:line="153" w:lineRule="exact"/>
        <w:rPr>
          <w:rFonts w:ascii="Arial" w:cs="Arial" w:eastAsia="Arial" w:hAnsi="Arial"/>
          <w:sz w:val="16"/>
          <w:szCs w:val="16"/>
          <w:color w:val="auto"/>
        </w:rPr>
      </w:pPr>
    </w:p>
    <w:p>
      <w:pPr>
        <w:ind w:left="1960" w:right="480" w:hanging="655"/>
        <w:spacing w:after="0" w:line="277" w:lineRule="auto"/>
        <w:tabs>
          <w:tab w:leader="none" w:pos="1960" w:val="left"/>
        </w:tabs>
        <w:numPr>
          <w:ilvl w:val="1"/>
          <w:numId w:val="1000"/>
        </w:numPr>
        <w:rPr>
          <w:rFonts w:ascii="Arial" w:cs="Arial" w:eastAsia="Arial" w:hAnsi="Arial"/>
          <w:sz w:val="18"/>
          <w:szCs w:val="18"/>
          <w:color w:val="auto"/>
        </w:rPr>
      </w:pPr>
      <w:r>
        <w:rPr>
          <w:rFonts w:ascii="Arial" w:cs="Arial" w:eastAsia="Arial" w:hAnsi="Arial"/>
          <w:sz w:val="18"/>
          <w:szCs w:val="18"/>
          <w:color w:val="auto"/>
        </w:rPr>
        <w:t>such payment can be lawfully withheld and failure to pay those Taxes or other obligations does not have and would not reasonably be expected to have a Material Adverse Effect.</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1000"/>
        </w:numPr>
        <w:rPr>
          <w:rFonts w:ascii="Arial" w:cs="Arial" w:eastAsia="Arial" w:hAnsi="Arial"/>
          <w:sz w:val="18"/>
          <w:szCs w:val="18"/>
          <w:color w:val="auto"/>
        </w:rPr>
      </w:pPr>
      <w:r>
        <w:rPr>
          <w:rFonts w:ascii="Arial" w:cs="Arial" w:eastAsia="Arial" w:hAnsi="Arial"/>
          <w:sz w:val="18"/>
          <w:szCs w:val="18"/>
          <w:color w:val="auto"/>
        </w:rPr>
        <w:t>No Obligor may change its residence for Tax purposes.</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5"/>
          <w:szCs w:val="15"/>
          <w:b w:val="1"/>
          <w:bCs w:val="1"/>
          <w:color w:val="auto"/>
        </w:rPr>
        <w:t>No substantial change to the general nature of the business of the Group</w:t>
      </w:r>
    </w:p>
    <w:p>
      <w:pPr>
        <w:spacing w:after="0" w:line="121" w:lineRule="exact"/>
        <w:rPr>
          <w:sz w:val="20"/>
          <w:szCs w:val="20"/>
          <w:color w:val="auto"/>
        </w:rPr>
      </w:pPr>
    </w:p>
    <w:p>
      <w:pPr>
        <w:ind w:left="760" w:right="200"/>
        <w:spacing w:after="0" w:line="277" w:lineRule="auto"/>
        <w:rPr>
          <w:sz w:val="20"/>
          <w:szCs w:val="20"/>
          <w:color w:val="auto"/>
        </w:rPr>
      </w:pPr>
      <w:r>
        <w:rPr>
          <w:rFonts w:ascii="Arial" w:cs="Arial" w:eastAsia="Arial" w:hAnsi="Arial"/>
          <w:sz w:val="18"/>
          <w:szCs w:val="18"/>
          <w:color w:val="auto"/>
        </w:rPr>
        <w:t>The Borrower shall procure that no substantial change is made to the general nature of the business of the Group taken as a whole from that carried on as at 9 November 2016.</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6"/>
          <w:szCs w:val="16"/>
          <w:b w:val="1"/>
          <w:bCs w:val="1"/>
          <w:color w:val="auto"/>
        </w:rPr>
        <w:t>Holding companies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 of the Parent, the Borrower shall trade, carry on any business or own any assets or incur any liabilities except for:</w:t>
      </w:r>
    </w:p>
    <w:p>
      <w:pPr>
        <w:spacing w:after="0" w:line="131" w:lineRule="exact"/>
        <w:rPr>
          <w:sz w:val="20"/>
          <w:szCs w:val="20"/>
          <w:color w:val="auto"/>
        </w:rPr>
      </w:pPr>
    </w:p>
    <w:p>
      <w:pPr>
        <w:ind w:left="1300" w:right="660" w:hanging="535"/>
        <w:spacing w:after="0" w:line="277" w:lineRule="auto"/>
        <w:tabs>
          <w:tab w:leader="none" w:pos="1300"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(in the case of the Parent) ownership of shares in the Borrower and (in the case of the Borrower), ownership of shares in other Obligors;</w:t>
      </w:r>
    </w:p>
    <w:p>
      <w:pPr>
        <w:spacing w:after="0" w:line="75" w:lineRule="exact"/>
        <w:rPr>
          <w:rFonts w:ascii="Arial" w:cs="Arial" w:eastAsia="Arial" w:hAnsi="Arial"/>
          <w:sz w:val="18"/>
          <w:szCs w:val="18"/>
          <w:color w:val="auto"/>
        </w:rPr>
      </w:pPr>
    </w:p>
    <w:p>
      <w:pPr>
        <w:ind w:left="1300" w:right="60" w:hanging="535"/>
        <w:spacing w:after="0" w:line="263" w:lineRule="auto"/>
        <w:tabs>
          <w:tab w:leader="none" w:pos="1300"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intra-Group debit balances, intra-Group credit balances and other credit balances in bank accounts, Cash and Cash Equivalent Investments and Permitted Investments but only if those shares, credit balances, Cash and Cash Equivalent Investments and Permitted Investments are subject to the Transaction Security,</w:t>
      </w:r>
    </w:p>
    <w:p>
      <w:pPr>
        <w:spacing w:after="0" w:line="89" w:lineRule="exact"/>
        <w:rPr>
          <w:rFonts w:ascii="Arial" w:cs="Arial" w:eastAsia="Arial" w:hAnsi="Arial"/>
          <w:sz w:val="18"/>
          <w:szCs w:val="18"/>
          <w:color w:val="auto"/>
        </w:rPr>
      </w:pPr>
    </w:p>
    <w:p>
      <w:pPr>
        <w:ind w:left="1300" w:hanging="535"/>
        <w:spacing w:after="0"/>
        <w:tabs>
          <w:tab w:leader="none" w:pos="1300" w:val="left"/>
        </w:tabs>
        <w:numPr>
          <w:ilvl w:val="0"/>
          <w:numId w:val="1001"/>
        </w:numPr>
        <w:rPr>
          <w:rFonts w:ascii="Arial" w:cs="Arial" w:eastAsia="Arial" w:hAnsi="Arial"/>
          <w:sz w:val="17"/>
          <w:szCs w:val="17"/>
          <w:color w:val="auto"/>
        </w:rPr>
      </w:pPr>
      <w:r>
        <w:rPr>
          <w:rFonts w:ascii="Arial" w:cs="Arial" w:eastAsia="Arial" w:hAnsi="Arial"/>
          <w:sz w:val="17"/>
          <w:szCs w:val="17"/>
          <w:color w:val="auto"/>
        </w:rPr>
        <w:t>making of intra-Group loans not otherwise restricted by this Agreement (including pursuant to Clause 23.1 (</w:t>
      </w:r>
      <w:r>
        <w:rPr>
          <w:rFonts w:ascii="Arial" w:cs="Arial" w:eastAsia="Arial" w:hAnsi="Arial"/>
          <w:sz w:val="17"/>
          <w:szCs w:val="17"/>
          <w:i w:val="1"/>
          <w:iCs w:val="1"/>
          <w:color w:val="auto"/>
        </w:rPr>
        <w:t>Notes covenants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300" w:right="320" w:hanging="535"/>
        <w:spacing w:after="0" w:line="277" w:lineRule="auto"/>
        <w:tabs>
          <w:tab w:leader="none" w:pos="1300"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the incurrence of intra-Group financial indebtedness not otherwise restricted by this Agreement (including pursuant to Clause 23.1 (</w:t>
      </w:r>
      <w:r>
        <w:rPr>
          <w:rFonts w:ascii="Arial" w:cs="Arial" w:eastAsia="Arial" w:hAnsi="Arial"/>
          <w:sz w:val="18"/>
          <w:szCs w:val="18"/>
          <w:i w:val="1"/>
          <w:iCs w:val="1"/>
          <w:color w:val="auto"/>
        </w:rPr>
        <w:t>Notes covenants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provisions of administrative, treasury, legal, accounting and similar services to the other Obligors;</w:t>
      </w:r>
    </w:p>
    <w:p>
      <w:pPr>
        <w:spacing w:after="0" w:line="130" w:lineRule="exact"/>
        <w:rPr>
          <w:rFonts w:ascii="Arial" w:cs="Arial" w:eastAsia="Arial" w:hAnsi="Arial"/>
          <w:sz w:val="18"/>
          <w:szCs w:val="18"/>
          <w:color w:val="auto"/>
        </w:rPr>
      </w:pPr>
    </w:p>
    <w:p>
      <w:pPr>
        <w:ind w:left="1300" w:right="40" w:hanging="535"/>
        <w:spacing w:after="0" w:line="259" w:lineRule="auto"/>
        <w:tabs>
          <w:tab w:leader="none" w:pos="1300"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any liabilities under the Finance Documents, the High Yield Note Documents, and Additional High Yield Note Documents or the Pari Passu Debt Documents (and, following any High Yield Note Refinancing or Additional High Yield Note Refinancing (as the case may be), the documents or instruments relating thereto), in each case, to which it is a party and the performance of any obligation thereunder; and/or</w:t>
      </w:r>
    </w:p>
    <w:p>
      <w:pPr>
        <w:spacing w:after="0" w:line="92" w:lineRule="exact"/>
        <w:rPr>
          <w:rFonts w:ascii="Arial" w:cs="Arial" w:eastAsia="Arial" w:hAnsi="Arial"/>
          <w:sz w:val="18"/>
          <w:szCs w:val="18"/>
          <w:color w:val="auto"/>
        </w:rPr>
      </w:pPr>
    </w:p>
    <w:p>
      <w:pPr>
        <w:ind w:left="1300" w:hanging="535"/>
        <w:spacing w:after="0"/>
        <w:tabs>
          <w:tab w:leader="none" w:pos="1300"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professional fees and administration costs in the ordinary course of business as a holding company.</w:t>
      </w:r>
    </w:p>
    <w:p>
      <w:pPr>
        <w:spacing w:after="0" w:line="158"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92" w:name="page693"/>
    <w:bookmarkEnd w:id="692"/>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23.9</w:t>
      </w:r>
      <w:r>
        <w:rPr>
          <w:sz w:val="20"/>
          <w:szCs w:val="20"/>
          <w:color w:val="auto"/>
        </w:rPr>
        <w:tab/>
      </w:r>
      <w:r>
        <w:rPr>
          <w:rFonts w:ascii="Arial" w:cs="Arial" w:eastAsia="Arial" w:hAnsi="Arial"/>
          <w:sz w:val="16"/>
          <w:szCs w:val="16"/>
          <w:b w:val="1"/>
          <w:bCs w:val="1"/>
          <w:color w:val="auto"/>
        </w:rPr>
        <w:t>Pari passu ranking</w:t>
      </w:r>
    </w:p>
    <w:p>
      <w:pPr>
        <w:spacing w:after="0" w:line="121" w:lineRule="exact"/>
        <w:rPr>
          <w:sz w:val="20"/>
          <w:szCs w:val="20"/>
          <w:color w:val="auto"/>
        </w:rPr>
      </w:pPr>
    </w:p>
    <w:p>
      <w:pPr>
        <w:ind w:left="760" w:right="500"/>
        <w:spacing w:after="0" w:line="263" w:lineRule="auto"/>
        <w:rPr>
          <w:sz w:val="20"/>
          <w:szCs w:val="20"/>
          <w:color w:val="auto"/>
        </w:rPr>
      </w:pPr>
      <w:r>
        <w:rPr>
          <w:rFonts w:ascii="Arial" w:cs="Arial" w:eastAsia="Arial" w:hAnsi="Arial"/>
          <w:sz w:val="18"/>
          <w:szCs w:val="18"/>
          <w:color w:val="auto"/>
        </w:rPr>
        <w:t xml:space="preserve">Each Obligor shall ensure that at all times any unsecured and unsubordinated claims of a Finance Party against it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except those creditors whose claims are mandatorily preferred by laws of general application to companies.</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23.10</w:t>
      </w:r>
      <w:r>
        <w:rPr>
          <w:sz w:val="20"/>
          <w:szCs w:val="20"/>
          <w:color w:val="auto"/>
        </w:rPr>
        <w:tab/>
      </w:r>
      <w:r>
        <w:rPr>
          <w:rFonts w:ascii="Arial" w:cs="Arial" w:eastAsia="Arial" w:hAnsi="Arial"/>
          <w:sz w:val="16"/>
          <w:szCs w:val="16"/>
          <w:b w:val="1"/>
          <w:bCs w:val="1"/>
          <w:color w:val="auto"/>
        </w:rPr>
        <w:t>Insurance</w:t>
      </w:r>
    </w:p>
    <w:p>
      <w:pPr>
        <w:spacing w:after="0" w:line="135" w:lineRule="exact"/>
        <w:rPr>
          <w:sz w:val="20"/>
          <w:szCs w:val="20"/>
          <w:color w:val="auto"/>
        </w:rPr>
      </w:pPr>
    </w:p>
    <w:p>
      <w:pPr>
        <w:ind w:left="1300" w:right="20" w:hanging="535"/>
        <w:spacing w:after="0" w:line="308" w:lineRule="auto"/>
        <w:tabs>
          <w:tab w:leader="none" w:pos="1300" w:val="left"/>
        </w:tabs>
        <w:numPr>
          <w:ilvl w:val="0"/>
          <w:numId w:val="1002"/>
        </w:numPr>
        <w:rPr>
          <w:rFonts w:ascii="Arial" w:cs="Arial" w:eastAsia="Arial" w:hAnsi="Arial"/>
          <w:sz w:val="17"/>
          <w:szCs w:val="17"/>
          <w:color w:val="auto"/>
        </w:rPr>
      </w:pPr>
      <w:r>
        <w:rPr>
          <w:rFonts w:ascii="Arial" w:cs="Arial" w:eastAsia="Arial" w:hAnsi="Arial"/>
          <w:sz w:val="17"/>
          <w:szCs w:val="17"/>
          <w:color w:val="auto"/>
        </w:rPr>
        <w:t>Each Obligor shall maintain in full force and effect at all times insurances and reinsurances on and in relation to its business and assets against those risks and to the extent as is usual for companies carrying on the same or substantially similar business.</w:t>
      </w:r>
    </w:p>
    <w:p>
      <w:pPr>
        <w:spacing w:after="0" w:line="51" w:lineRule="exact"/>
        <w:rPr>
          <w:rFonts w:ascii="Arial" w:cs="Arial" w:eastAsia="Arial" w:hAnsi="Arial"/>
          <w:sz w:val="17"/>
          <w:szCs w:val="17"/>
          <w:color w:val="auto"/>
        </w:rPr>
      </w:pPr>
    </w:p>
    <w:p>
      <w:pPr>
        <w:ind w:left="1300" w:hanging="535"/>
        <w:spacing w:after="0"/>
        <w:tabs>
          <w:tab w:leader="none" w:pos="1300" w:val="left"/>
        </w:tabs>
        <w:numPr>
          <w:ilvl w:val="0"/>
          <w:numId w:val="1002"/>
        </w:numPr>
        <w:rPr>
          <w:rFonts w:ascii="Arial" w:cs="Arial" w:eastAsia="Arial" w:hAnsi="Arial"/>
          <w:sz w:val="18"/>
          <w:szCs w:val="18"/>
          <w:color w:val="auto"/>
        </w:rPr>
      </w:pPr>
      <w:r>
        <w:rPr>
          <w:rFonts w:ascii="Arial" w:cs="Arial" w:eastAsia="Arial" w:hAnsi="Arial"/>
          <w:sz w:val="18"/>
          <w:szCs w:val="18"/>
          <w:color w:val="auto"/>
        </w:rPr>
        <w:t>All such insurances and reinsurances must be with reputable independent insurance companies or underwriters.</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23.11</w:t>
      </w:r>
      <w:r>
        <w:rPr>
          <w:sz w:val="20"/>
          <w:szCs w:val="20"/>
          <w:color w:val="auto"/>
        </w:rPr>
        <w:tab/>
      </w:r>
      <w:r>
        <w:rPr>
          <w:rFonts w:ascii="Arial" w:cs="Arial" w:eastAsia="Arial" w:hAnsi="Arial"/>
          <w:sz w:val="13"/>
          <w:szCs w:val="13"/>
          <w:b w:val="1"/>
          <w:bCs w:val="1"/>
          <w:color w:val="auto"/>
        </w:rPr>
        <w:t>Access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Obligor shall:</w:t>
      </w:r>
    </w:p>
    <w:p>
      <w:pPr>
        <w:spacing w:after="0" w:line="131" w:lineRule="exact"/>
        <w:rPr>
          <w:sz w:val="20"/>
          <w:szCs w:val="20"/>
          <w:color w:val="auto"/>
        </w:rPr>
      </w:pPr>
    </w:p>
    <w:p>
      <w:pPr>
        <w:ind w:left="1300" w:right="120" w:hanging="535"/>
        <w:spacing w:after="0" w:line="277" w:lineRule="auto"/>
        <w:tabs>
          <w:tab w:leader="none" w:pos="1300" w:val="left"/>
        </w:tabs>
        <w:numPr>
          <w:ilvl w:val="0"/>
          <w:numId w:val="1003"/>
        </w:numPr>
        <w:rPr>
          <w:rFonts w:ascii="Arial" w:cs="Arial" w:eastAsia="Arial" w:hAnsi="Arial"/>
          <w:sz w:val="18"/>
          <w:szCs w:val="18"/>
          <w:color w:val="auto"/>
        </w:rPr>
      </w:pPr>
      <w:r>
        <w:rPr>
          <w:rFonts w:ascii="Arial" w:cs="Arial" w:eastAsia="Arial" w:hAnsi="Arial"/>
          <w:sz w:val="18"/>
          <w:szCs w:val="18"/>
          <w:color w:val="auto"/>
        </w:rPr>
        <w:t>keep proper books of record and account in which full, true and correct entries in conformity with GAAP and all Legal Requirements are made;</w:t>
      </w:r>
    </w:p>
    <w:p>
      <w:pPr>
        <w:spacing w:after="0" w:line="75" w:lineRule="exact"/>
        <w:rPr>
          <w:rFonts w:ascii="Arial" w:cs="Arial" w:eastAsia="Arial" w:hAnsi="Arial"/>
          <w:sz w:val="18"/>
          <w:szCs w:val="18"/>
          <w:color w:val="auto"/>
        </w:rPr>
      </w:pPr>
    </w:p>
    <w:p>
      <w:pPr>
        <w:ind w:left="1300" w:right="220" w:hanging="535"/>
        <w:spacing w:after="0" w:line="272" w:lineRule="auto"/>
        <w:tabs>
          <w:tab w:leader="none" w:pos="1300" w:val="left"/>
        </w:tabs>
        <w:numPr>
          <w:ilvl w:val="0"/>
          <w:numId w:val="1003"/>
        </w:numPr>
        <w:rPr>
          <w:rFonts w:ascii="Arial" w:cs="Arial" w:eastAsia="Arial" w:hAnsi="Arial"/>
          <w:sz w:val="17"/>
          <w:szCs w:val="17"/>
          <w:color w:val="auto"/>
        </w:rPr>
      </w:pPr>
      <w:r>
        <w:rPr>
          <w:rFonts w:ascii="Arial" w:cs="Arial" w:eastAsia="Arial" w:hAnsi="Arial"/>
          <w:sz w:val="17"/>
          <w:szCs w:val="17"/>
          <w:color w:val="auto"/>
        </w:rPr>
        <w:t>subject to prior reasonable request and notice (but notice only where a Default is continuing), procure that the Agent, the Common Security Agent, accountants or other professional advisers or contractors of the Agent or the Common Security Agent be allowed reasonable rights of inspection and access during normal business hours to the Property and any other premises or assets of any member of the Group, to the Auditors and other senior officers of any member of the Group and to the books, accounts and records, and any other documents relating to the Property or any Obligor as they may reasonably require, and so as not unreasonably to interfere with their operations or those of any counterparty to Amended Land Concession or Gaming Subconcession, and to take copies of any documents inspected.</w:t>
      </w:r>
    </w:p>
    <w:p>
      <w:pPr>
        <w:spacing w:after="0" w:line="32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23.12</w:t>
      </w:r>
      <w:r>
        <w:rPr>
          <w:sz w:val="20"/>
          <w:szCs w:val="20"/>
          <w:color w:val="auto"/>
        </w:rPr>
        <w:tab/>
      </w:r>
      <w:r>
        <w:rPr>
          <w:rFonts w:ascii="Arial" w:cs="Arial" w:eastAsia="Arial" w:hAnsi="Arial"/>
          <w:sz w:val="16"/>
          <w:szCs w:val="16"/>
          <w:b w:val="1"/>
          <w:bCs w:val="1"/>
          <w:color w:val="auto"/>
        </w:rPr>
        <w:t>Intellectual Property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Obligor shall:</w:t>
      </w:r>
    </w:p>
    <w:p>
      <w:pPr>
        <w:spacing w:after="0" w:line="131" w:lineRule="exact"/>
        <w:rPr>
          <w:sz w:val="20"/>
          <w:szCs w:val="20"/>
          <w:color w:val="auto"/>
        </w:rPr>
      </w:pPr>
    </w:p>
    <w:p>
      <w:pPr>
        <w:ind w:left="1300" w:right="440" w:hanging="535"/>
        <w:spacing w:after="0" w:line="277" w:lineRule="auto"/>
        <w:tabs>
          <w:tab w:leader="none" w:pos="1300" w:val="left"/>
        </w:tabs>
        <w:numPr>
          <w:ilvl w:val="0"/>
          <w:numId w:val="1004"/>
        </w:numPr>
        <w:rPr>
          <w:rFonts w:ascii="Arial" w:cs="Arial" w:eastAsia="Arial" w:hAnsi="Arial"/>
          <w:sz w:val="18"/>
          <w:szCs w:val="18"/>
          <w:color w:val="auto"/>
        </w:rPr>
      </w:pPr>
      <w:r>
        <w:rPr>
          <w:rFonts w:ascii="Arial" w:cs="Arial" w:eastAsia="Arial" w:hAnsi="Arial"/>
          <w:sz w:val="18"/>
          <w:szCs w:val="18"/>
          <w:color w:val="auto"/>
        </w:rPr>
        <w:t>preserve and maintain the subsistence and validity of the Intellectual Property necessary for the business of the Obligor or Group member for or in connection with the Property; and</w:t>
      </w:r>
    </w:p>
    <w:p>
      <w:pPr>
        <w:spacing w:after="0" w:line="75" w:lineRule="exact"/>
        <w:rPr>
          <w:rFonts w:ascii="Arial" w:cs="Arial" w:eastAsia="Arial" w:hAnsi="Arial"/>
          <w:sz w:val="18"/>
          <w:szCs w:val="18"/>
          <w:color w:val="auto"/>
        </w:rPr>
      </w:pPr>
    </w:p>
    <w:p>
      <w:pPr>
        <w:ind w:left="1300" w:right="180" w:hanging="535"/>
        <w:spacing w:after="0" w:line="277" w:lineRule="auto"/>
        <w:tabs>
          <w:tab w:leader="none" w:pos="1300" w:val="left"/>
        </w:tabs>
        <w:numPr>
          <w:ilvl w:val="0"/>
          <w:numId w:val="1004"/>
        </w:numPr>
        <w:rPr>
          <w:rFonts w:ascii="Arial" w:cs="Arial" w:eastAsia="Arial" w:hAnsi="Arial"/>
          <w:sz w:val="18"/>
          <w:szCs w:val="18"/>
          <w:color w:val="auto"/>
        </w:rPr>
      </w:pPr>
      <w:r>
        <w:rPr>
          <w:rFonts w:ascii="Arial" w:cs="Arial" w:eastAsia="Arial" w:hAnsi="Arial"/>
          <w:sz w:val="18"/>
          <w:szCs w:val="18"/>
          <w:color w:val="auto"/>
        </w:rPr>
        <w:t>in carrying on its business, not knowingly infringe any Intellectual Property of any third party, and shall prevent any infringement of the Intellectual Property required by it in connection with the Property;</w:t>
      </w:r>
    </w:p>
    <w:p>
      <w:pPr>
        <w:spacing w:after="0" w:line="75" w:lineRule="exact"/>
        <w:rPr>
          <w:rFonts w:ascii="Arial" w:cs="Arial" w:eastAsia="Arial" w:hAnsi="Arial"/>
          <w:sz w:val="18"/>
          <w:szCs w:val="18"/>
          <w:color w:val="auto"/>
        </w:rPr>
      </w:pPr>
    </w:p>
    <w:p>
      <w:pPr>
        <w:ind w:left="1300" w:right="200" w:hanging="535"/>
        <w:spacing w:after="0" w:line="277" w:lineRule="auto"/>
        <w:tabs>
          <w:tab w:leader="none" w:pos="1300" w:val="left"/>
        </w:tabs>
        <w:numPr>
          <w:ilvl w:val="0"/>
          <w:numId w:val="1004"/>
        </w:numPr>
        <w:rPr>
          <w:rFonts w:ascii="Arial" w:cs="Arial" w:eastAsia="Arial" w:hAnsi="Arial"/>
          <w:sz w:val="18"/>
          <w:szCs w:val="18"/>
          <w:color w:val="auto"/>
        </w:rPr>
      </w:pPr>
      <w:r>
        <w:rPr>
          <w:rFonts w:ascii="Arial" w:cs="Arial" w:eastAsia="Arial" w:hAnsi="Arial"/>
          <w:sz w:val="18"/>
          <w:szCs w:val="18"/>
          <w:color w:val="auto"/>
        </w:rPr>
        <w:t>make registrations and pay all registration fees and taxes necessary to maintain the Intellectual Property necessary for its business in full force and effect and record its interest in that Intellectual Property;</w:t>
      </w:r>
    </w:p>
    <w:p>
      <w:pPr>
        <w:spacing w:after="0" w:line="75" w:lineRule="exact"/>
        <w:rPr>
          <w:rFonts w:ascii="Arial" w:cs="Arial" w:eastAsia="Arial" w:hAnsi="Arial"/>
          <w:sz w:val="18"/>
          <w:szCs w:val="18"/>
          <w:color w:val="auto"/>
        </w:rPr>
      </w:pPr>
    </w:p>
    <w:p>
      <w:pPr>
        <w:ind w:left="1300" w:right="20" w:hanging="535"/>
        <w:spacing w:after="0" w:line="263" w:lineRule="auto"/>
        <w:tabs>
          <w:tab w:leader="none" w:pos="1300" w:val="left"/>
        </w:tabs>
        <w:numPr>
          <w:ilvl w:val="0"/>
          <w:numId w:val="1004"/>
        </w:numPr>
        <w:rPr>
          <w:rFonts w:ascii="Arial" w:cs="Arial" w:eastAsia="Arial" w:hAnsi="Arial"/>
          <w:sz w:val="18"/>
          <w:szCs w:val="18"/>
          <w:color w:val="auto"/>
        </w:rPr>
      </w:pPr>
      <w:r>
        <w:rPr>
          <w:rFonts w:ascii="Arial" w:cs="Arial" w:eastAsia="Arial" w:hAnsi="Arial"/>
          <w:sz w:val="18"/>
          <w:szCs w:val="18"/>
          <w:color w:val="auto"/>
        </w:rPr>
        <w:t>not use or permit the Intellectual Property necessary for or in connection with the Property to be used in a way or take any step or omit to take any step in respect of that Intellectual Property which may affect the existence or value of the Intellectual Property or imperil the right of any Obligor or member of the Group to use such property; and</w:t>
      </w:r>
    </w:p>
    <w:p>
      <w:pPr>
        <w:spacing w:after="0" w:line="89" w:lineRule="exact"/>
        <w:rPr>
          <w:rFonts w:ascii="Arial" w:cs="Arial" w:eastAsia="Arial" w:hAnsi="Arial"/>
          <w:sz w:val="18"/>
          <w:szCs w:val="18"/>
          <w:color w:val="auto"/>
        </w:rPr>
      </w:pPr>
    </w:p>
    <w:p>
      <w:pPr>
        <w:ind w:left="1300" w:hanging="535"/>
        <w:spacing w:after="0"/>
        <w:tabs>
          <w:tab w:leader="none" w:pos="1300" w:val="left"/>
        </w:tabs>
        <w:numPr>
          <w:ilvl w:val="0"/>
          <w:numId w:val="1004"/>
        </w:numPr>
        <w:rPr>
          <w:rFonts w:ascii="Arial" w:cs="Arial" w:eastAsia="Arial" w:hAnsi="Arial"/>
          <w:sz w:val="18"/>
          <w:szCs w:val="18"/>
          <w:color w:val="auto"/>
        </w:rPr>
      </w:pPr>
      <w:r>
        <w:rPr>
          <w:rFonts w:ascii="Arial" w:cs="Arial" w:eastAsia="Arial" w:hAnsi="Arial"/>
          <w:sz w:val="18"/>
          <w:szCs w:val="18"/>
          <w:color w:val="auto"/>
        </w:rPr>
        <w:t>not discontinue the use of the Intellectual Property necessary for or in connection with the Property,</w:t>
      </w:r>
    </w:p>
    <w:p>
      <w:pPr>
        <w:spacing w:after="0" w:line="158"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93" w:name="page694"/>
    <w:bookmarkEnd w:id="693"/>
    <w:p>
      <w:pPr>
        <w:ind w:left="76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failure to do so, in the case of paragraphs (a) to (c) above, or, in the case of paragraphs (d) and (e) above, such use, permission to use, omission or discontinuation, has or would reasonably be expected to have a Material Adverse Effect.</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23.13</w:t>
      </w:r>
      <w:r>
        <w:rPr>
          <w:sz w:val="20"/>
          <w:szCs w:val="20"/>
          <w:color w:val="auto"/>
        </w:rPr>
        <w:tab/>
      </w:r>
      <w:r>
        <w:rPr>
          <w:rFonts w:ascii="Arial" w:cs="Arial" w:eastAsia="Arial" w:hAnsi="Arial"/>
          <w:sz w:val="16"/>
          <w:szCs w:val="16"/>
          <w:b w:val="1"/>
          <w:bCs w:val="1"/>
          <w:color w:val="auto"/>
        </w:rPr>
        <w:t>Hedging and Treasury Transactions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Obligor shall enter into any Treasury Transaction, other than:</w:t>
      </w:r>
    </w:p>
    <w:p>
      <w:pPr>
        <w:spacing w:after="0" w:line="131" w:lineRule="exact"/>
        <w:rPr>
          <w:sz w:val="20"/>
          <w:szCs w:val="20"/>
          <w:color w:val="auto"/>
        </w:rPr>
      </w:pPr>
    </w:p>
    <w:p>
      <w:pPr>
        <w:ind w:left="1300" w:right="80" w:hanging="535"/>
        <w:spacing w:after="0" w:line="342" w:lineRule="auto"/>
        <w:tabs>
          <w:tab w:leader="none" w:pos="1300" w:val="left"/>
        </w:tabs>
        <w:numPr>
          <w:ilvl w:val="0"/>
          <w:numId w:val="1005"/>
        </w:numPr>
        <w:rPr>
          <w:rFonts w:ascii="Arial" w:cs="Arial" w:eastAsia="Arial" w:hAnsi="Arial"/>
          <w:sz w:val="16"/>
          <w:szCs w:val="16"/>
          <w:color w:val="auto"/>
        </w:rPr>
      </w:pPr>
      <w:r>
        <w:rPr>
          <w:rFonts w:ascii="Arial" w:cs="Arial" w:eastAsia="Arial" w:hAnsi="Arial"/>
          <w:sz w:val="16"/>
          <w:szCs w:val="16"/>
          <w:color w:val="auto"/>
        </w:rPr>
        <w:t>interest rate and/or foreign exchange hedging arrangements entered into in the ordinary course of business and not for speculative purposes (including hedging in respect of actual or projected exposures in relation to the Facilities or any Pari Passu Debt Liabilities);</w:t>
      </w:r>
    </w:p>
    <w:p>
      <w:pPr>
        <w:spacing w:after="0" w:line="29" w:lineRule="exact"/>
        <w:rPr>
          <w:rFonts w:ascii="Arial" w:cs="Arial" w:eastAsia="Arial" w:hAnsi="Arial"/>
          <w:sz w:val="16"/>
          <w:szCs w:val="16"/>
          <w:color w:val="auto"/>
        </w:rPr>
      </w:pPr>
    </w:p>
    <w:p>
      <w:pPr>
        <w:ind w:left="1300" w:right="80" w:hanging="535"/>
        <w:spacing w:after="0" w:line="277" w:lineRule="auto"/>
        <w:tabs>
          <w:tab w:leader="none" w:pos="1300" w:val="left"/>
        </w:tabs>
        <w:numPr>
          <w:ilvl w:val="0"/>
          <w:numId w:val="1005"/>
        </w:numPr>
        <w:rPr>
          <w:rFonts w:ascii="Arial" w:cs="Arial" w:eastAsia="Arial" w:hAnsi="Arial"/>
          <w:sz w:val="18"/>
          <w:szCs w:val="18"/>
          <w:color w:val="auto"/>
        </w:rPr>
      </w:pPr>
      <w:r>
        <w:rPr>
          <w:rFonts w:ascii="Arial" w:cs="Arial" w:eastAsia="Arial" w:hAnsi="Arial"/>
          <w:sz w:val="18"/>
          <w:szCs w:val="18"/>
          <w:color w:val="auto"/>
        </w:rPr>
        <w:t>spot and forward delivery foreign exchange contracts entered into in the ordinary course of business and not for speculative purposes; and</w:t>
      </w:r>
    </w:p>
    <w:p>
      <w:pPr>
        <w:spacing w:after="0" w:line="75" w:lineRule="exact"/>
        <w:rPr>
          <w:rFonts w:ascii="Arial" w:cs="Arial" w:eastAsia="Arial" w:hAnsi="Arial"/>
          <w:sz w:val="18"/>
          <w:szCs w:val="18"/>
          <w:color w:val="auto"/>
        </w:rPr>
      </w:pPr>
    </w:p>
    <w:p>
      <w:pPr>
        <w:ind w:left="1300" w:right="280" w:hanging="535"/>
        <w:spacing w:after="0" w:line="308" w:lineRule="auto"/>
        <w:tabs>
          <w:tab w:leader="none" w:pos="1300" w:val="left"/>
        </w:tabs>
        <w:numPr>
          <w:ilvl w:val="0"/>
          <w:numId w:val="1005"/>
        </w:numPr>
        <w:rPr>
          <w:rFonts w:ascii="Arial" w:cs="Arial" w:eastAsia="Arial" w:hAnsi="Arial"/>
          <w:sz w:val="17"/>
          <w:szCs w:val="17"/>
          <w:color w:val="auto"/>
        </w:rPr>
      </w:pPr>
      <w:r>
        <w:rPr>
          <w:rFonts w:ascii="Arial" w:cs="Arial" w:eastAsia="Arial" w:hAnsi="Arial"/>
          <w:sz w:val="17"/>
          <w:szCs w:val="17"/>
          <w:color w:val="auto"/>
        </w:rPr>
        <w:t>any Treasury Transaction entered into for the hedging of actual or projected real exposures arising in the ordinary course of trading activities of a member of the Group for a period of not more than 12 months and not for speculative purposes.</w:t>
      </w:r>
    </w:p>
    <w:p>
      <w:pPr>
        <w:spacing w:after="0" w:line="29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23.14</w:t>
      </w:r>
      <w:r>
        <w:rPr>
          <w:sz w:val="20"/>
          <w:szCs w:val="20"/>
          <w:color w:val="auto"/>
        </w:rPr>
        <w:tab/>
      </w:r>
      <w:r>
        <w:rPr>
          <w:rFonts w:ascii="Arial" w:cs="Arial" w:eastAsia="Arial" w:hAnsi="Arial"/>
          <w:sz w:val="16"/>
          <w:szCs w:val="16"/>
          <w:b w:val="1"/>
          <w:bCs w:val="1"/>
          <w:color w:val="auto"/>
        </w:rPr>
        <w:t>High Yield Note Documents</w:t>
      </w:r>
    </w:p>
    <w:p>
      <w:pPr>
        <w:spacing w:after="0" w:line="121" w:lineRule="exact"/>
        <w:rPr>
          <w:sz w:val="20"/>
          <w:szCs w:val="20"/>
          <w:color w:val="auto"/>
        </w:rPr>
      </w:pPr>
    </w:p>
    <w:p>
      <w:pPr>
        <w:ind w:left="760" w:right="40"/>
        <w:spacing w:after="0" w:line="288" w:lineRule="auto"/>
        <w:rPr>
          <w:sz w:val="20"/>
          <w:szCs w:val="20"/>
          <w:color w:val="auto"/>
        </w:rPr>
      </w:pPr>
      <w:r>
        <w:rPr>
          <w:rFonts w:ascii="Arial" w:cs="Arial" w:eastAsia="Arial" w:hAnsi="Arial"/>
          <w:sz w:val="16"/>
          <w:szCs w:val="16"/>
          <w:color w:val="auto"/>
        </w:rPr>
        <w:t>The Parent shall procure that none of the High Yield Note Documents and none of the Additional High Yield Note Documents and (following any High Yield Note Refinancing or Additional High Yield Note Refinancing) none of the documents or instruments relating to (or in respect of) any high yield notes issued pursuant to the High Yield Note Refinancing or Additional High Yield Note Refinancing (as the case may be) are amended, varied, novated, assigned, supplemented, superseded, waived or (other than in accordance with their terms) terminated in any respect without the prior written consent of the Agent (acting on, in the case of any amendment, variation, novation, assignment, supplement, supersession or waiver which relates to the manner of or mechanism for the release of the High Yield Note Guarantees or Additional High Yield Note Guarantees (or equivalent in connection with any applicable High Yield Note Refinancing or Additional High Yield Note Refinancing) (or the circumstances in which such release is permitted) (each, a “</w:t>
      </w:r>
      <w:r>
        <w:rPr>
          <w:rFonts w:ascii="Arial" w:cs="Arial" w:eastAsia="Arial" w:hAnsi="Arial"/>
          <w:sz w:val="16"/>
          <w:szCs w:val="16"/>
          <w:b w:val="1"/>
          <w:bCs w:val="1"/>
          <w:color w:val="auto"/>
        </w:rPr>
        <w:t>HY Guarantee Matter</w:t>
      </w:r>
      <w:r>
        <w:rPr>
          <w:rFonts w:ascii="Arial" w:cs="Arial" w:eastAsia="Arial" w:hAnsi="Arial"/>
          <w:sz w:val="16"/>
          <w:szCs w:val="16"/>
          <w:color w:val="auto"/>
        </w:rPr>
        <w:t>”), the instructions of all the Lenders and otherwise on the instructions of the Majority Lenders (acting reasonably)), save for any amendment, variation, novation, assignment, supplement, supersession or waiver which does not adversely affect the Security created under the Transaction Security Documents.</w:t>
      </w:r>
    </w:p>
    <w:p>
      <w:pPr>
        <w:spacing w:after="0" w:line="31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23.15</w:t>
      </w:r>
      <w:r>
        <w:rPr>
          <w:sz w:val="20"/>
          <w:szCs w:val="20"/>
          <w:color w:val="auto"/>
        </w:rPr>
        <w:tab/>
      </w:r>
      <w:r>
        <w:rPr>
          <w:rFonts w:ascii="Arial" w:cs="Arial" w:eastAsia="Arial" w:hAnsi="Arial"/>
          <w:sz w:val="15"/>
          <w:szCs w:val="15"/>
          <w:b w:val="1"/>
          <w:bCs w:val="1"/>
          <w:color w:val="auto"/>
        </w:rPr>
        <w:t>Notes Repurchase condition</w:t>
      </w:r>
    </w:p>
    <w:p>
      <w:pPr>
        <w:spacing w:after="0" w:line="135" w:lineRule="exact"/>
        <w:rPr>
          <w:sz w:val="20"/>
          <w:szCs w:val="20"/>
          <w:color w:val="auto"/>
        </w:rPr>
      </w:pPr>
    </w:p>
    <w:p>
      <w:pPr>
        <w:ind w:left="1300" w:hanging="535"/>
        <w:spacing w:after="0"/>
        <w:tabs>
          <w:tab w:leader="none" w:pos="1300" w:val="left"/>
        </w:tabs>
        <w:numPr>
          <w:ilvl w:val="0"/>
          <w:numId w:val="1006"/>
        </w:numPr>
        <w:rPr>
          <w:rFonts w:ascii="Arial" w:cs="Arial" w:eastAsia="Arial" w:hAnsi="Arial"/>
          <w:sz w:val="18"/>
          <w:szCs w:val="18"/>
          <w:color w:val="auto"/>
        </w:rPr>
      </w:pPr>
      <w:r>
        <w:rPr>
          <w:rFonts w:ascii="Arial" w:cs="Arial" w:eastAsia="Arial" w:hAnsi="Arial"/>
          <w:sz w:val="18"/>
          <w:szCs w:val="18"/>
          <w:color w:val="auto"/>
        </w:rPr>
        <w:t>No member of the Group may make a legally binding commitment or offer for a Notes Repurchase unless:</w:t>
      </w:r>
    </w:p>
    <w:p>
      <w:pPr>
        <w:spacing w:after="0" w:line="130" w:lineRule="exact"/>
        <w:rPr>
          <w:rFonts w:ascii="Arial" w:cs="Arial" w:eastAsia="Arial" w:hAnsi="Arial"/>
          <w:sz w:val="18"/>
          <w:szCs w:val="18"/>
          <w:color w:val="auto"/>
        </w:rPr>
      </w:pPr>
    </w:p>
    <w:p>
      <w:pPr>
        <w:ind w:left="1960" w:right="280" w:hanging="655"/>
        <w:spacing w:after="0" w:line="263" w:lineRule="auto"/>
        <w:tabs>
          <w:tab w:leader="none" w:pos="1960" w:val="left"/>
        </w:tabs>
        <w:numPr>
          <w:ilvl w:val="1"/>
          <w:numId w:val="1006"/>
        </w:numPr>
        <w:rPr>
          <w:rFonts w:ascii="Arial" w:cs="Arial" w:eastAsia="Arial" w:hAnsi="Arial"/>
          <w:sz w:val="18"/>
          <w:szCs w:val="18"/>
          <w:color w:val="auto"/>
        </w:rPr>
      </w:pPr>
      <w:r>
        <w:rPr>
          <w:rFonts w:ascii="Arial" w:cs="Arial" w:eastAsia="Arial" w:hAnsi="Arial"/>
          <w:sz w:val="18"/>
          <w:szCs w:val="18"/>
          <w:color w:val="auto"/>
        </w:rPr>
        <w:t>the aggregate outstanding principal amount of the Notes immediately following any Notes Repurchase is or would exceed 50 per cent. of the original principal amount of all components of the Notes on the issue or incurrence date of each component (each an “</w:t>
      </w:r>
      <w:r>
        <w:rPr>
          <w:rFonts w:ascii="Arial" w:cs="Arial" w:eastAsia="Arial" w:hAnsi="Arial"/>
          <w:sz w:val="18"/>
          <w:szCs w:val="18"/>
          <w:b w:val="1"/>
          <w:bCs w:val="1"/>
          <w:color w:val="auto"/>
        </w:rPr>
        <w:t>Issue Date</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ind w:left="1960" w:right="100" w:hanging="655"/>
        <w:spacing w:after="0" w:line="342" w:lineRule="auto"/>
        <w:tabs>
          <w:tab w:leader="none" w:pos="1960" w:val="left"/>
        </w:tabs>
        <w:numPr>
          <w:ilvl w:val="1"/>
          <w:numId w:val="1006"/>
        </w:numPr>
        <w:rPr>
          <w:rFonts w:ascii="Arial" w:cs="Arial" w:eastAsia="Arial" w:hAnsi="Arial"/>
          <w:sz w:val="16"/>
          <w:szCs w:val="16"/>
          <w:color w:val="auto"/>
        </w:rPr>
      </w:pPr>
      <w:r>
        <w:rPr>
          <w:rFonts w:ascii="Arial" w:cs="Arial" w:eastAsia="Arial" w:hAnsi="Arial"/>
          <w:sz w:val="16"/>
          <w:szCs w:val="16"/>
          <w:color w:val="auto"/>
        </w:rPr>
        <w:t>the aggregate outstanding principal amount of the Notes immediately following any Notes Repurchase is or would be less than 50 per cent. of the sum of the original principal amount of all components of the Notes on each relevant Issue Date and:</w:t>
      </w:r>
    </w:p>
    <w:p>
      <w:pPr>
        <w:spacing w:after="0" w:line="29" w:lineRule="exact"/>
        <w:rPr>
          <w:rFonts w:ascii="Arial" w:cs="Arial" w:eastAsia="Arial" w:hAnsi="Arial"/>
          <w:sz w:val="16"/>
          <w:szCs w:val="16"/>
          <w:color w:val="auto"/>
        </w:rPr>
      </w:pPr>
    </w:p>
    <w:p>
      <w:pPr>
        <w:ind w:left="2500" w:right="460" w:hanging="533"/>
        <w:spacing w:after="0" w:line="291" w:lineRule="auto"/>
        <w:tabs>
          <w:tab w:leader="none" w:pos="2500" w:val="left"/>
        </w:tabs>
        <w:numPr>
          <w:ilvl w:val="2"/>
          <w:numId w:val="1006"/>
        </w:numPr>
        <w:rPr>
          <w:rFonts w:ascii="Arial" w:cs="Arial" w:eastAsia="Arial" w:hAnsi="Arial"/>
          <w:sz w:val="16"/>
          <w:szCs w:val="16"/>
          <w:color w:val="auto"/>
        </w:rPr>
      </w:pPr>
      <w:r>
        <w:rPr>
          <w:rFonts w:ascii="Arial" w:cs="Arial" w:eastAsia="Arial" w:hAnsi="Arial"/>
          <w:sz w:val="16"/>
          <w:szCs w:val="16"/>
          <w:color w:val="auto"/>
        </w:rPr>
        <w:t>Revolving Facility Commitments are at the time of completion of the Notes Repurchase cancelled in the same proportion as (y) the amount by which the aggregate principal amount then outstanding of the Notes is less than</w:t>
      </w:r>
    </w:p>
    <w:p>
      <w:pPr>
        <w:ind w:left="2500" w:right="240"/>
        <w:spacing w:after="0" w:line="323" w:lineRule="auto"/>
        <w:rPr>
          <w:rFonts w:ascii="Arial" w:cs="Arial" w:eastAsia="Arial" w:hAnsi="Arial"/>
          <w:sz w:val="16"/>
          <w:szCs w:val="16"/>
          <w:color w:val="auto"/>
        </w:rPr>
      </w:pPr>
      <w:r>
        <w:rPr>
          <w:rFonts w:ascii="Arial" w:cs="Arial" w:eastAsia="Arial" w:hAnsi="Arial"/>
          <w:sz w:val="16"/>
          <w:szCs w:val="16"/>
          <w:color w:val="auto"/>
        </w:rPr>
        <w:t>50 per cent. of the sum of the original principal amount of all components of the Notes on each relevant Issue Date bears to (z) 50 per cent. of the original aggregate principal amount of the Notes on each relevant Issue Date; and</w:t>
      </w:r>
    </w:p>
    <w:p>
      <w:pPr>
        <w:spacing w:after="0" w:line="71"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94" w:name="page695"/>
    <w:bookmarkEnd w:id="694"/>
    <w:p>
      <w:pPr>
        <w:ind w:left="2500" w:right="420" w:hanging="533"/>
        <w:spacing w:after="0" w:line="259" w:lineRule="auto"/>
        <w:tabs>
          <w:tab w:leader="none" w:pos="2500" w:val="left"/>
        </w:tabs>
        <w:numPr>
          <w:ilvl w:val="1"/>
          <w:numId w:val="10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such cancellation the Borrower promptly (and by no later than three (3) Business Days after such cancellation) makes such prepayment(s) of Revolving Facility Loans necessary to ensure that the Base Currency amount of all Revolving Facility Loans do not exceed the then Total Revolving Facility Commitments (less any Ancillary Commitments); or</w:t>
      </w:r>
    </w:p>
    <w:p>
      <w:pPr>
        <w:spacing w:after="0" w:line="92" w:lineRule="exact"/>
        <w:rPr>
          <w:rFonts w:ascii="Arial" w:cs="Arial" w:eastAsia="Arial" w:hAnsi="Arial"/>
          <w:sz w:val="18"/>
          <w:szCs w:val="18"/>
          <w:color w:val="auto"/>
        </w:rPr>
      </w:pPr>
    </w:p>
    <w:p>
      <w:pPr>
        <w:ind w:left="1960" w:right="340" w:hanging="655"/>
        <w:spacing w:after="0" w:line="277" w:lineRule="auto"/>
        <w:tabs>
          <w:tab w:leader="none" w:pos="196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such Notes Repurchase constitutes or is otherwise part of a permitted refinancing (including pursuant to a debt exchange, non-cash rollover or other similar or equivalent transaction); or</w:t>
      </w:r>
    </w:p>
    <w:p>
      <w:pPr>
        <w:spacing w:after="0" w:line="75" w:lineRule="exact"/>
        <w:rPr>
          <w:rFonts w:ascii="Arial" w:cs="Arial" w:eastAsia="Arial" w:hAnsi="Arial"/>
          <w:sz w:val="18"/>
          <w:szCs w:val="18"/>
          <w:color w:val="auto"/>
        </w:rPr>
      </w:pPr>
    </w:p>
    <w:p>
      <w:pPr>
        <w:ind w:left="1960" w:right="260" w:hanging="655"/>
        <w:spacing w:after="0" w:line="279" w:lineRule="auto"/>
        <w:tabs>
          <w:tab w:leader="none" w:pos="1960" w:val="left"/>
        </w:tabs>
        <w:numPr>
          <w:ilvl w:val="0"/>
          <w:numId w:val="1008"/>
        </w:numPr>
        <w:rPr>
          <w:rFonts w:ascii="Arial" w:cs="Arial" w:eastAsia="Arial" w:hAnsi="Arial"/>
          <w:sz w:val="17"/>
          <w:szCs w:val="17"/>
          <w:color w:val="auto"/>
        </w:rPr>
      </w:pPr>
      <w:r>
        <w:rPr>
          <w:rFonts w:ascii="Arial" w:cs="Arial" w:eastAsia="Arial" w:hAnsi="Arial"/>
          <w:sz w:val="17"/>
          <w:szCs w:val="17"/>
          <w:color w:val="auto"/>
        </w:rPr>
        <w:t xml:space="preserve">such Notes Repurchase is funded directly or indirectly by New Shareholder Injections,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New Shareholder Injections funded directly or indirectly for such purpose shall be repaid prior to the Termination Date applicable to the Revolving Facility unless, at the same time as such repayment, the Revolving Facility Commitments are cancelled and the Revolving Facility Loans are prepaid in accordance with paragraph (ii) above; or</w:t>
      </w:r>
    </w:p>
    <w:p>
      <w:pPr>
        <w:spacing w:after="0" w:line="76" w:lineRule="exact"/>
        <w:rPr>
          <w:rFonts w:ascii="Arial" w:cs="Arial" w:eastAsia="Arial" w:hAnsi="Arial"/>
          <w:sz w:val="17"/>
          <w:szCs w:val="17"/>
          <w:color w:val="auto"/>
        </w:rPr>
      </w:pPr>
    </w:p>
    <w:p>
      <w:pPr>
        <w:ind w:left="1960" w:right="20" w:hanging="655"/>
        <w:spacing w:after="0" w:line="263" w:lineRule="auto"/>
        <w:tabs>
          <w:tab w:leader="none" w:pos="196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such Notes Repurchase is made following the occurrence of a Change of Control to the extent that the obligations in paragraph (a) of Clause 9.2 (</w:t>
      </w:r>
      <w:r>
        <w:rPr>
          <w:rFonts w:ascii="Arial" w:cs="Arial" w:eastAsia="Arial" w:hAnsi="Arial"/>
          <w:sz w:val="18"/>
          <w:szCs w:val="18"/>
          <w:i w:val="1"/>
          <w:iCs w:val="1"/>
          <w:color w:val="auto"/>
        </w:rPr>
        <w:t>Change of Control, Concession-Related Mandatory Prepayment Event and Disposal Prepayment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w:t>
      </w:r>
      <w:r>
        <w:rPr>
          <w:rFonts w:ascii="Arial" w:cs="Arial" w:eastAsia="Arial" w:hAnsi="Arial"/>
          <w:sz w:val="18"/>
          <w:szCs w:val="18"/>
          <w:color w:val="auto"/>
        </w:rPr>
        <w:t>) have been complied with; or</w:t>
      </w:r>
    </w:p>
    <w:p>
      <w:pPr>
        <w:spacing w:after="0" w:line="89" w:lineRule="exact"/>
        <w:rPr>
          <w:rFonts w:ascii="Arial" w:cs="Arial" w:eastAsia="Arial" w:hAnsi="Arial"/>
          <w:sz w:val="18"/>
          <w:szCs w:val="18"/>
          <w:color w:val="auto"/>
        </w:rPr>
      </w:pPr>
    </w:p>
    <w:p>
      <w:pPr>
        <w:ind w:left="1960" w:right="260" w:hanging="655"/>
        <w:spacing w:after="0" w:line="342" w:lineRule="auto"/>
        <w:tabs>
          <w:tab w:leader="none" w:pos="1960" w:val="left"/>
        </w:tabs>
        <w:numPr>
          <w:ilvl w:val="0"/>
          <w:numId w:val="1008"/>
        </w:numPr>
        <w:rPr>
          <w:rFonts w:ascii="Arial" w:cs="Arial" w:eastAsia="Arial" w:hAnsi="Arial"/>
          <w:sz w:val="16"/>
          <w:szCs w:val="16"/>
          <w:color w:val="auto"/>
        </w:rPr>
      </w:pPr>
      <w:r>
        <w:rPr>
          <w:rFonts w:ascii="Arial" w:cs="Arial" w:eastAsia="Arial" w:hAnsi="Arial"/>
          <w:sz w:val="16"/>
          <w:szCs w:val="16"/>
          <w:color w:val="auto"/>
        </w:rPr>
        <w:t>such Notes Repurchase is funded directly or indirectly with the proceeds of any Indebtedness (other than the proceeds of a Utilisation), so long as the incurrence of that Indebtedness is not prohibited by Schedule 10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6" w:lineRule="exact"/>
        <w:rPr>
          <w:sz w:val="20"/>
          <w:szCs w:val="20"/>
          <w:color w:val="auto"/>
        </w:rPr>
      </w:pPr>
    </w:p>
    <w:p>
      <w:pPr>
        <w:ind w:left="1320" w:right="80"/>
        <w:spacing w:after="0" w:line="342" w:lineRule="auto"/>
        <w:rPr>
          <w:sz w:val="20"/>
          <w:szCs w:val="20"/>
          <w:color w:val="auto"/>
        </w:rPr>
      </w:pPr>
      <w:r>
        <w:rPr>
          <w:rFonts w:ascii="Arial" w:cs="Arial" w:eastAsia="Arial" w:hAnsi="Arial"/>
          <w:sz w:val="16"/>
          <w:szCs w:val="16"/>
          <w:color w:val="auto"/>
        </w:rPr>
        <w:t>and in each case no Event of Default has occurred and is continuing nor would arise from such Notes Repurchase, in each case, at the time such member of the Group contracts to make such Notes Repurchase nor would arise from such Notes Repurchase.</w:t>
      </w:r>
    </w:p>
    <w:p>
      <w:pPr>
        <w:spacing w:after="0" w:line="29" w:lineRule="exact"/>
        <w:rPr>
          <w:sz w:val="20"/>
          <w:szCs w:val="20"/>
          <w:color w:val="auto"/>
        </w:rPr>
      </w:pPr>
    </w:p>
    <w:p>
      <w:pPr>
        <w:ind w:left="1300" w:right="280" w:hanging="535"/>
        <w:spacing w:after="0" w:line="342" w:lineRule="auto"/>
        <w:tabs>
          <w:tab w:leader="none" w:pos="1300" w:val="left"/>
        </w:tabs>
        <w:numPr>
          <w:ilvl w:val="0"/>
          <w:numId w:val="1009"/>
        </w:numPr>
        <w:rPr>
          <w:rFonts w:ascii="Arial" w:cs="Arial" w:eastAsia="Arial" w:hAnsi="Arial"/>
          <w:sz w:val="16"/>
          <w:szCs w:val="16"/>
          <w:color w:val="auto"/>
        </w:rPr>
      </w:pPr>
      <w:r>
        <w:rPr>
          <w:rFonts w:ascii="Arial" w:cs="Arial" w:eastAsia="Arial" w:hAnsi="Arial"/>
          <w:sz w:val="16"/>
          <w:szCs w:val="16"/>
          <w:color w:val="auto"/>
        </w:rPr>
        <w:t>The Borrower shall procure that any Notes subject of a Notes Repurchase are, subject to the terms of the Notes, extinguished at the time of such Notes Repurchase unless it elects not to do so for the purpose of mitigating tax costs in the Group.</w:t>
      </w:r>
    </w:p>
    <w:p>
      <w:pPr>
        <w:spacing w:after="0" w:line="29" w:lineRule="exact"/>
        <w:rPr>
          <w:rFonts w:ascii="Arial" w:cs="Arial" w:eastAsia="Arial" w:hAnsi="Arial"/>
          <w:sz w:val="16"/>
          <w:szCs w:val="16"/>
          <w:color w:val="auto"/>
        </w:rPr>
      </w:pPr>
    </w:p>
    <w:p>
      <w:pPr>
        <w:ind w:left="1300" w:right="480" w:hanging="535"/>
        <w:spacing w:after="0" w:line="286" w:lineRule="auto"/>
        <w:tabs>
          <w:tab w:leader="none" w:pos="1300" w:val="left"/>
        </w:tabs>
        <w:numPr>
          <w:ilvl w:val="0"/>
          <w:numId w:val="1009"/>
        </w:numPr>
        <w:rPr>
          <w:rFonts w:ascii="Arial" w:cs="Arial" w:eastAsia="Arial" w:hAnsi="Arial"/>
          <w:sz w:val="17"/>
          <w:szCs w:val="17"/>
          <w:color w:val="auto"/>
        </w:rPr>
      </w:pPr>
      <w:r>
        <w:rPr>
          <w:rFonts w:ascii="Arial" w:cs="Arial" w:eastAsia="Arial" w:hAnsi="Arial"/>
          <w:sz w:val="17"/>
          <w:szCs w:val="17"/>
          <w:color w:val="auto"/>
        </w:rPr>
        <w:t>In no circumstances will the Total Revolving Facility Commitments be required to be reduced below US$10,000,000 (or its equivalent) pursuant to this Clause 23.15 (and accordingly the restrictions set out in paragraphs (a) and (b) above (other than the requirement that no Event of Default shall have occurred or be continuing) shall then cease to apply).</w:t>
      </w:r>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23.16</w:t>
      </w:r>
      <w:r>
        <w:rPr>
          <w:sz w:val="20"/>
          <w:szCs w:val="20"/>
          <w:color w:val="auto"/>
        </w:rPr>
        <w:tab/>
      </w:r>
      <w:r>
        <w:rPr>
          <w:rFonts w:ascii="Arial" w:cs="Arial" w:eastAsia="Arial" w:hAnsi="Arial"/>
          <w:sz w:val="15"/>
          <w:szCs w:val="15"/>
          <w:b w:val="1"/>
          <w:bCs w:val="1"/>
          <w:color w:val="auto"/>
        </w:rPr>
        <w:t>Accounts</w:t>
      </w:r>
    </w:p>
    <w:p>
      <w:pPr>
        <w:spacing w:after="0" w:line="135" w:lineRule="exact"/>
        <w:rPr>
          <w:sz w:val="20"/>
          <w:szCs w:val="20"/>
          <w:color w:val="auto"/>
        </w:rPr>
      </w:pPr>
    </w:p>
    <w:p>
      <w:pPr>
        <w:ind w:left="1300" w:right="40" w:hanging="535"/>
        <w:spacing w:after="0" w:line="301" w:lineRule="auto"/>
        <w:tabs>
          <w:tab w:leader="none" w:pos="1300" w:val="left"/>
        </w:tabs>
        <w:numPr>
          <w:ilvl w:val="0"/>
          <w:numId w:val="1010"/>
        </w:numPr>
        <w:rPr>
          <w:rFonts w:ascii="Arial" w:cs="Arial" w:eastAsia="Arial" w:hAnsi="Arial"/>
          <w:sz w:val="16"/>
          <w:szCs w:val="16"/>
          <w:color w:val="auto"/>
        </w:rPr>
      </w:pPr>
      <w:r>
        <w:rPr>
          <w:rFonts w:ascii="Arial" w:cs="Arial" w:eastAsia="Arial" w:hAnsi="Arial"/>
          <w:sz w:val="16"/>
          <w:szCs w:val="16"/>
          <w:color w:val="auto"/>
        </w:rPr>
        <w:t>No Obligor shall, or allow any other member of the Group to, deposit any amount to any Pari Passu Facility Debt Service Reserve Account or Pari Passu Notes Interest Accrual Account (each as defined in the Intercreditor Agreement) other than amounts that would be customary for an account substantially of that nature or as required by any Senior Secured Creditor pursuant to any Pari Passu Debt Document (each as defined in the Intercreditor Agreement) in line with market norms for substantially similar types of accounts.</w:t>
      </w:r>
    </w:p>
    <w:p>
      <w:pPr>
        <w:spacing w:after="0" w:line="90"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95" w:name="page696"/>
    <w:bookmarkEnd w:id="695"/>
    <w:p>
      <w:pPr>
        <w:jc w:val="both"/>
        <w:ind w:left="1300" w:right="140" w:hanging="535"/>
        <w:spacing w:after="0" w:line="279" w:lineRule="auto"/>
        <w:tabs>
          <w:tab w:leader="none" w:pos="1300" w:val="left"/>
        </w:tabs>
        <w:numPr>
          <w:ilvl w:val="0"/>
          <w:numId w:val="10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Pari Passu Facility Debt Service Reserve Account or Pari Passu Notes Interest Accrual Account does not secure the Liabilities of the Obligors under the Finance Documents to the Finance Parties and the Secured Obligations that were secured by such account have been fully and finally discharged, the relevant Obligor in whose name the account is held shall (or the Parent shall procure that the relevant member of the Group will) as soon as reasonably practicable:</w:t>
      </w:r>
    </w:p>
    <w:p>
      <w:pPr>
        <w:spacing w:after="0" w:line="76" w:lineRule="exact"/>
        <w:rPr>
          <w:rFonts w:ascii="Arial" w:cs="Arial" w:eastAsia="Arial" w:hAnsi="Arial"/>
          <w:sz w:val="17"/>
          <w:szCs w:val="17"/>
          <w:color w:val="auto"/>
        </w:rPr>
      </w:pPr>
    </w:p>
    <w:p>
      <w:pPr>
        <w:ind w:left="1960" w:right="420" w:hanging="655"/>
        <w:spacing w:after="0" w:line="342" w:lineRule="auto"/>
        <w:tabs>
          <w:tab w:leader="none" w:pos="1960" w:val="left"/>
        </w:tabs>
        <w:numPr>
          <w:ilvl w:val="1"/>
          <w:numId w:val="1011"/>
        </w:numPr>
        <w:rPr>
          <w:rFonts w:ascii="Arial" w:cs="Arial" w:eastAsia="Arial" w:hAnsi="Arial"/>
          <w:sz w:val="16"/>
          <w:szCs w:val="16"/>
          <w:color w:val="auto"/>
        </w:rPr>
      </w:pPr>
      <w:r>
        <w:rPr>
          <w:rFonts w:ascii="Arial" w:cs="Arial" w:eastAsia="Arial" w:hAnsi="Arial"/>
          <w:sz w:val="16"/>
          <w:szCs w:val="16"/>
          <w:color w:val="auto"/>
        </w:rPr>
        <w:t>deposit the amount standing to the credit of that account into an account subject to the Transaction Security securing the Liabilities of the Obligors under the Finance Documents to the Finance Parties and close that account; or</w:t>
      </w:r>
    </w:p>
    <w:p>
      <w:pPr>
        <w:spacing w:after="0" w:line="29" w:lineRule="exact"/>
        <w:rPr>
          <w:rFonts w:ascii="Arial" w:cs="Arial" w:eastAsia="Arial" w:hAnsi="Arial"/>
          <w:sz w:val="16"/>
          <w:szCs w:val="16"/>
          <w:color w:val="auto"/>
        </w:rPr>
      </w:pPr>
    </w:p>
    <w:p>
      <w:pPr>
        <w:ind w:left="1960" w:hanging="655"/>
        <w:spacing w:after="0"/>
        <w:tabs>
          <w:tab w:leader="none" w:pos="1960" w:val="left"/>
        </w:tabs>
        <w:numPr>
          <w:ilvl w:val="1"/>
          <w:numId w:val="1011"/>
        </w:numPr>
        <w:rPr>
          <w:rFonts w:ascii="Arial" w:cs="Arial" w:eastAsia="Arial" w:hAnsi="Arial"/>
          <w:sz w:val="18"/>
          <w:szCs w:val="18"/>
          <w:color w:val="auto"/>
        </w:rPr>
      </w:pPr>
      <w:r>
        <w:rPr>
          <w:rFonts w:ascii="Arial" w:cs="Arial" w:eastAsia="Arial" w:hAnsi="Arial"/>
          <w:sz w:val="18"/>
          <w:szCs w:val="18"/>
          <w:color w:val="auto"/>
        </w:rPr>
        <w:t>grant, in favour of the Common Security Agent, Security over that account in respect of the Secured Obligations,</w:t>
      </w:r>
    </w:p>
    <w:p>
      <w:pPr>
        <w:spacing w:after="0" w:line="117" w:lineRule="exact"/>
        <w:rPr>
          <w:sz w:val="20"/>
          <w:szCs w:val="20"/>
          <w:color w:val="auto"/>
        </w:rPr>
      </w:pPr>
    </w:p>
    <w:p>
      <w:pPr>
        <w:ind w:left="1320" w:right="10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there shall be no restrictions on the withdrawals of any amount so deposited into any account subject to Security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paragraphs (i) or (ii) above and, subject to compliance with the other terms of the Finance Documents, there shall be no restrictions on the application of any such amount.</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23.17</w:t>
      </w:r>
      <w:r>
        <w:rPr>
          <w:sz w:val="20"/>
          <w:szCs w:val="20"/>
          <w:color w:val="auto"/>
        </w:rPr>
        <w:tab/>
      </w:r>
      <w:r>
        <w:rPr>
          <w:rFonts w:ascii="Arial" w:cs="Arial" w:eastAsia="Arial" w:hAnsi="Arial"/>
          <w:sz w:val="16"/>
          <w:szCs w:val="16"/>
          <w:b w:val="1"/>
          <w:bCs w:val="1"/>
          <w:color w:val="auto"/>
        </w:rPr>
        <w:t>Release Condition</w:t>
      </w:r>
    </w:p>
    <w:p>
      <w:pPr>
        <w:spacing w:after="0" w:line="131" w:lineRule="exact"/>
        <w:rPr>
          <w:sz w:val="20"/>
          <w:szCs w:val="20"/>
          <w:color w:val="auto"/>
        </w:rPr>
      </w:pPr>
    </w:p>
    <w:p>
      <w:pPr>
        <w:ind w:left="1300" w:hanging="535"/>
        <w:spacing w:after="0"/>
        <w:tabs>
          <w:tab w:leader="none" w:pos="1300" w:val="left"/>
        </w:tabs>
        <w:numPr>
          <w:ilvl w:val="0"/>
          <w:numId w:val="1012"/>
        </w:numPr>
        <w:rPr>
          <w:rFonts w:ascii="Arial" w:cs="Arial" w:eastAsia="Arial" w:hAnsi="Arial"/>
          <w:sz w:val="18"/>
          <w:szCs w:val="18"/>
          <w:color w:val="auto"/>
        </w:rPr>
      </w:pPr>
      <w:r>
        <w:rPr>
          <w:rFonts w:ascii="Arial" w:cs="Arial" w:eastAsia="Arial" w:hAnsi="Arial"/>
          <w:sz w:val="18"/>
          <w:szCs w:val="18"/>
          <w:color w:val="auto"/>
        </w:rPr>
        <w:t>In this Clause 23.17, “</w:t>
      </w:r>
      <w:r>
        <w:rPr>
          <w:rFonts w:ascii="Arial" w:cs="Arial" w:eastAsia="Arial" w:hAnsi="Arial"/>
          <w:sz w:val="18"/>
          <w:szCs w:val="18"/>
          <w:b w:val="1"/>
          <w:bCs w:val="1"/>
          <w:color w:val="auto"/>
        </w:rPr>
        <w:t>Release Condition</w:t>
      </w:r>
      <w:r>
        <w:rPr>
          <w:rFonts w:ascii="Arial" w:cs="Arial" w:eastAsia="Arial" w:hAnsi="Arial"/>
          <w:sz w:val="18"/>
          <w:szCs w:val="18"/>
          <w:color w:val="auto"/>
        </w:rPr>
        <w:t>” means (and shall be satisfied if):</w:t>
      </w:r>
    </w:p>
    <w:p>
      <w:pPr>
        <w:spacing w:after="0" w:line="134" w:lineRule="exact"/>
        <w:rPr>
          <w:rFonts w:ascii="Arial" w:cs="Arial" w:eastAsia="Arial" w:hAnsi="Arial"/>
          <w:sz w:val="18"/>
          <w:szCs w:val="18"/>
          <w:color w:val="auto"/>
        </w:rPr>
      </w:pPr>
    </w:p>
    <w:p>
      <w:pPr>
        <w:ind w:left="1960" w:hanging="655"/>
        <w:spacing w:after="0"/>
        <w:tabs>
          <w:tab w:leader="none" w:pos="1960" w:val="left"/>
        </w:tabs>
        <w:numPr>
          <w:ilvl w:val="1"/>
          <w:numId w:val="1012"/>
        </w:numPr>
        <w:rPr>
          <w:rFonts w:ascii="Arial" w:cs="Arial" w:eastAsia="Arial" w:hAnsi="Arial"/>
          <w:sz w:val="18"/>
          <w:szCs w:val="18"/>
          <w:color w:val="auto"/>
        </w:rPr>
      </w:pPr>
      <w:r>
        <w:rPr>
          <w:rFonts w:ascii="Arial" w:cs="Arial" w:eastAsia="Arial" w:hAnsi="Arial"/>
          <w:sz w:val="18"/>
          <w:szCs w:val="18"/>
          <w:color w:val="auto"/>
        </w:rPr>
        <w:t>there are no Revolving Facility Loans outstanding;</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12"/>
        </w:numPr>
        <w:rPr>
          <w:rFonts w:ascii="Arial" w:cs="Arial" w:eastAsia="Arial" w:hAnsi="Arial"/>
          <w:sz w:val="16"/>
          <w:szCs w:val="16"/>
          <w:color w:val="auto"/>
        </w:rPr>
      </w:pPr>
      <w:r>
        <w:rPr>
          <w:rFonts w:ascii="Arial" w:cs="Arial" w:eastAsia="Arial" w:hAnsi="Arial"/>
          <w:sz w:val="16"/>
          <w:szCs w:val="16"/>
          <w:color w:val="auto"/>
        </w:rPr>
        <w:t>the Revolving Facility Commitments have been cancelled in full and the Total Revolving Facility Commitments are nil; and</w:t>
      </w:r>
    </w:p>
    <w:p>
      <w:pPr>
        <w:spacing w:after="0" w:line="153" w:lineRule="exact"/>
        <w:rPr>
          <w:rFonts w:ascii="Arial" w:cs="Arial" w:eastAsia="Arial" w:hAnsi="Arial"/>
          <w:sz w:val="16"/>
          <w:szCs w:val="16"/>
          <w:color w:val="auto"/>
        </w:rPr>
      </w:pPr>
    </w:p>
    <w:p>
      <w:pPr>
        <w:ind w:left="1960" w:right="360" w:hanging="655"/>
        <w:spacing w:after="0" w:line="277" w:lineRule="auto"/>
        <w:tabs>
          <w:tab w:leader="none" w:pos="1960" w:val="left"/>
        </w:tabs>
        <w:numPr>
          <w:ilvl w:val="1"/>
          <w:numId w:val="1012"/>
        </w:numPr>
        <w:rPr>
          <w:rFonts w:ascii="Arial" w:cs="Arial" w:eastAsia="Arial" w:hAnsi="Arial"/>
          <w:sz w:val="18"/>
          <w:szCs w:val="18"/>
          <w:color w:val="auto"/>
        </w:rPr>
      </w:pPr>
      <w:r>
        <w:rPr>
          <w:rFonts w:ascii="Arial" w:cs="Arial" w:eastAsia="Arial" w:hAnsi="Arial"/>
          <w:sz w:val="18"/>
          <w:szCs w:val="18"/>
          <w:color w:val="auto"/>
        </w:rPr>
        <w:t>the amount standing to the credit of the Facility A Cash Collateral Account is not less than the Facility A Cash Collateral Minimum Balance.</w:t>
      </w:r>
    </w:p>
    <w:p>
      <w:pPr>
        <w:spacing w:after="0" w:line="75" w:lineRule="exact"/>
        <w:rPr>
          <w:rFonts w:ascii="Arial" w:cs="Arial" w:eastAsia="Arial" w:hAnsi="Arial"/>
          <w:sz w:val="18"/>
          <w:szCs w:val="18"/>
          <w:color w:val="auto"/>
        </w:rPr>
      </w:pPr>
    </w:p>
    <w:p>
      <w:pPr>
        <w:ind w:left="1300" w:right="600" w:hanging="535"/>
        <w:spacing w:after="0" w:line="277" w:lineRule="auto"/>
        <w:tabs>
          <w:tab w:leader="none" w:pos="1300" w:val="left"/>
        </w:tabs>
        <w:numPr>
          <w:ilvl w:val="0"/>
          <w:numId w:val="101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Finance Document, during the period (if any) that the Release Condition is satisfied (and only during such period):</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1012"/>
        </w:numPr>
        <w:rPr>
          <w:rFonts w:ascii="Arial" w:cs="Arial" w:eastAsia="Arial" w:hAnsi="Arial"/>
          <w:sz w:val="16"/>
          <w:szCs w:val="16"/>
          <w:color w:val="auto"/>
        </w:rPr>
      </w:pPr>
      <w:r>
        <w:rPr>
          <w:rFonts w:ascii="Arial" w:cs="Arial" w:eastAsia="Arial" w:hAnsi="Arial"/>
          <w:sz w:val="16"/>
          <w:szCs w:val="16"/>
          <w:color w:val="auto"/>
        </w:rPr>
        <w:t>the representations under (and including) Clause 21.11 (</w:t>
      </w:r>
      <w:r>
        <w:rPr>
          <w:rFonts w:ascii="Arial" w:cs="Arial" w:eastAsia="Arial" w:hAnsi="Arial"/>
          <w:sz w:val="16"/>
          <w:szCs w:val="16"/>
          <w:i w:val="1"/>
          <w:iCs w:val="1"/>
          <w:color w:val="auto"/>
        </w:rPr>
        <w:t>No default</w:t>
      </w:r>
      <w:r>
        <w:rPr>
          <w:rFonts w:ascii="Arial" w:cs="Arial" w:eastAsia="Arial" w:hAnsi="Arial"/>
          <w:sz w:val="16"/>
          <w:szCs w:val="16"/>
          <w:color w:val="auto"/>
        </w:rPr>
        <w:t>) to Clause 21.24 (</w:t>
      </w:r>
      <w:r>
        <w:rPr>
          <w:rFonts w:ascii="Arial" w:cs="Arial" w:eastAsia="Arial" w:hAnsi="Arial"/>
          <w:sz w:val="16"/>
          <w:szCs w:val="16"/>
          <w:i w:val="1"/>
          <w:iCs w:val="1"/>
          <w:color w:val="auto"/>
        </w:rPr>
        <w:t>Labour disputes</w:t>
      </w:r>
      <w:r>
        <w:rPr>
          <w:rFonts w:ascii="Arial" w:cs="Arial" w:eastAsia="Arial" w:hAnsi="Arial"/>
          <w:sz w:val="16"/>
          <w:szCs w:val="16"/>
          <w:color w:val="auto"/>
        </w:rPr>
        <w:t>) and Clause 21.26</w:t>
      </w:r>
    </w:p>
    <w:p>
      <w:pPr>
        <w:spacing w:after="0" w:line="46" w:lineRule="exact"/>
        <w:rPr>
          <w:rFonts w:ascii="Arial" w:cs="Arial" w:eastAsia="Arial" w:hAnsi="Arial"/>
          <w:sz w:val="16"/>
          <w:szCs w:val="16"/>
          <w:color w:val="auto"/>
        </w:rPr>
      </w:pPr>
    </w:p>
    <w:p>
      <w:pPr>
        <w:ind w:left="1960" w:right="80"/>
        <w:spacing w:after="0" w:line="260"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Acting as principal</w:t>
      </w:r>
      <w:r>
        <w:rPr>
          <w:rFonts w:ascii="Arial" w:cs="Arial" w:eastAsia="Arial" w:hAnsi="Arial"/>
          <w:sz w:val="18"/>
          <w:szCs w:val="18"/>
          <w:color w:val="auto"/>
        </w:rPr>
        <w:t>) shall not be deemed to be made by any Obligor pursuant to paragraphs (b) and (d) of Clause 21.1 (</w:t>
      </w:r>
      <w:r>
        <w:rPr>
          <w:rFonts w:ascii="Arial" w:cs="Arial" w:eastAsia="Arial" w:hAnsi="Arial"/>
          <w:sz w:val="18"/>
          <w:szCs w:val="18"/>
          <w:i w:val="1"/>
          <w:iCs w:val="1"/>
          <w:color w:val="auto"/>
        </w:rPr>
        <w:t>Time</w:t>
      </w:r>
      <w:r>
        <w:rPr>
          <w:rFonts w:ascii="Arial" w:cs="Arial" w:eastAsia="Arial" w:hAnsi="Arial"/>
          <w:sz w:val="18"/>
          <w:szCs w:val="18"/>
          <w:color w:val="auto"/>
        </w:rPr>
        <w:t xml:space="preserve"> </w:t>
      </w:r>
      <w:r>
        <w:rPr>
          <w:rFonts w:ascii="Arial" w:cs="Arial" w:eastAsia="Arial" w:hAnsi="Arial"/>
          <w:sz w:val="18"/>
          <w:szCs w:val="18"/>
          <w:i w:val="1"/>
          <w:iCs w:val="1"/>
          <w:color w:val="auto"/>
        </w:rPr>
        <w:t>when representations made</w:t>
      </w:r>
      <w:r>
        <w:rPr>
          <w:rFonts w:ascii="Arial" w:cs="Arial" w:eastAsia="Arial" w:hAnsi="Arial"/>
          <w:sz w:val="18"/>
          <w:szCs w:val="18"/>
          <w:color w:val="auto"/>
        </w:rPr>
        <w:t>);</w:t>
      </w:r>
    </w:p>
    <w:p>
      <w:pPr>
        <w:spacing w:after="0" w:line="90" w:lineRule="exact"/>
        <w:rPr>
          <w:rFonts w:ascii="Arial" w:cs="Arial" w:eastAsia="Arial" w:hAnsi="Arial"/>
          <w:sz w:val="16"/>
          <w:szCs w:val="16"/>
          <w:color w:val="auto"/>
        </w:rPr>
      </w:pPr>
    </w:p>
    <w:p>
      <w:pPr>
        <w:ind w:left="1960" w:hanging="655"/>
        <w:spacing w:after="0"/>
        <w:tabs>
          <w:tab w:leader="none" w:pos="1960" w:val="left"/>
        </w:tabs>
        <w:numPr>
          <w:ilvl w:val="1"/>
          <w:numId w:val="1012"/>
        </w:numPr>
        <w:rPr>
          <w:rFonts w:ascii="Arial" w:cs="Arial" w:eastAsia="Arial" w:hAnsi="Arial"/>
          <w:sz w:val="18"/>
          <w:szCs w:val="18"/>
          <w:color w:val="auto"/>
        </w:rPr>
      </w:pPr>
      <w:r>
        <w:rPr>
          <w:rFonts w:ascii="Arial" w:cs="Arial" w:eastAsia="Arial" w:hAnsi="Arial"/>
          <w:sz w:val="18"/>
          <w:szCs w:val="18"/>
          <w:color w:val="auto"/>
        </w:rPr>
        <w:t>the following obligations and restrictions shall be suspended and shall not apply:</w:t>
      </w:r>
    </w:p>
    <w:p>
      <w:pPr>
        <w:spacing w:after="0" w:line="130" w:lineRule="exact"/>
        <w:rPr>
          <w:rFonts w:ascii="Arial" w:cs="Arial" w:eastAsia="Arial" w:hAnsi="Arial"/>
          <w:sz w:val="18"/>
          <w:szCs w:val="18"/>
          <w:color w:val="auto"/>
        </w:rPr>
      </w:pPr>
    </w:p>
    <w:p>
      <w:pPr>
        <w:ind w:left="2500" w:hanging="533"/>
        <w:spacing w:after="0"/>
        <w:tabs>
          <w:tab w:leader="none" w:pos="2500" w:val="left"/>
        </w:tabs>
        <w:numPr>
          <w:ilvl w:val="2"/>
          <w:numId w:val="1012"/>
        </w:numPr>
        <w:rPr>
          <w:rFonts w:ascii="Arial" w:cs="Arial" w:eastAsia="Arial" w:hAnsi="Arial"/>
          <w:sz w:val="16"/>
          <w:szCs w:val="16"/>
          <w:color w:val="auto"/>
        </w:rPr>
      </w:pPr>
      <w:r>
        <w:rPr>
          <w:rFonts w:ascii="Arial" w:cs="Arial" w:eastAsia="Arial" w:hAnsi="Arial"/>
          <w:sz w:val="16"/>
          <w:szCs w:val="16"/>
          <w:color w:val="auto"/>
        </w:rPr>
        <w:t>the requirement to make mandatory prepayments under Clause 9.4 (</w:t>
      </w:r>
      <w:r>
        <w:rPr>
          <w:rFonts w:ascii="Arial" w:cs="Arial" w:eastAsia="Arial" w:hAnsi="Arial"/>
          <w:sz w:val="16"/>
          <w:szCs w:val="16"/>
          <w:i w:val="1"/>
          <w:iCs w:val="1"/>
          <w:color w:val="auto"/>
        </w:rPr>
        <w:t>Notes Repurchases</w:t>
      </w:r>
      <w:r>
        <w:rPr>
          <w:rFonts w:ascii="Arial" w:cs="Arial" w:eastAsia="Arial" w:hAnsi="Arial"/>
          <w:sz w:val="16"/>
          <w:szCs w:val="16"/>
          <w:color w:val="auto"/>
        </w:rPr>
        <w:t>) and Clause 9.5 (</w:t>
      </w:r>
      <w:r>
        <w:rPr>
          <w:rFonts w:ascii="Arial" w:cs="Arial" w:eastAsia="Arial" w:hAnsi="Arial"/>
          <w:sz w:val="16"/>
          <w:szCs w:val="16"/>
          <w:i w:val="1"/>
          <w:iCs w:val="1"/>
          <w:color w:val="auto"/>
        </w:rPr>
        <w:t>Asset Sales</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2500" w:right="20" w:hanging="533"/>
        <w:spacing w:after="0" w:line="263" w:lineRule="auto"/>
        <w:tabs>
          <w:tab w:leader="none" w:pos="2500" w:val="left"/>
        </w:tabs>
        <w:numPr>
          <w:ilvl w:val="2"/>
          <w:numId w:val="1012"/>
        </w:numPr>
        <w:rPr>
          <w:rFonts w:ascii="Arial" w:cs="Arial" w:eastAsia="Arial" w:hAnsi="Arial"/>
          <w:sz w:val="18"/>
          <w:szCs w:val="18"/>
          <w:color w:val="auto"/>
        </w:rPr>
      </w:pPr>
      <w:r>
        <w:rPr>
          <w:rFonts w:ascii="Arial" w:cs="Arial" w:eastAsia="Arial" w:hAnsi="Arial"/>
          <w:sz w:val="18"/>
          <w:szCs w:val="18"/>
          <w:color w:val="auto"/>
        </w:rPr>
        <w:t>the requirement to deliver financial statements as contemplated under Clause 22.4 (</w:t>
      </w:r>
      <w:r>
        <w:rPr>
          <w:rFonts w:ascii="Arial" w:cs="Arial" w:eastAsia="Arial" w:hAnsi="Arial"/>
          <w:sz w:val="18"/>
          <w:szCs w:val="18"/>
          <w:i w:val="1"/>
          <w:iCs w:val="1"/>
          <w:color w:val="auto"/>
        </w:rPr>
        <w:t>Financial statements</w:t>
      </w:r>
      <w:r>
        <w:rPr>
          <w:rFonts w:ascii="Arial" w:cs="Arial" w:eastAsia="Arial" w:hAnsi="Arial"/>
          <w:sz w:val="18"/>
          <w:szCs w:val="18"/>
          <w:color w:val="auto"/>
        </w:rPr>
        <w:t>) and the representation at paragraph (a) of Clause 21.14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 not be deemed to be made by any Obligor pursuant to paragraph (c) of Clause 21.1 (</w:t>
      </w:r>
      <w:r>
        <w:rPr>
          <w:rFonts w:ascii="Arial" w:cs="Arial" w:eastAsia="Arial" w:hAnsi="Arial"/>
          <w:sz w:val="18"/>
          <w:szCs w:val="18"/>
          <w:i w:val="1"/>
          <w:iCs w:val="1"/>
          <w:color w:val="auto"/>
        </w:rPr>
        <w:t>Time when representations made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2500" w:hanging="533"/>
        <w:spacing w:after="0"/>
        <w:tabs>
          <w:tab w:leader="none" w:pos="2500" w:val="left"/>
        </w:tabs>
        <w:numPr>
          <w:ilvl w:val="2"/>
          <w:numId w:val="1012"/>
        </w:numPr>
        <w:rPr>
          <w:rFonts w:ascii="Arial" w:cs="Arial" w:eastAsia="Arial" w:hAnsi="Arial"/>
          <w:sz w:val="18"/>
          <w:szCs w:val="18"/>
          <w:color w:val="auto"/>
        </w:rPr>
      </w:pPr>
      <w:r>
        <w:rPr>
          <w:rFonts w:ascii="Arial" w:cs="Arial" w:eastAsia="Arial" w:hAnsi="Arial"/>
          <w:sz w:val="18"/>
          <w:szCs w:val="18"/>
          <w:color w:val="auto"/>
        </w:rPr>
        <w:t>and the requirement not to change its Finance Year-end under Clause 22.7 (</w:t>
      </w:r>
      <w:r>
        <w:rPr>
          <w:rFonts w:ascii="Arial" w:cs="Arial" w:eastAsia="Arial" w:hAnsi="Arial"/>
          <w:sz w:val="18"/>
          <w:szCs w:val="18"/>
          <w:i w:val="1"/>
          <w:iCs w:val="1"/>
          <w:color w:val="auto"/>
        </w:rPr>
        <w:t>Year-end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500" w:hanging="533"/>
        <w:spacing w:after="0"/>
        <w:tabs>
          <w:tab w:leader="none" w:pos="2500" w:val="left"/>
        </w:tabs>
        <w:numPr>
          <w:ilvl w:val="2"/>
          <w:numId w:val="1012"/>
        </w:numPr>
        <w:rPr>
          <w:rFonts w:ascii="Arial" w:cs="Arial" w:eastAsia="Arial" w:hAnsi="Arial"/>
          <w:sz w:val="16"/>
          <w:szCs w:val="16"/>
          <w:color w:val="auto"/>
        </w:rPr>
      </w:pPr>
      <w:r>
        <w:rPr>
          <w:rFonts w:ascii="Arial" w:cs="Arial" w:eastAsia="Arial" w:hAnsi="Arial"/>
          <w:sz w:val="16"/>
          <w:szCs w:val="16"/>
          <w:color w:val="auto"/>
        </w:rPr>
        <w:t>the requirement to supply information under Clause 22.8 (</w:t>
      </w:r>
      <w:r>
        <w:rPr>
          <w:rFonts w:ascii="Arial" w:cs="Arial" w:eastAsia="Arial" w:hAnsi="Arial"/>
          <w:sz w:val="16"/>
          <w:szCs w:val="16"/>
          <w:i w:val="1"/>
          <w:iCs w:val="1"/>
          <w:color w:val="auto"/>
        </w:rPr>
        <w:t>Information: miscellaneous</w:t>
      </w:r>
      <w:r>
        <w:rPr>
          <w:rFonts w:ascii="Arial" w:cs="Arial" w:eastAsia="Arial" w:hAnsi="Arial"/>
          <w:sz w:val="16"/>
          <w:szCs w:val="16"/>
          <w:color w:val="auto"/>
        </w:rPr>
        <w:t>) other than under paragraphs</w:t>
      </w:r>
    </w:p>
    <w:p>
      <w:pPr>
        <w:spacing w:after="0" w:line="46" w:lineRule="exact"/>
        <w:rPr>
          <w:rFonts w:ascii="Arial" w:cs="Arial" w:eastAsia="Arial" w:hAnsi="Arial"/>
          <w:sz w:val="16"/>
          <w:szCs w:val="16"/>
          <w:color w:val="auto"/>
        </w:rPr>
      </w:pPr>
    </w:p>
    <w:p>
      <w:pPr>
        <w:ind w:left="2500"/>
        <w:spacing w:after="0"/>
        <w:rPr>
          <w:rFonts w:ascii="Arial" w:cs="Arial" w:eastAsia="Arial" w:hAnsi="Arial"/>
          <w:sz w:val="16"/>
          <w:szCs w:val="16"/>
          <w:color w:val="auto"/>
        </w:rPr>
      </w:pPr>
      <w:r>
        <w:rPr>
          <w:rFonts w:ascii="Arial" w:cs="Arial" w:eastAsia="Arial" w:hAnsi="Arial"/>
          <w:sz w:val="18"/>
          <w:szCs w:val="18"/>
          <w:color w:val="auto"/>
        </w:rPr>
        <w:t>(f) and (g) of Clause 22.8 (</w:t>
      </w:r>
      <w:r>
        <w:rPr>
          <w:rFonts w:ascii="Arial" w:cs="Arial" w:eastAsia="Arial" w:hAnsi="Arial"/>
          <w:sz w:val="18"/>
          <w:szCs w:val="18"/>
          <w:i w:val="1"/>
          <w:iCs w:val="1"/>
          <w:color w:val="auto"/>
        </w:rPr>
        <w:t>Information: miscellaneous</w:t>
      </w:r>
      <w:r>
        <w:rPr>
          <w:rFonts w:ascii="Arial" w:cs="Arial" w:eastAsia="Arial" w:hAnsi="Arial"/>
          <w:sz w:val="18"/>
          <w:szCs w:val="18"/>
          <w:color w:val="auto"/>
        </w:rPr>
        <w:t>);</w:t>
      </w:r>
    </w:p>
    <w:p>
      <w:pPr>
        <w:spacing w:after="0" w:line="143"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96" w:name="page697"/>
    <w:bookmarkEnd w:id="696"/>
    <w:p>
      <w:pPr>
        <w:ind w:left="2504" w:right="220" w:hanging="533"/>
        <w:spacing w:after="0" w:line="277" w:lineRule="auto"/>
        <w:tabs>
          <w:tab w:leader="none" w:pos="2504" w:val="left"/>
        </w:tabs>
        <w:numPr>
          <w:ilvl w:val="3"/>
          <w:numId w:val="10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requirements and restrictions under Clause 23 (</w:t>
      </w:r>
      <w:r>
        <w:rPr>
          <w:rFonts w:ascii="Arial" w:cs="Arial" w:eastAsia="Arial" w:hAnsi="Arial"/>
          <w:sz w:val="18"/>
          <w:szCs w:val="18"/>
          <w:i w:val="1"/>
          <w:iCs w:val="1"/>
          <w:color w:val="auto"/>
        </w:rPr>
        <w:t>General undertakings</w:t>
      </w:r>
      <w:r>
        <w:rPr>
          <w:rFonts w:ascii="Arial" w:cs="Arial" w:eastAsia="Arial" w:hAnsi="Arial"/>
          <w:sz w:val="18"/>
          <w:szCs w:val="18"/>
          <w:color w:val="auto"/>
        </w:rPr>
        <w:t>) other than Clause 23.3 (</w:t>
      </w:r>
      <w:r>
        <w:rPr>
          <w:rFonts w:ascii="Arial" w:cs="Arial" w:eastAsia="Arial" w:hAnsi="Arial"/>
          <w:sz w:val="18"/>
          <w:szCs w:val="18"/>
          <w:i w:val="1"/>
          <w:iCs w:val="1"/>
          <w:color w:val="auto"/>
        </w:rPr>
        <w:t>Compliance with</w:t>
      </w:r>
      <w:r>
        <w:rPr>
          <w:rFonts w:ascii="Arial" w:cs="Arial" w:eastAsia="Arial" w:hAnsi="Arial"/>
          <w:sz w:val="18"/>
          <w:szCs w:val="18"/>
          <w:color w:val="auto"/>
        </w:rPr>
        <w:t xml:space="preserve"> </w:t>
      </w:r>
      <w:r>
        <w:rPr>
          <w:rFonts w:ascii="Arial" w:cs="Arial" w:eastAsia="Arial" w:hAnsi="Arial"/>
          <w:sz w:val="18"/>
          <w:szCs w:val="18"/>
          <w:i w:val="1"/>
          <w:iCs w:val="1"/>
          <w:color w:val="auto"/>
        </w:rPr>
        <w:t>laws</w:t>
      </w:r>
      <w:r>
        <w:rPr>
          <w:rFonts w:ascii="Arial" w:cs="Arial" w:eastAsia="Arial" w:hAnsi="Arial"/>
          <w:sz w:val="18"/>
          <w:szCs w:val="18"/>
          <w:color w:val="auto"/>
        </w:rPr>
        <w:t>) and this Clause 23.17;</w:t>
      </w:r>
    </w:p>
    <w:p>
      <w:pPr>
        <w:spacing w:after="0" w:line="75" w:lineRule="exact"/>
        <w:rPr>
          <w:rFonts w:ascii="Arial" w:cs="Arial" w:eastAsia="Arial" w:hAnsi="Arial"/>
          <w:sz w:val="18"/>
          <w:szCs w:val="18"/>
          <w:color w:val="auto"/>
        </w:rPr>
      </w:pPr>
    </w:p>
    <w:p>
      <w:pPr>
        <w:ind w:left="1964" w:hanging="655"/>
        <w:spacing w:after="0"/>
        <w:tabs>
          <w:tab w:leader="none" w:pos="1964" w:val="left"/>
        </w:tabs>
        <w:numPr>
          <w:ilvl w:val="2"/>
          <w:numId w:val="1014"/>
        </w:numPr>
        <w:rPr>
          <w:rFonts w:ascii="Arial" w:cs="Arial" w:eastAsia="Arial" w:hAnsi="Arial"/>
          <w:sz w:val="18"/>
          <w:szCs w:val="18"/>
          <w:color w:val="auto"/>
        </w:rPr>
      </w:pPr>
      <w:r>
        <w:rPr>
          <w:rFonts w:ascii="Arial" w:cs="Arial" w:eastAsia="Arial" w:hAnsi="Arial"/>
          <w:sz w:val="18"/>
          <w:szCs w:val="18"/>
          <w:color w:val="auto"/>
        </w:rPr>
        <w:t>the following Events of Default will cease to apply:</w:t>
      </w:r>
    </w:p>
    <w:p>
      <w:pPr>
        <w:spacing w:after="0" w:line="130" w:lineRule="exact"/>
        <w:rPr>
          <w:rFonts w:ascii="Arial" w:cs="Arial" w:eastAsia="Arial" w:hAnsi="Arial"/>
          <w:sz w:val="18"/>
          <w:szCs w:val="18"/>
          <w:color w:val="auto"/>
        </w:rPr>
      </w:pPr>
    </w:p>
    <w:p>
      <w:pPr>
        <w:ind w:left="2504" w:right="360" w:hanging="533"/>
        <w:spacing w:after="0" w:line="277" w:lineRule="auto"/>
        <w:tabs>
          <w:tab w:leader="none" w:pos="2504" w:val="left"/>
        </w:tabs>
        <w:numPr>
          <w:ilvl w:val="3"/>
          <w:numId w:val="1014"/>
        </w:numPr>
        <w:rPr>
          <w:rFonts w:ascii="Arial" w:cs="Arial" w:eastAsia="Arial" w:hAnsi="Arial"/>
          <w:sz w:val="18"/>
          <w:szCs w:val="18"/>
          <w:color w:val="auto"/>
        </w:rPr>
      </w:pPr>
      <w:r>
        <w:rPr>
          <w:rFonts w:ascii="Arial" w:cs="Arial" w:eastAsia="Arial" w:hAnsi="Arial"/>
          <w:sz w:val="18"/>
          <w:szCs w:val="18"/>
          <w:color w:val="auto"/>
        </w:rPr>
        <w:t>Clause 24.8 (</w:t>
      </w:r>
      <w:r>
        <w:rPr>
          <w:rFonts w:ascii="Arial" w:cs="Arial" w:eastAsia="Arial" w:hAnsi="Arial"/>
          <w:sz w:val="18"/>
          <w:szCs w:val="18"/>
          <w:i w:val="1"/>
          <w:iCs w:val="1"/>
          <w:color w:val="auto"/>
        </w:rPr>
        <w:t>Unlawfulness or invalidity of Finance Document</w:t>
      </w:r>
      <w:r>
        <w:rPr>
          <w:rFonts w:ascii="Arial" w:cs="Arial" w:eastAsia="Arial" w:hAnsi="Arial"/>
          <w:sz w:val="18"/>
          <w:szCs w:val="18"/>
          <w:color w:val="auto"/>
        </w:rPr>
        <w:t>) to the extent it relates to any Transaction Security (other than the Facility A Cash Collateral);</w:t>
      </w:r>
    </w:p>
    <w:p>
      <w:pPr>
        <w:spacing w:after="0" w:line="75" w:lineRule="exact"/>
        <w:rPr>
          <w:rFonts w:ascii="Arial" w:cs="Arial" w:eastAsia="Arial" w:hAnsi="Arial"/>
          <w:sz w:val="18"/>
          <w:szCs w:val="18"/>
          <w:color w:val="auto"/>
        </w:rPr>
      </w:pPr>
    </w:p>
    <w:p>
      <w:pPr>
        <w:ind w:left="2504" w:hanging="533"/>
        <w:spacing w:after="0"/>
        <w:tabs>
          <w:tab w:leader="none" w:pos="2504" w:val="left"/>
        </w:tabs>
        <w:numPr>
          <w:ilvl w:val="3"/>
          <w:numId w:val="1014"/>
        </w:numPr>
        <w:rPr>
          <w:rFonts w:ascii="Arial" w:cs="Arial" w:eastAsia="Arial" w:hAnsi="Arial"/>
          <w:sz w:val="18"/>
          <w:szCs w:val="18"/>
          <w:color w:val="auto"/>
        </w:rPr>
      </w:pPr>
      <w:r>
        <w:rPr>
          <w:rFonts w:ascii="Arial" w:cs="Arial" w:eastAsia="Arial" w:hAnsi="Arial"/>
          <w:sz w:val="18"/>
          <w:szCs w:val="18"/>
          <w:color w:val="auto"/>
        </w:rPr>
        <w:t>Clause 24.10 (</w:t>
      </w:r>
      <w:r>
        <w:rPr>
          <w:rFonts w:ascii="Arial" w:cs="Arial" w:eastAsia="Arial" w:hAnsi="Arial"/>
          <w:sz w:val="18"/>
          <w:szCs w:val="18"/>
          <w:i w:val="1"/>
          <w:iCs w:val="1"/>
          <w:color w:val="auto"/>
        </w:rPr>
        <w:t>Permits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504" w:right="600" w:hanging="533"/>
        <w:spacing w:after="0" w:line="277" w:lineRule="auto"/>
        <w:tabs>
          <w:tab w:leader="none" w:pos="2504" w:val="left"/>
        </w:tabs>
        <w:numPr>
          <w:ilvl w:val="3"/>
          <w:numId w:val="1014"/>
        </w:numPr>
        <w:rPr>
          <w:rFonts w:ascii="Arial" w:cs="Arial" w:eastAsia="Arial" w:hAnsi="Arial"/>
          <w:sz w:val="18"/>
          <w:szCs w:val="18"/>
          <w:color w:val="auto"/>
        </w:rPr>
      </w:pPr>
      <w:r>
        <w:rPr>
          <w:rFonts w:ascii="Arial" w:cs="Arial" w:eastAsia="Arial" w:hAnsi="Arial"/>
          <w:sz w:val="18"/>
          <w:szCs w:val="18"/>
          <w:color w:val="auto"/>
        </w:rPr>
        <w:t>paragraph (a) of Clause 24.13 (</w:t>
      </w:r>
      <w:r>
        <w:rPr>
          <w:rFonts w:ascii="Arial" w:cs="Arial" w:eastAsia="Arial" w:hAnsi="Arial"/>
          <w:sz w:val="18"/>
          <w:szCs w:val="18"/>
          <w:i w:val="1"/>
          <w:iCs w:val="1"/>
          <w:color w:val="auto"/>
        </w:rPr>
        <w:t>Repudiation or rescission of Finance Documents</w:t>
      </w:r>
      <w:r>
        <w:rPr>
          <w:rFonts w:ascii="Arial" w:cs="Arial" w:eastAsia="Arial" w:hAnsi="Arial"/>
          <w:sz w:val="18"/>
          <w:szCs w:val="18"/>
          <w:color w:val="auto"/>
        </w:rPr>
        <w:t>) to the extent it relates to any Transaction Security (other than the Facility A Cash Collateral);</w:t>
      </w:r>
    </w:p>
    <w:p>
      <w:pPr>
        <w:spacing w:after="0" w:line="75" w:lineRule="exact"/>
        <w:rPr>
          <w:rFonts w:ascii="Arial" w:cs="Arial" w:eastAsia="Arial" w:hAnsi="Arial"/>
          <w:sz w:val="18"/>
          <w:szCs w:val="18"/>
          <w:color w:val="auto"/>
        </w:rPr>
      </w:pPr>
    </w:p>
    <w:p>
      <w:pPr>
        <w:ind w:left="2504" w:right="540" w:hanging="533"/>
        <w:spacing w:after="0" w:line="277" w:lineRule="auto"/>
        <w:tabs>
          <w:tab w:leader="none" w:pos="2504" w:val="left"/>
        </w:tabs>
        <w:numPr>
          <w:ilvl w:val="3"/>
          <w:numId w:val="1014"/>
        </w:numPr>
        <w:rPr>
          <w:rFonts w:ascii="Arial" w:cs="Arial" w:eastAsia="Arial" w:hAnsi="Arial"/>
          <w:sz w:val="18"/>
          <w:szCs w:val="18"/>
          <w:color w:val="auto"/>
        </w:rPr>
      </w:pPr>
      <w:r>
        <w:rPr>
          <w:rFonts w:ascii="Arial" w:cs="Arial" w:eastAsia="Arial" w:hAnsi="Arial"/>
          <w:sz w:val="18"/>
          <w:szCs w:val="18"/>
          <w:color w:val="auto"/>
        </w:rPr>
        <w:t>paragraph (b) of Clause 24.13 (</w:t>
      </w:r>
      <w:r>
        <w:rPr>
          <w:rFonts w:ascii="Arial" w:cs="Arial" w:eastAsia="Arial" w:hAnsi="Arial"/>
          <w:sz w:val="18"/>
          <w:szCs w:val="18"/>
          <w:i w:val="1"/>
          <w:iCs w:val="1"/>
          <w:color w:val="auto"/>
        </w:rPr>
        <w:t>Repudiation or rescission of Finance Documents</w:t>
      </w:r>
      <w:r>
        <w:rPr>
          <w:rFonts w:ascii="Arial" w:cs="Arial" w:eastAsia="Arial" w:hAnsi="Arial"/>
          <w:sz w:val="18"/>
          <w:szCs w:val="18"/>
          <w:color w:val="auto"/>
        </w:rPr>
        <w:t>) other than with respect to the Intercreditor Agreement;</w:t>
      </w:r>
    </w:p>
    <w:p>
      <w:pPr>
        <w:spacing w:after="0" w:line="75" w:lineRule="exact"/>
        <w:rPr>
          <w:rFonts w:ascii="Arial" w:cs="Arial" w:eastAsia="Arial" w:hAnsi="Arial"/>
          <w:sz w:val="18"/>
          <w:szCs w:val="18"/>
          <w:color w:val="auto"/>
        </w:rPr>
      </w:pPr>
    </w:p>
    <w:p>
      <w:pPr>
        <w:ind w:left="2504" w:hanging="533"/>
        <w:spacing w:after="0"/>
        <w:tabs>
          <w:tab w:leader="none" w:pos="2504" w:val="left"/>
        </w:tabs>
        <w:numPr>
          <w:ilvl w:val="3"/>
          <w:numId w:val="1014"/>
        </w:numPr>
        <w:rPr>
          <w:rFonts w:ascii="Arial" w:cs="Arial" w:eastAsia="Arial" w:hAnsi="Arial"/>
          <w:sz w:val="18"/>
          <w:szCs w:val="18"/>
          <w:color w:val="auto"/>
        </w:rPr>
      </w:pPr>
      <w:r>
        <w:rPr>
          <w:rFonts w:ascii="Arial" w:cs="Arial" w:eastAsia="Arial" w:hAnsi="Arial"/>
          <w:sz w:val="18"/>
          <w:szCs w:val="18"/>
          <w:color w:val="auto"/>
        </w:rPr>
        <w:t>Clause 24.14 (</w:t>
      </w:r>
      <w:r>
        <w:rPr>
          <w:rFonts w:ascii="Arial" w:cs="Arial" w:eastAsia="Arial" w:hAnsi="Arial"/>
          <w:sz w:val="18"/>
          <w:szCs w:val="18"/>
          <w:i w:val="1"/>
          <w:iCs w:val="1"/>
          <w:color w:val="auto"/>
        </w:rPr>
        <w:t>Litigation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504" w:hanging="533"/>
        <w:spacing w:after="0"/>
        <w:tabs>
          <w:tab w:leader="none" w:pos="2504" w:val="left"/>
        </w:tabs>
        <w:numPr>
          <w:ilvl w:val="3"/>
          <w:numId w:val="1014"/>
        </w:numPr>
        <w:rPr>
          <w:rFonts w:ascii="Arial" w:cs="Arial" w:eastAsia="Arial" w:hAnsi="Arial"/>
          <w:sz w:val="18"/>
          <w:szCs w:val="18"/>
          <w:color w:val="auto"/>
        </w:rPr>
      </w:pPr>
      <w:r>
        <w:rPr>
          <w:rFonts w:ascii="Arial" w:cs="Arial" w:eastAsia="Arial" w:hAnsi="Arial"/>
          <w:sz w:val="18"/>
          <w:szCs w:val="18"/>
          <w:color w:val="auto"/>
        </w:rPr>
        <w:t>Clause 24.15 (</w:t>
      </w:r>
      <w:r>
        <w:rPr>
          <w:rFonts w:ascii="Arial" w:cs="Arial" w:eastAsia="Arial" w:hAnsi="Arial"/>
          <w:sz w:val="18"/>
          <w:szCs w:val="18"/>
          <w:i w:val="1"/>
          <w:iCs w:val="1"/>
          <w:color w:val="auto"/>
        </w:rPr>
        <w:t>Material adverse change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504" w:hanging="533"/>
        <w:spacing w:after="0"/>
        <w:tabs>
          <w:tab w:leader="none" w:pos="2504" w:val="left"/>
        </w:tabs>
        <w:numPr>
          <w:ilvl w:val="3"/>
          <w:numId w:val="1014"/>
        </w:numPr>
        <w:rPr>
          <w:rFonts w:ascii="Arial" w:cs="Arial" w:eastAsia="Arial" w:hAnsi="Arial"/>
          <w:sz w:val="18"/>
          <w:szCs w:val="18"/>
          <w:color w:val="auto"/>
        </w:rPr>
      </w:pPr>
      <w:r>
        <w:rPr>
          <w:rFonts w:ascii="Arial" w:cs="Arial" w:eastAsia="Arial" w:hAnsi="Arial"/>
          <w:sz w:val="18"/>
          <w:szCs w:val="18"/>
          <w:color w:val="auto"/>
        </w:rPr>
        <w:t>Clause 24.16 (</w:t>
      </w:r>
      <w:r>
        <w:rPr>
          <w:rFonts w:ascii="Arial" w:cs="Arial" w:eastAsia="Arial" w:hAnsi="Arial"/>
          <w:sz w:val="18"/>
          <w:szCs w:val="18"/>
          <w:i w:val="1"/>
          <w:iCs w:val="1"/>
          <w:color w:val="auto"/>
        </w:rPr>
        <w:t>Services and Right to Use Agreement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2504" w:hanging="533"/>
        <w:spacing w:after="0"/>
        <w:tabs>
          <w:tab w:leader="none" w:pos="2504" w:val="left"/>
        </w:tabs>
        <w:numPr>
          <w:ilvl w:val="3"/>
          <w:numId w:val="1014"/>
        </w:numPr>
        <w:rPr>
          <w:rFonts w:ascii="Arial" w:cs="Arial" w:eastAsia="Arial" w:hAnsi="Arial"/>
          <w:sz w:val="18"/>
          <w:szCs w:val="18"/>
          <w:color w:val="auto"/>
        </w:rPr>
      </w:pPr>
      <w:r>
        <w:rPr>
          <w:rFonts w:ascii="Arial" w:cs="Arial" w:eastAsia="Arial" w:hAnsi="Arial"/>
          <w:sz w:val="18"/>
          <w:szCs w:val="18"/>
          <w:color w:val="auto"/>
        </w:rPr>
        <w:t>Clause 24.17 (</w:t>
      </w:r>
      <w:r>
        <w:rPr>
          <w:rFonts w:ascii="Arial" w:cs="Arial" w:eastAsia="Arial" w:hAnsi="Arial"/>
          <w:sz w:val="18"/>
          <w:szCs w:val="18"/>
          <w:i w:val="1"/>
          <w:iCs w:val="1"/>
          <w:color w:val="auto"/>
        </w:rPr>
        <w:t>Melco Resorts Macau Notification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04" w:right="20" w:hanging="535"/>
        <w:spacing w:after="0" w:line="257" w:lineRule="auto"/>
        <w:tabs>
          <w:tab w:leader="none" w:pos="1304" w:val="left"/>
        </w:tabs>
        <w:numPr>
          <w:ilvl w:val="1"/>
          <w:numId w:val="1015"/>
        </w:numPr>
        <w:rPr>
          <w:rFonts w:ascii="Arial" w:cs="Arial" w:eastAsia="Arial" w:hAnsi="Arial"/>
          <w:sz w:val="18"/>
          <w:szCs w:val="18"/>
          <w:color w:val="auto"/>
        </w:rPr>
      </w:pPr>
      <w:r>
        <w:rPr>
          <w:rFonts w:ascii="Arial" w:cs="Arial" w:eastAsia="Arial" w:hAnsi="Arial"/>
          <w:sz w:val="18"/>
          <w:szCs w:val="18"/>
          <w:color w:val="auto"/>
        </w:rPr>
        <w:t>If, at any time after the Release Condition has been satisfied, the Release Condition subsequently ceases to be satisfied, any breach of this Agreement or any other Finance Document that arises as a result of any of the obligations, restrictions or other terms referred to in paragraph (b) above ceasing to be suspended shall not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did not constitute a breach, Default or Event of Default at the time the relevant event or occurrence took place) constitute (or result in) a breach of any term of this Agreement or any other Finance Documents, a Default or an Event of Default.</w:t>
      </w:r>
    </w:p>
    <w:p>
      <w:pPr>
        <w:spacing w:after="0" w:line="332" w:lineRule="exact"/>
        <w:rPr>
          <w:rFonts w:ascii="Arial" w:cs="Arial" w:eastAsia="Arial" w:hAnsi="Arial"/>
          <w:sz w:val="18"/>
          <w:szCs w:val="18"/>
          <w:color w:val="auto"/>
        </w:rPr>
      </w:pPr>
    </w:p>
    <w:p>
      <w:pPr>
        <w:ind w:left="764" w:hanging="764"/>
        <w:spacing w:after="0"/>
        <w:tabs>
          <w:tab w:leader="none" w:pos="764" w:val="left"/>
        </w:tabs>
        <w:numPr>
          <w:ilvl w:val="0"/>
          <w:numId w:val="1016"/>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121" w:lineRule="exact"/>
        <w:rPr>
          <w:rFonts w:ascii="Arial" w:cs="Arial" w:eastAsia="Arial" w:hAnsi="Arial"/>
          <w:sz w:val="18"/>
          <w:szCs w:val="18"/>
          <w:b w:val="1"/>
          <w:bCs w:val="1"/>
          <w:color w:val="auto"/>
        </w:rPr>
      </w:pPr>
    </w:p>
    <w:p>
      <w:pPr>
        <w:ind w:left="764" w:right="8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of the events or circumstances set out in this Clause 24 (save for Clause 24.18 (</w:t>
      </w:r>
      <w:r>
        <w:rPr>
          <w:rFonts w:ascii="Arial" w:cs="Arial" w:eastAsia="Arial" w:hAnsi="Arial"/>
          <w:sz w:val="18"/>
          <w:szCs w:val="18"/>
          <w:i w:val="1"/>
          <w:iCs w:val="1"/>
          <w:color w:val="auto"/>
        </w:rPr>
        <w:t>US bankruptcy of Obligors</w:t>
      </w:r>
      <w:r>
        <w:rPr>
          <w:rFonts w:ascii="Arial" w:cs="Arial" w:eastAsia="Arial" w:hAnsi="Arial"/>
          <w:sz w:val="18"/>
          <w:szCs w:val="18"/>
          <w:color w:val="auto"/>
        </w:rPr>
        <w:t>) and Clause 24.19 (</w:t>
      </w:r>
      <w:r>
        <w:rPr>
          <w:rFonts w:ascii="Arial" w:cs="Arial" w:eastAsia="Arial" w:hAnsi="Arial"/>
          <w:sz w:val="18"/>
          <w:szCs w:val="18"/>
          <w:i w:val="1"/>
          <w:iCs w:val="1"/>
          <w:color w:val="auto"/>
        </w:rPr>
        <w:t>Acceleration</w:t>
      </w:r>
      <w:r>
        <w:rPr>
          <w:rFonts w:ascii="Arial" w:cs="Arial" w:eastAsia="Arial" w:hAnsi="Arial"/>
          <w:sz w:val="18"/>
          <w:szCs w:val="18"/>
          <w:color w:val="auto"/>
        </w:rPr>
        <w:t>)) is an Event of Default.</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b w:val="1"/>
          <w:bCs w:val="1"/>
          <w:color w:val="auto"/>
        </w:rPr>
        <w:t>Non-payment</w:t>
      </w:r>
    </w:p>
    <w:p>
      <w:pPr>
        <w:spacing w:after="0" w:line="121" w:lineRule="exact"/>
        <w:rPr>
          <w:sz w:val="20"/>
          <w:szCs w:val="20"/>
          <w:color w:val="auto"/>
        </w:rPr>
      </w:pPr>
    </w:p>
    <w:p>
      <w:pPr>
        <w:ind w:left="764" w:right="140"/>
        <w:spacing w:after="0" w:line="263" w:lineRule="auto"/>
        <w:rPr>
          <w:sz w:val="20"/>
          <w:szCs w:val="20"/>
          <w:color w:val="auto"/>
        </w:rPr>
      </w:pPr>
      <w:r>
        <w:rPr>
          <w:rFonts w:ascii="Arial" w:cs="Arial" w:eastAsia="Arial" w:hAnsi="Arial"/>
          <w:sz w:val="18"/>
          <w:szCs w:val="18"/>
          <w:color w:val="auto"/>
        </w:rPr>
        <w:t>An Obligor does not pay on the due date any amount payable pursuant to a Finance Document to which it is a party at the place at and in the currency in which it is expressed to be payable unless its failure to pay is caused by administrative or technical error or a Disruption Event and payment is made within three (3) Business Days of its due date.</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Breach of other undertakings</w:t>
      </w:r>
    </w:p>
    <w:p>
      <w:pPr>
        <w:spacing w:after="0" w:line="135" w:lineRule="exact"/>
        <w:rPr>
          <w:sz w:val="20"/>
          <w:szCs w:val="20"/>
          <w:color w:val="auto"/>
        </w:rPr>
      </w:pPr>
    </w:p>
    <w:p>
      <w:pPr>
        <w:ind w:left="1304" w:right="400" w:hanging="535"/>
        <w:spacing w:after="0" w:line="277" w:lineRule="auto"/>
        <w:tabs>
          <w:tab w:leader="none" w:pos="1304" w:val="left"/>
        </w:tabs>
        <w:numPr>
          <w:ilvl w:val="0"/>
          <w:numId w:val="1017"/>
        </w:numPr>
        <w:rPr>
          <w:rFonts w:ascii="Arial" w:cs="Arial" w:eastAsia="Arial" w:hAnsi="Arial"/>
          <w:sz w:val="18"/>
          <w:szCs w:val="18"/>
          <w:color w:val="auto"/>
        </w:rPr>
      </w:pPr>
      <w:r>
        <w:rPr>
          <w:rFonts w:ascii="Arial" w:cs="Arial" w:eastAsia="Arial" w:hAnsi="Arial"/>
          <w:sz w:val="18"/>
          <w:szCs w:val="18"/>
          <w:color w:val="auto"/>
        </w:rPr>
        <w:t>An Obligor or Grantor does not comply with any provision of the Finance Documents (other than those referred to in Clause 24.1 (</w:t>
      </w:r>
      <w:r>
        <w:rPr>
          <w:rFonts w:ascii="Arial" w:cs="Arial" w:eastAsia="Arial" w:hAnsi="Arial"/>
          <w:sz w:val="18"/>
          <w:szCs w:val="18"/>
          <w:i w:val="1"/>
          <w:iCs w:val="1"/>
          <w:color w:val="auto"/>
        </w:rPr>
        <w:t>Non-payment</w:t>
      </w:r>
      <w:r>
        <w:rPr>
          <w:rFonts w:ascii="Arial" w:cs="Arial" w:eastAsia="Arial" w:hAnsi="Arial"/>
          <w:sz w:val="18"/>
          <w:szCs w:val="18"/>
          <w:color w:val="auto"/>
        </w:rPr>
        <w:t>) above).</w:t>
      </w:r>
    </w:p>
    <w:p>
      <w:pPr>
        <w:spacing w:after="0" w:line="75" w:lineRule="exact"/>
        <w:rPr>
          <w:rFonts w:ascii="Arial" w:cs="Arial" w:eastAsia="Arial" w:hAnsi="Arial"/>
          <w:sz w:val="18"/>
          <w:szCs w:val="18"/>
          <w:color w:val="auto"/>
        </w:rPr>
      </w:pPr>
    </w:p>
    <w:p>
      <w:pPr>
        <w:ind w:left="1304" w:right="20" w:hanging="535"/>
        <w:spacing w:after="0" w:line="263" w:lineRule="auto"/>
        <w:tabs>
          <w:tab w:leader="none" w:pos="1304" w:val="left"/>
        </w:tabs>
        <w:numPr>
          <w:ilvl w:val="0"/>
          <w:numId w:val="1017"/>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failure to comply is capable of remedy and is remedied within 30 days of the Agent giving notice to the Borrower or relevant Obligor or Grantor or the Borrower, an Obligor or Grantor becoming aware of the failure to comply.</w:t>
      </w:r>
    </w:p>
    <w:p>
      <w:pPr>
        <w:spacing w:after="0" w:line="116"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697" w:name="page698"/>
    <w:bookmarkEnd w:id="697"/>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24.3</w:t>
      </w:r>
      <w:r>
        <w:rPr>
          <w:sz w:val="20"/>
          <w:szCs w:val="20"/>
          <w:color w:val="auto"/>
        </w:rPr>
        <w:tab/>
      </w:r>
      <w:r>
        <w:rPr>
          <w:rFonts w:ascii="Arial" w:cs="Arial" w:eastAsia="Arial" w:hAnsi="Arial"/>
          <w:sz w:val="16"/>
          <w:szCs w:val="16"/>
          <w:b w:val="1"/>
          <w:bCs w:val="1"/>
          <w:color w:val="auto"/>
        </w:rPr>
        <w:t>Misrepresentation</w:t>
      </w:r>
    </w:p>
    <w:p>
      <w:pPr>
        <w:spacing w:after="0" w:line="135" w:lineRule="exact"/>
        <w:rPr>
          <w:sz w:val="20"/>
          <w:szCs w:val="20"/>
          <w:color w:val="auto"/>
        </w:rPr>
      </w:pPr>
    </w:p>
    <w:p>
      <w:pPr>
        <w:ind w:left="1300" w:right="60" w:hanging="535"/>
        <w:spacing w:after="0" w:line="263" w:lineRule="auto"/>
        <w:tabs>
          <w:tab w:leader="none" w:pos="1300" w:val="left"/>
        </w:tabs>
        <w:numPr>
          <w:ilvl w:val="0"/>
          <w:numId w:val="1018"/>
        </w:numPr>
        <w:rPr>
          <w:rFonts w:ascii="Arial" w:cs="Arial" w:eastAsia="Arial" w:hAnsi="Arial"/>
          <w:sz w:val="18"/>
          <w:szCs w:val="18"/>
          <w:color w:val="auto"/>
        </w:rPr>
      </w:pPr>
      <w:r>
        <w:rPr>
          <w:rFonts w:ascii="Arial" w:cs="Arial" w:eastAsia="Arial" w:hAnsi="Arial"/>
          <w:sz w:val="18"/>
          <w:szCs w:val="18"/>
          <w:color w:val="auto"/>
        </w:rPr>
        <w:t>Any representation or statement made or deemed to be made by an Obligor or Grantor in the Finance Documents to which it is a party or any other document delivered by or on behalf of any Obligor or Grantor under or in connection with any Finance Document is or proves to have been incorrect or misleading when made or deemed to be made.</w:t>
      </w:r>
    </w:p>
    <w:p>
      <w:pPr>
        <w:spacing w:after="0" w:line="89" w:lineRule="exact"/>
        <w:rPr>
          <w:rFonts w:ascii="Arial" w:cs="Arial" w:eastAsia="Arial" w:hAnsi="Arial"/>
          <w:sz w:val="18"/>
          <w:szCs w:val="18"/>
          <w:color w:val="auto"/>
        </w:rPr>
      </w:pPr>
    </w:p>
    <w:p>
      <w:pPr>
        <w:jc w:val="both"/>
        <w:ind w:left="1300" w:right="340" w:hanging="535"/>
        <w:spacing w:after="0" w:line="263" w:lineRule="auto"/>
        <w:tabs>
          <w:tab w:leader="none" w:pos="1300" w:val="left"/>
        </w:tabs>
        <w:numPr>
          <w:ilvl w:val="0"/>
          <w:numId w:val="1018"/>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misrepresentation is capable of remedy and is remedied within 30 days of the Agent giving notice to the Borrower or relevant Obligor or Grantor or the Borrower, and Obligor or Grantor becoming aware of the misrepresentation.</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5"/>
          <w:szCs w:val="15"/>
          <w:b w:val="1"/>
          <w:bCs w:val="1"/>
          <w:color w:val="auto"/>
        </w:rPr>
        <w:t>Cross default</w:t>
      </w:r>
    </w:p>
    <w:p>
      <w:pPr>
        <w:spacing w:after="0" w:line="135" w:lineRule="exact"/>
        <w:rPr>
          <w:sz w:val="20"/>
          <w:szCs w:val="20"/>
          <w:color w:val="auto"/>
        </w:rPr>
      </w:pPr>
    </w:p>
    <w:p>
      <w:pPr>
        <w:ind w:left="1300" w:right="540" w:hanging="535"/>
        <w:spacing w:after="0" w:line="277" w:lineRule="auto"/>
        <w:tabs>
          <w:tab w:leader="none" w:pos="1300" w:val="left"/>
        </w:tabs>
        <w:numPr>
          <w:ilvl w:val="0"/>
          <w:numId w:val="1019"/>
        </w:numPr>
        <w:rPr>
          <w:rFonts w:ascii="Arial" w:cs="Arial" w:eastAsia="Arial" w:hAnsi="Arial"/>
          <w:sz w:val="18"/>
          <w:szCs w:val="18"/>
          <w:color w:val="auto"/>
        </w:rPr>
      </w:pPr>
      <w:r>
        <w:rPr>
          <w:rFonts w:ascii="Arial" w:cs="Arial" w:eastAsia="Arial" w:hAnsi="Arial"/>
          <w:sz w:val="18"/>
          <w:szCs w:val="18"/>
          <w:color w:val="auto"/>
        </w:rPr>
        <w:t>Any Financial Indebtedness of any Obligor or other member of the Group is not paid when due nor within any applicable grace period.</w:t>
      </w:r>
    </w:p>
    <w:p>
      <w:pPr>
        <w:spacing w:after="0" w:line="75" w:lineRule="exact"/>
        <w:rPr>
          <w:rFonts w:ascii="Arial" w:cs="Arial" w:eastAsia="Arial" w:hAnsi="Arial"/>
          <w:sz w:val="18"/>
          <w:szCs w:val="18"/>
          <w:color w:val="auto"/>
        </w:rPr>
      </w:pPr>
    </w:p>
    <w:p>
      <w:pPr>
        <w:ind w:left="1300" w:right="340" w:hanging="535"/>
        <w:spacing w:after="0" w:line="277" w:lineRule="auto"/>
        <w:tabs>
          <w:tab w:leader="none" w:pos="1300" w:val="left"/>
        </w:tabs>
        <w:numPr>
          <w:ilvl w:val="0"/>
          <w:numId w:val="1019"/>
        </w:numPr>
        <w:rPr>
          <w:rFonts w:ascii="Arial" w:cs="Arial" w:eastAsia="Arial" w:hAnsi="Arial"/>
          <w:sz w:val="18"/>
          <w:szCs w:val="18"/>
          <w:color w:val="auto"/>
        </w:rPr>
      </w:pPr>
      <w:r>
        <w:rPr>
          <w:rFonts w:ascii="Arial" w:cs="Arial" w:eastAsia="Arial" w:hAnsi="Arial"/>
          <w:sz w:val="18"/>
          <w:szCs w:val="18"/>
          <w:color w:val="auto"/>
        </w:rPr>
        <w:t>Any Financial Indebtedness of any Obligor or other member of the Group is declared to be or otherwise becomes due and payable prior to its specified maturity as a result of an event of default (however described).</w:t>
      </w:r>
    </w:p>
    <w:p>
      <w:pPr>
        <w:spacing w:after="0" w:line="75" w:lineRule="exact"/>
        <w:rPr>
          <w:rFonts w:ascii="Arial" w:cs="Arial" w:eastAsia="Arial" w:hAnsi="Arial"/>
          <w:sz w:val="18"/>
          <w:szCs w:val="18"/>
          <w:color w:val="auto"/>
        </w:rPr>
      </w:pPr>
    </w:p>
    <w:p>
      <w:pPr>
        <w:ind w:left="1300" w:right="40" w:hanging="535"/>
        <w:spacing w:after="0" w:line="277" w:lineRule="auto"/>
        <w:tabs>
          <w:tab w:leader="none" w:pos="1300" w:val="left"/>
        </w:tabs>
        <w:numPr>
          <w:ilvl w:val="0"/>
          <w:numId w:val="1019"/>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Obligor or other member of the Group is cancelled or suspended by a creditor of any Obligor or other member of the Group as a result of an event of default (however described).</w:t>
      </w:r>
    </w:p>
    <w:p>
      <w:pPr>
        <w:spacing w:after="0" w:line="75" w:lineRule="exact"/>
        <w:rPr>
          <w:rFonts w:ascii="Arial" w:cs="Arial" w:eastAsia="Arial" w:hAnsi="Arial"/>
          <w:sz w:val="18"/>
          <w:szCs w:val="18"/>
          <w:color w:val="auto"/>
        </w:rPr>
      </w:pPr>
    </w:p>
    <w:p>
      <w:pPr>
        <w:jc w:val="both"/>
        <w:ind w:left="1300" w:right="140" w:hanging="535"/>
        <w:spacing w:after="0" w:line="263" w:lineRule="auto"/>
        <w:tabs>
          <w:tab w:leader="none" w:pos="1300" w:val="left"/>
        </w:tabs>
        <w:numPr>
          <w:ilvl w:val="0"/>
          <w:numId w:val="1019"/>
        </w:numPr>
        <w:rPr>
          <w:rFonts w:ascii="Arial" w:cs="Arial" w:eastAsia="Arial" w:hAnsi="Arial"/>
          <w:sz w:val="18"/>
          <w:szCs w:val="18"/>
          <w:color w:val="auto"/>
        </w:rPr>
      </w:pPr>
      <w:r>
        <w:rPr>
          <w:rFonts w:ascii="Arial" w:cs="Arial" w:eastAsia="Arial" w:hAnsi="Arial"/>
          <w:sz w:val="18"/>
          <w:szCs w:val="18"/>
          <w:color w:val="auto"/>
        </w:rPr>
        <w:t>Any creditor of any Obligor or other member of the Group becomes entitled to declare any Financial Indebtedness (other than Intra-Group Liabilities) of any Obligor or other member of the Group due and payable prior to its specified maturity as a result of an event of default (however described).</w:t>
      </w:r>
    </w:p>
    <w:p>
      <w:pPr>
        <w:spacing w:after="0" w:line="89" w:lineRule="exact"/>
        <w:rPr>
          <w:rFonts w:ascii="Arial" w:cs="Arial" w:eastAsia="Arial" w:hAnsi="Arial"/>
          <w:sz w:val="18"/>
          <w:szCs w:val="18"/>
          <w:color w:val="auto"/>
        </w:rPr>
      </w:pPr>
    </w:p>
    <w:p>
      <w:pPr>
        <w:ind w:left="1300" w:right="720" w:hanging="535"/>
        <w:spacing w:after="0" w:line="342" w:lineRule="auto"/>
        <w:tabs>
          <w:tab w:leader="none" w:pos="1300" w:val="left"/>
        </w:tabs>
        <w:numPr>
          <w:ilvl w:val="0"/>
          <w:numId w:val="1019"/>
        </w:numPr>
        <w:rPr>
          <w:rFonts w:ascii="Arial" w:cs="Arial" w:eastAsia="Arial" w:hAnsi="Arial"/>
          <w:sz w:val="16"/>
          <w:szCs w:val="16"/>
          <w:color w:val="auto"/>
        </w:rPr>
      </w:pPr>
      <w:r>
        <w:rPr>
          <w:rFonts w:ascii="Arial" w:cs="Arial" w:eastAsia="Arial" w:hAnsi="Arial"/>
          <w:sz w:val="16"/>
          <w:szCs w:val="16"/>
          <w:color w:val="auto"/>
        </w:rPr>
        <w:t>No Event of Default will occur under this Clause 24.4 if the aggregate amount of Financial Indebtedness or commitments for Financial Indebtedness falling within paragraphs (a) to (d) above is less than US$15,000,000 (or its equivalent).</w:t>
      </w:r>
    </w:p>
    <w:p>
      <w:pPr>
        <w:spacing w:after="0" w:line="2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5"/>
          <w:szCs w:val="15"/>
          <w:b w:val="1"/>
          <w:bCs w:val="1"/>
          <w:color w:val="auto"/>
        </w:rPr>
        <w:t>Insolvency</w:t>
      </w:r>
    </w:p>
    <w:p>
      <w:pPr>
        <w:spacing w:after="0" w:line="135" w:lineRule="exact"/>
        <w:rPr>
          <w:sz w:val="20"/>
          <w:szCs w:val="20"/>
          <w:color w:val="auto"/>
        </w:rPr>
      </w:pPr>
    </w:p>
    <w:p>
      <w:pPr>
        <w:ind w:left="1300" w:right="300" w:hanging="535"/>
        <w:spacing w:after="0" w:line="257" w:lineRule="auto"/>
        <w:tabs>
          <w:tab w:leader="none" w:pos="1300" w:val="left"/>
        </w:tabs>
        <w:numPr>
          <w:ilvl w:val="0"/>
          <w:numId w:val="1020"/>
        </w:numPr>
        <w:rPr>
          <w:rFonts w:ascii="Arial" w:cs="Arial" w:eastAsia="Arial" w:hAnsi="Arial"/>
          <w:sz w:val="18"/>
          <w:szCs w:val="18"/>
          <w:color w:val="auto"/>
        </w:rPr>
      </w:pPr>
      <w:r>
        <w:rPr>
          <w:rFonts w:ascii="Arial" w:cs="Arial" w:eastAsia="Arial" w:hAnsi="Arial"/>
          <w:sz w:val="18"/>
          <w:szCs w:val="18"/>
          <w:color w:val="auto"/>
        </w:rPr>
        <w:t>A Grantor, an Obligor or other member of the Group is unable or admits inability to pay its debts as they fall due or is deemed or declared to be unable to pay its debts under applicable law or, by reason of actual or anticipated financial difficulties, suspends or threatens to suspend making payments on any of its debts or commences negotiations with one or more of its creditors generally (other than the Secured Parties (as defined in the Intercreditor Agreement) in such capacites) with a view to rescheduling any of its indebtedness.</w:t>
      </w:r>
    </w:p>
    <w:p>
      <w:pPr>
        <w:spacing w:after="0" w:line="93" w:lineRule="exact"/>
        <w:rPr>
          <w:rFonts w:ascii="Arial" w:cs="Arial" w:eastAsia="Arial" w:hAnsi="Arial"/>
          <w:sz w:val="18"/>
          <w:szCs w:val="18"/>
          <w:color w:val="auto"/>
        </w:rPr>
      </w:pPr>
    </w:p>
    <w:p>
      <w:pPr>
        <w:ind w:left="1300" w:hanging="535"/>
        <w:spacing w:after="0"/>
        <w:tabs>
          <w:tab w:leader="none" w:pos="1300" w:val="left"/>
        </w:tabs>
        <w:numPr>
          <w:ilvl w:val="0"/>
          <w:numId w:val="1020"/>
        </w:numPr>
        <w:rPr>
          <w:rFonts w:ascii="Arial" w:cs="Arial" w:eastAsia="Arial" w:hAnsi="Arial"/>
          <w:sz w:val="17"/>
          <w:szCs w:val="17"/>
          <w:color w:val="auto"/>
        </w:rPr>
      </w:pPr>
      <w:r>
        <w:rPr>
          <w:rFonts w:ascii="Arial" w:cs="Arial" w:eastAsia="Arial" w:hAnsi="Arial"/>
          <w:sz w:val="17"/>
          <w:szCs w:val="17"/>
          <w:color w:val="auto"/>
        </w:rPr>
        <w:t>The value of the assets of the Group (on a consolidated basis) is less than the liabilities of the Group (on a consolidated basis).</w:t>
      </w:r>
    </w:p>
    <w:p>
      <w:pPr>
        <w:spacing w:after="0" w:line="142" w:lineRule="exact"/>
        <w:rPr>
          <w:rFonts w:ascii="Arial" w:cs="Arial" w:eastAsia="Arial" w:hAnsi="Arial"/>
          <w:sz w:val="17"/>
          <w:szCs w:val="17"/>
          <w:color w:val="auto"/>
        </w:rPr>
      </w:pPr>
    </w:p>
    <w:p>
      <w:pPr>
        <w:ind w:left="1300" w:right="480" w:hanging="535"/>
        <w:spacing w:after="0" w:line="277" w:lineRule="auto"/>
        <w:tabs>
          <w:tab w:leader="none" w:pos="1300" w:val="left"/>
        </w:tabs>
        <w:numPr>
          <w:ilvl w:val="0"/>
          <w:numId w:val="1020"/>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Grantor, Obligor or other member of the Group. If a moratorium occurs, the ending of the moratorium will not remedy any Event of Default caused by that moratorium.</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5"/>
          <w:szCs w:val="15"/>
          <w:b w:val="1"/>
          <w:bCs w:val="1"/>
          <w:color w:val="auto"/>
        </w:rPr>
        <w:t>Insolvency proceedings</w:t>
      </w:r>
    </w:p>
    <w:p>
      <w:pPr>
        <w:spacing w:after="0" w:line="135" w:lineRule="exact"/>
        <w:rPr>
          <w:sz w:val="20"/>
          <w:szCs w:val="20"/>
          <w:color w:val="auto"/>
        </w:rPr>
      </w:pPr>
    </w:p>
    <w:p>
      <w:pPr>
        <w:ind w:left="1300" w:hanging="535"/>
        <w:spacing w:after="0"/>
        <w:tabs>
          <w:tab w:leader="none" w:pos="1300" w:val="left"/>
        </w:tabs>
        <w:numPr>
          <w:ilvl w:val="0"/>
          <w:numId w:val="1021"/>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formal step is taken in relation to:</w:t>
      </w:r>
    </w:p>
    <w:p>
      <w:pPr>
        <w:spacing w:after="0" w:line="130" w:lineRule="exact"/>
        <w:rPr>
          <w:rFonts w:ascii="Arial" w:cs="Arial" w:eastAsia="Arial" w:hAnsi="Arial"/>
          <w:sz w:val="18"/>
          <w:szCs w:val="18"/>
          <w:color w:val="auto"/>
        </w:rPr>
      </w:pPr>
    </w:p>
    <w:p>
      <w:pPr>
        <w:jc w:val="both"/>
        <w:ind w:left="1960" w:right="60" w:hanging="655"/>
        <w:spacing w:after="0" w:line="342" w:lineRule="auto"/>
        <w:tabs>
          <w:tab w:leader="none" w:pos="1960" w:val="left"/>
        </w:tabs>
        <w:numPr>
          <w:ilvl w:val="1"/>
          <w:numId w:val="1021"/>
        </w:numPr>
        <w:rPr>
          <w:rFonts w:ascii="Arial" w:cs="Arial" w:eastAsia="Arial" w:hAnsi="Arial"/>
          <w:sz w:val="16"/>
          <w:szCs w:val="16"/>
          <w:color w:val="auto"/>
        </w:rPr>
      </w:pPr>
      <w:r>
        <w:rPr>
          <w:rFonts w:ascii="Arial" w:cs="Arial" w:eastAsia="Arial" w:hAnsi="Arial"/>
          <w:sz w:val="16"/>
          <w:szCs w:val="16"/>
          <w:color w:val="auto"/>
        </w:rPr>
        <w:t>the suspension of payments, a moratorium of any indebtedness, winding-up, dissolution, administration or reorganisation (by way of voluntary arrangement, scheme of arrangement or otherwise) of any Grantor, Obligor or other member of the Group;</w:t>
      </w:r>
    </w:p>
    <w:p>
      <w:pPr>
        <w:spacing w:after="0" w:line="56"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698" w:name="page699"/>
    <w:bookmarkEnd w:id="698"/>
    <w:p>
      <w:pPr>
        <w:ind w:left="1960" w:right="300" w:hanging="655"/>
        <w:spacing w:after="0" w:line="277" w:lineRule="auto"/>
        <w:tabs>
          <w:tab w:leader="none" w:pos="1960" w:val="left"/>
        </w:tabs>
        <w:numPr>
          <w:ilvl w:val="0"/>
          <w:numId w:val="10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composition, compromise, assignment or arrangement with any creditor of any Grantor, Obligor or other member of the Group;</w:t>
      </w:r>
    </w:p>
    <w:p>
      <w:pPr>
        <w:spacing w:after="0" w:line="75" w:lineRule="exact"/>
        <w:rPr>
          <w:rFonts w:ascii="Arial" w:cs="Arial" w:eastAsia="Arial" w:hAnsi="Arial"/>
          <w:sz w:val="18"/>
          <w:szCs w:val="18"/>
          <w:color w:val="auto"/>
        </w:rPr>
      </w:pPr>
    </w:p>
    <w:p>
      <w:pPr>
        <w:ind w:left="1960" w:hanging="655"/>
        <w:spacing w:after="0" w:line="311" w:lineRule="auto"/>
        <w:tabs>
          <w:tab w:leader="none" w:pos="1960" w:val="left"/>
        </w:tabs>
        <w:numPr>
          <w:ilvl w:val="0"/>
          <w:numId w:val="1022"/>
        </w:numPr>
        <w:rPr>
          <w:rFonts w:ascii="Arial" w:cs="Arial" w:eastAsia="Arial" w:hAnsi="Arial"/>
          <w:sz w:val="16"/>
          <w:szCs w:val="16"/>
          <w:color w:val="auto"/>
        </w:rPr>
      </w:pPr>
      <w:r>
        <w:rPr>
          <w:rFonts w:ascii="Arial" w:cs="Arial" w:eastAsia="Arial" w:hAnsi="Arial"/>
          <w:sz w:val="16"/>
          <w:szCs w:val="16"/>
          <w:color w:val="auto"/>
        </w:rPr>
        <w:t>the appointment of a liquidator, receiver, administrative receiver, administrator, compulsory manager or other similar officer in respect of any Grantor, Obligor or other member of the Group or any of its assets (other than assets that are in any way part of a Joint Venture and which do not form part of, and are not otherwise necessary for the operation of, the Property); or</w:t>
      </w:r>
    </w:p>
    <w:p>
      <w:pPr>
        <w:spacing w:after="0" w:line="54" w:lineRule="exact"/>
        <w:rPr>
          <w:rFonts w:ascii="Arial" w:cs="Arial" w:eastAsia="Arial" w:hAnsi="Arial"/>
          <w:sz w:val="16"/>
          <w:szCs w:val="16"/>
          <w:color w:val="auto"/>
        </w:rPr>
      </w:pPr>
    </w:p>
    <w:p>
      <w:pPr>
        <w:ind w:left="1960" w:right="160" w:hanging="655"/>
        <w:spacing w:after="0" w:line="263" w:lineRule="auto"/>
        <w:tabs>
          <w:tab w:leader="none" w:pos="1960" w:val="left"/>
        </w:tabs>
        <w:numPr>
          <w:ilvl w:val="0"/>
          <w:numId w:val="1022"/>
        </w:numPr>
        <w:rPr>
          <w:rFonts w:ascii="Arial" w:cs="Arial" w:eastAsia="Arial" w:hAnsi="Arial"/>
          <w:sz w:val="18"/>
          <w:szCs w:val="18"/>
          <w:color w:val="auto"/>
        </w:rPr>
      </w:pPr>
      <w:r>
        <w:rPr>
          <w:rFonts w:ascii="Arial" w:cs="Arial" w:eastAsia="Arial" w:hAnsi="Arial"/>
          <w:sz w:val="18"/>
          <w:szCs w:val="18"/>
          <w:color w:val="auto"/>
        </w:rPr>
        <w:t>enforcement of any Security over any assets (other than assets that are in any way part of a Joint Venture and which do not form part of, and are not otherwise necessary for the operation of, the Property) of any Grantor, Obligor or other member of the Group,</w:t>
      </w:r>
    </w:p>
    <w:p>
      <w:pPr>
        <w:spacing w:after="0" w:line="7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131" w:lineRule="exact"/>
        <w:rPr>
          <w:sz w:val="20"/>
          <w:szCs w:val="20"/>
          <w:color w:val="auto"/>
        </w:rPr>
      </w:pPr>
    </w:p>
    <w:p>
      <w:pPr>
        <w:ind w:left="1300" w:hanging="535"/>
        <w:spacing w:after="0"/>
        <w:tabs>
          <w:tab w:leader="none" w:pos="1300" w:val="left"/>
        </w:tabs>
        <w:numPr>
          <w:ilvl w:val="0"/>
          <w:numId w:val="1023"/>
        </w:numPr>
        <w:rPr>
          <w:rFonts w:ascii="Arial" w:cs="Arial" w:eastAsia="Arial" w:hAnsi="Arial"/>
          <w:sz w:val="18"/>
          <w:szCs w:val="18"/>
          <w:color w:val="auto"/>
        </w:rPr>
      </w:pPr>
      <w:r>
        <w:rPr>
          <w:rFonts w:ascii="Arial" w:cs="Arial" w:eastAsia="Arial" w:hAnsi="Arial"/>
          <w:sz w:val="18"/>
          <w:szCs w:val="18"/>
          <w:color w:val="auto"/>
        </w:rPr>
        <w:t>Paragraph (a) and Clause 24.18 (</w:t>
      </w:r>
      <w:r>
        <w:rPr>
          <w:rFonts w:ascii="Arial" w:cs="Arial" w:eastAsia="Arial" w:hAnsi="Arial"/>
          <w:sz w:val="18"/>
          <w:szCs w:val="18"/>
          <w:i w:val="1"/>
          <w:iCs w:val="1"/>
          <w:color w:val="auto"/>
        </w:rPr>
        <w:t>US bankruptcy of Obligors</w:t>
      </w:r>
      <w:r>
        <w:rPr>
          <w:rFonts w:ascii="Arial" w:cs="Arial" w:eastAsia="Arial" w:hAnsi="Arial"/>
          <w:sz w:val="18"/>
          <w:szCs w:val="18"/>
          <w:color w:val="auto"/>
        </w:rPr>
        <w:t>) below shall not apply to:</w:t>
      </w:r>
    </w:p>
    <w:p>
      <w:pPr>
        <w:spacing w:after="0" w:line="130" w:lineRule="exact"/>
        <w:rPr>
          <w:rFonts w:ascii="Arial" w:cs="Arial" w:eastAsia="Arial" w:hAnsi="Arial"/>
          <w:sz w:val="18"/>
          <w:szCs w:val="18"/>
          <w:color w:val="auto"/>
        </w:rPr>
      </w:pPr>
    </w:p>
    <w:p>
      <w:pPr>
        <w:ind w:left="1960" w:right="980" w:hanging="655"/>
        <w:spacing w:after="0" w:line="277" w:lineRule="auto"/>
        <w:tabs>
          <w:tab w:leader="none" w:pos="1960" w:val="left"/>
        </w:tabs>
        <w:numPr>
          <w:ilvl w:val="1"/>
          <w:numId w:val="1023"/>
        </w:numPr>
        <w:rPr>
          <w:rFonts w:ascii="Arial" w:cs="Arial" w:eastAsia="Arial" w:hAnsi="Arial"/>
          <w:sz w:val="18"/>
          <w:szCs w:val="18"/>
          <w:color w:val="auto"/>
        </w:rPr>
      </w:pPr>
      <w:r>
        <w:rPr>
          <w:rFonts w:ascii="Arial" w:cs="Arial" w:eastAsia="Arial" w:hAnsi="Arial"/>
          <w:sz w:val="18"/>
          <w:szCs w:val="18"/>
          <w:color w:val="auto"/>
        </w:rPr>
        <w:t>any winding-up petition which is frivolous or vexatious and is discharged, stayed or dismissed within 60 days of commencement or, if earlier, the date on which it is advertised; or</w:t>
      </w:r>
    </w:p>
    <w:p>
      <w:pPr>
        <w:spacing w:after="0" w:line="75" w:lineRule="exact"/>
        <w:rPr>
          <w:rFonts w:ascii="Arial" w:cs="Arial" w:eastAsia="Arial" w:hAnsi="Arial"/>
          <w:sz w:val="18"/>
          <w:szCs w:val="18"/>
          <w:color w:val="auto"/>
        </w:rPr>
      </w:pPr>
    </w:p>
    <w:p>
      <w:pPr>
        <w:ind w:left="1960" w:hanging="655"/>
        <w:spacing w:after="0" w:line="263" w:lineRule="auto"/>
        <w:tabs>
          <w:tab w:leader="none" w:pos="1960" w:val="left"/>
        </w:tabs>
        <w:numPr>
          <w:ilvl w:val="1"/>
          <w:numId w:val="1023"/>
        </w:numPr>
        <w:rPr>
          <w:rFonts w:ascii="Arial" w:cs="Arial" w:eastAsia="Arial" w:hAnsi="Arial"/>
          <w:sz w:val="18"/>
          <w:szCs w:val="18"/>
          <w:color w:val="auto"/>
        </w:rPr>
      </w:pPr>
      <w:r>
        <w:rPr>
          <w:rFonts w:ascii="Arial" w:cs="Arial" w:eastAsia="Arial" w:hAnsi="Arial"/>
          <w:sz w:val="18"/>
          <w:szCs w:val="18"/>
          <w:color w:val="auto"/>
        </w:rPr>
        <w:t>any voluntary action, proceedings, step or procedure which relates to or constitutes any action, proceedings, step or procedure taken in connection with a transaction regulated but not prohibited by Section 13 (</w:t>
      </w:r>
      <w:r>
        <w:rPr>
          <w:rFonts w:ascii="Arial" w:cs="Arial" w:eastAsia="Arial" w:hAnsi="Arial"/>
          <w:sz w:val="18"/>
          <w:szCs w:val="18"/>
          <w:i w:val="1"/>
          <w:iCs w:val="1"/>
          <w:color w:val="auto"/>
        </w:rPr>
        <w:t>Merger, Consolidation, or Sale of Assets</w:t>
      </w:r>
      <w:r>
        <w:rPr>
          <w:rFonts w:ascii="Arial" w:cs="Arial" w:eastAsia="Arial" w:hAnsi="Arial"/>
          <w:sz w:val="18"/>
          <w:szCs w:val="18"/>
          <w:color w:val="auto"/>
        </w:rPr>
        <w:t>) of Schedule 10 (</w:t>
      </w:r>
      <w:r>
        <w:rPr>
          <w:rFonts w:ascii="Arial" w:cs="Arial" w:eastAsia="Arial" w:hAnsi="Arial"/>
          <w:sz w:val="18"/>
          <w:szCs w:val="18"/>
          <w:i w:val="1"/>
          <w:iCs w:val="1"/>
          <w:color w:val="auto"/>
        </w:rPr>
        <w:t>Covenants</w:t>
      </w:r>
      <w:r>
        <w:rPr>
          <w:rFonts w:ascii="Arial" w:cs="Arial" w:eastAsia="Arial" w:hAnsi="Arial"/>
          <w:sz w:val="18"/>
          <w:szCs w:val="18"/>
          <w:color w:val="auto"/>
        </w:rPr>
        <w:t>) pursuant to Clause 23.1 (</w:t>
      </w:r>
      <w:r>
        <w:rPr>
          <w:rFonts w:ascii="Arial" w:cs="Arial" w:eastAsia="Arial" w:hAnsi="Arial"/>
          <w:sz w:val="18"/>
          <w:szCs w:val="18"/>
          <w:i w:val="1"/>
          <w:iCs w:val="1"/>
          <w:color w:val="auto"/>
        </w:rPr>
        <w:t>Notes covenants</w:t>
      </w:r>
      <w:r>
        <w:rPr>
          <w:rFonts w:ascii="Arial" w:cs="Arial" w:eastAsia="Arial" w:hAnsi="Arial"/>
          <w:sz w:val="18"/>
          <w:szCs w:val="18"/>
          <w:color w:val="auto"/>
        </w:rPr>
        <w:t>).</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6"/>
          <w:szCs w:val="16"/>
          <w:b w:val="1"/>
          <w:bCs w:val="1"/>
          <w:color w:val="auto"/>
        </w:rPr>
        <w:t>Creditors’ process</w:t>
      </w:r>
    </w:p>
    <w:p>
      <w:pPr>
        <w:spacing w:after="0" w:line="121" w:lineRule="exact"/>
        <w:rPr>
          <w:sz w:val="20"/>
          <w:szCs w:val="20"/>
          <w:color w:val="auto"/>
        </w:rPr>
      </w:pPr>
    </w:p>
    <w:p>
      <w:pPr>
        <w:ind w:left="760" w:right="20"/>
        <w:spacing w:after="0" w:line="257" w:lineRule="auto"/>
        <w:rPr>
          <w:sz w:val="20"/>
          <w:szCs w:val="20"/>
          <w:color w:val="auto"/>
        </w:rPr>
      </w:pPr>
      <w:r>
        <w:rPr>
          <w:rFonts w:ascii="Arial" w:cs="Arial" w:eastAsia="Arial" w:hAnsi="Arial"/>
          <w:sz w:val="18"/>
          <w:szCs w:val="18"/>
          <w:color w:val="auto"/>
        </w:rPr>
        <w:t>Any expropriation, attachment, sequestration, distress or execution or any analogous process in any jurisdiction affects any asset or assets of any Obligor or other member of the Group (other than assets that are in any way part of a Joint Venture and which do not form part of, and are not otherwise necessary for the operation of, the Property) having an aggregate value of at least US$15,000,000 (or its equivalent) and is not discharged within (in the case of any process in a jurisdiction other than Macau SAR) 30 days and (in the case of any process in Macau SAR) 60 days.</w:t>
      </w:r>
    </w:p>
    <w:p>
      <w:pPr>
        <w:spacing w:after="0" w:line="3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6"/>
          <w:szCs w:val="16"/>
          <w:b w:val="1"/>
          <w:bCs w:val="1"/>
          <w:color w:val="auto"/>
        </w:rPr>
        <w:t>Unlawfulness or invalidity of Finance Document</w:t>
      </w:r>
    </w:p>
    <w:p>
      <w:pPr>
        <w:spacing w:after="0" w:line="135" w:lineRule="exact"/>
        <w:rPr>
          <w:sz w:val="20"/>
          <w:szCs w:val="20"/>
          <w:color w:val="auto"/>
        </w:rPr>
      </w:pPr>
    </w:p>
    <w:p>
      <w:pPr>
        <w:jc w:val="both"/>
        <w:ind w:left="1300" w:right="20" w:hanging="535"/>
        <w:spacing w:after="0" w:line="286" w:lineRule="auto"/>
        <w:tabs>
          <w:tab w:leader="none" w:pos="1300" w:val="left"/>
        </w:tabs>
        <w:numPr>
          <w:ilvl w:val="0"/>
          <w:numId w:val="1024"/>
        </w:numPr>
        <w:rPr>
          <w:rFonts w:ascii="Arial" w:cs="Arial" w:eastAsia="Arial" w:hAnsi="Arial"/>
          <w:sz w:val="17"/>
          <w:szCs w:val="17"/>
          <w:color w:val="auto"/>
        </w:rPr>
      </w:pPr>
      <w:r>
        <w:rPr>
          <w:rFonts w:ascii="Arial" w:cs="Arial" w:eastAsia="Arial" w:hAnsi="Arial"/>
          <w:sz w:val="17"/>
          <w:szCs w:val="17"/>
          <w:color w:val="auto"/>
        </w:rPr>
        <w:t>It is or becomes unlawful for a Grantor, Obligor or any other member of the Group to perform any of its obligations under the Finance Documents or any Transaction Security created or expressed to be created or evidenced by the Transaction Security Documents ceases to be effective or any subordination created under the Intercreditor Agreement is or becomes unlawful.</w:t>
      </w:r>
    </w:p>
    <w:p>
      <w:pPr>
        <w:spacing w:after="0" w:line="70" w:lineRule="exact"/>
        <w:rPr>
          <w:rFonts w:ascii="Arial" w:cs="Arial" w:eastAsia="Arial" w:hAnsi="Arial"/>
          <w:sz w:val="17"/>
          <w:szCs w:val="17"/>
          <w:color w:val="auto"/>
        </w:rPr>
      </w:pPr>
    </w:p>
    <w:p>
      <w:pPr>
        <w:ind w:left="1300" w:right="100" w:hanging="535"/>
        <w:spacing w:after="0" w:line="277" w:lineRule="auto"/>
        <w:tabs>
          <w:tab w:leader="none" w:pos="1300" w:val="left"/>
        </w:tabs>
        <w:numPr>
          <w:ilvl w:val="0"/>
          <w:numId w:val="1024"/>
        </w:numPr>
        <w:rPr>
          <w:rFonts w:ascii="Arial" w:cs="Arial" w:eastAsia="Arial" w:hAnsi="Arial"/>
          <w:sz w:val="18"/>
          <w:szCs w:val="18"/>
          <w:color w:val="auto"/>
        </w:rPr>
      </w:pPr>
      <w:r>
        <w:rPr>
          <w:rFonts w:ascii="Arial" w:cs="Arial" w:eastAsia="Arial" w:hAnsi="Arial"/>
          <w:sz w:val="18"/>
          <w:szCs w:val="18"/>
          <w:color w:val="auto"/>
        </w:rPr>
        <w:t>Any obligation or obligations of any Grantor, Obligor or any other member of the Group under any of the Finance Documents are not (subject to the Legal Reservations) or cease to be legal, valid, binding or enforceable.</w:t>
      </w:r>
    </w:p>
    <w:p>
      <w:pPr>
        <w:spacing w:after="0" w:line="75" w:lineRule="exact"/>
        <w:rPr>
          <w:rFonts w:ascii="Arial" w:cs="Arial" w:eastAsia="Arial" w:hAnsi="Arial"/>
          <w:sz w:val="18"/>
          <w:szCs w:val="18"/>
          <w:color w:val="auto"/>
        </w:rPr>
      </w:pPr>
    </w:p>
    <w:p>
      <w:pPr>
        <w:ind w:left="1300" w:right="40" w:hanging="535"/>
        <w:spacing w:after="0" w:line="259" w:lineRule="auto"/>
        <w:tabs>
          <w:tab w:leader="none" w:pos="1300" w:val="left"/>
        </w:tabs>
        <w:numPr>
          <w:ilvl w:val="0"/>
          <w:numId w:val="1024"/>
        </w:numPr>
        <w:rPr>
          <w:rFonts w:ascii="Arial" w:cs="Arial" w:eastAsia="Arial" w:hAnsi="Arial"/>
          <w:sz w:val="18"/>
          <w:szCs w:val="18"/>
          <w:color w:val="auto"/>
        </w:rPr>
      </w:pPr>
      <w:r>
        <w:rPr>
          <w:rFonts w:ascii="Arial" w:cs="Arial" w:eastAsia="Arial" w:hAnsi="Arial"/>
          <w:sz w:val="18"/>
          <w:szCs w:val="18"/>
          <w:color w:val="auto"/>
        </w:rPr>
        <w:t>Any Finance Document ceases to be in full force and effect or any Transaction Security or any subordination created or expressed to be created under the Intercreditor Agreement (including the subordination of any Sponsor Group Loans and any Intra-Group Liabilities) is not or ceases to be legal, valid, binding, enforceable or effective or is alleged by a party to it (other than a Finance Party) to be ineffective.</w:t>
      </w:r>
    </w:p>
    <w:p>
      <w:pPr>
        <w:spacing w:after="0" w:line="119"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699" w:name="page700"/>
    <w:bookmarkEnd w:id="699"/>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24.9</w:t>
      </w:r>
      <w:r>
        <w:rPr>
          <w:sz w:val="20"/>
          <w:szCs w:val="20"/>
          <w:color w:val="auto"/>
        </w:rPr>
        <w:tab/>
      </w:r>
      <w:r>
        <w:rPr>
          <w:rFonts w:ascii="Arial" w:cs="Arial" w:eastAsia="Arial" w:hAnsi="Arial"/>
          <w:sz w:val="16"/>
          <w:szCs w:val="16"/>
          <w:b w:val="1"/>
          <w:bCs w:val="1"/>
          <w:color w:val="auto"/>
        </w:rPr>
        <w:t>[Reserved]</w:t>
      </w:r>
    </w:p>
    <w:p>
      <w:pPr>
        <w:spacing w:after="0" w:line="1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24.10</w:t>
      </w:r>
      <w:r>
        <w:rPr>
          <w:sz w:val="20"/>
          <w:szCs w:val="20"/>
          <w:color w:val="auto"/>
        </w:rPr>
        <w:tab/>
      </w:r>
      <w:r>
        <w:rPr>
          <w:rFonts w:ascii="Arial" w:cs="Arial" w:eastAsia="Arial" w:hAnsi="Arial"/>
          <w:sz w:val="16"/>
          <w:szCs w:val="16"/>
          <w:b w:val="1"/>
          <w:bCs w:val="1"/>
          <w:color w:val="auto"/>
        </w:rPr>
        <w:t>Permits</w:t>
      </w:r>
    </w:p>
    <w:p>
      <w:pPr>
        <w:spacing w:after="0" w:line="135" w:lineRule="exact"/>
        <w:rPr>
          <w:sz w:val="20"/>
          <w:szCs w:val="20"/>
          <w:color w:val="auto"/>
        </w:rPr>
      </w:pPr>
    </w:p>
    <w:p>
      <w:pPr>
        <w:ind w:left="1300" w:right="100" w:hanging="535"/>
        <w:spacing w:after="0" w:line="255" w:lineRule="auto"/>
        <w:tabs>
          <w:tab w:leader="none" w:pos="1300"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Any Obligor fails to observe, satisfy or perform, or there is a violation or breach of, any of the terms, provisions, agreements, covenants or conditions attaching to or under the issuance to such person of any Permit or any such Permit or any provision thereof is suspended, revoked, cancelled, terminated or materially and adversely modified or fails to be in full force and effect or any Governmental Authority challenges or seeks to revoke any such Permit if such failure to perform, violation, breach, suspension, revocation, cancellation, termination, modification, failure to be in full force and effect, challenge or seeking revocation would reasonably be expected to have a Material Adverse Effect.</w:t>
      </w:r>
    </w:p>
    <w:p>
      <w:pPr>
        <w:spacing w:after="0" w:line="97" w:lineRule="exact"/>
        <w:rPr>
          <w:rFonts w:ascii="Arial" w:cs="Arial" w:eastAsia="Arial" w:hAnsi="Arial"/>
          <w:sz w:val="18"/>
          <w:szCs w:val="18"/>
          <w:color w:val="auto"/>
        </w:rPr>
      </w:pPr>
    </w:p>
    <w:p>
      <w:pPr>
        <w:ind w:left="1300" w:right="180" w:hanging="535"/>
        <w:spacing w:after="0" w:line="277" w:lineRule="auto"/>
        <w:tabs>
          <w:tab w:leader="none" w:pos="1300"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For the avoidance of doubt, paragraph (a) above does not apply in relation to any Permit required solely in respect of a Joint Venture or which is otherwise not required for, and is not otherwise necessary for the operation of, the Property.</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24.11</w:t>
      </w:r>
      <w:r>
        <w:rPr>
          <w:sz w:val="20"/>
          <w:szCs w:val="20"/>
          <w:color w:val="auto"/>
        </w:rPr>
        <w:tab/>
      </w:r>
      <w:r>
        <w:rPr>
          <w:rFonts w:ascii="Arial" w:cs="Arial" w:eastAsia="Arial" w:hAnsi="Arial"/>
          <w:sz w:val="15"/>
          <w:szCs w:val="15"/>
          <w:b w:val="1"/>
          <w:bCs w:val="1"/>
          <w:color w:val="auto"/>
        </w:rPr>
        <w:t>Cessation of business</w:t>
      </w:r>
    </w:p>
    <w:p>
      <w:pPr>
        <w:spacing w:after="0" w:line="121" w:lineRule="exact"/>
        <w:rPr>
          <w:sz w:val="20"/>
          <w:szCs w:val="20"/>
          <w:color w:val="auto"/>
        </w:rPr>
      </w:pPr>
    </w:p>
    <w:p>
      <w:pPr>
        <w:ind w:left="760" w:right="140"/>
        <w:spacing w:after="0" w:line="277" w:lineRule="auto"/>
        <w:rPr>
          <w:sz w:val="20"/>
          <w:szCs w:val="20"/>
          <w:color w:val="auto"/>
        </w:rPr>
      </w:pPr>
      <w:r>
        <w:rPr>
          <w:rFonts w:ascii="Arial" w:cs="Arial" w:eastAsia="Arial" w:hAnsi="Arial"/>
          <w:sz w:val="18"/>
          <w:szCs w:val="18"/>
          <w:color w:val="auto"/>
        </w:rPr>
        <w:t>Any Obligor or other member of the Group suspends or ceases to carry on (or threatens to suspend or cease to carry on) all or a material part of its business and such event has or would reasonably be expected to have a Material Adverse Effect.</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24.12</w:t>
      </w:r>
      <w:r>
        <w:rPr>
          <w:sz w:val="20"/>
          <w:szCs w:val="20"/>
          <w:color w:val="auto"/>
        </w:rPr>
        <w:tab/>
      </w:r>
      <w:r>
        <w:rPr>
          <w:rFonts w:ascii="Arial" w:cs="Arial" w:eastAsia="Arial" w:hAnsi="Arial"/>
          <w:sz w:val="16"/>
          <w:szCs w:val="16"/>
          <w:b w:val="1"/>
          <w:bCs w:val="1"/>
          <w:color w:val="auto"/>
        </w:rPr>
        <w:t>Expropriation</w:t>
      </w:r>
    </w:p>
    <w:p>
      <w:pPr>
        <w:spacing w:after="0" w:line="121"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The authority or ability of any Obligor or other member of the Group to (other than in respect of any business solely related to any Joint Venture or assets that relate to or are in any way part of any Joint Venture and which do not form part of, and are not otherwise necessary for the operation of, the Property) conduct its business or enjoy the use of all or any material part of its assets is wholly or substantially limited or curtailed by any seizure, expropriation, nationalisation, intervention, restriction or other action (including as a result of any change in (or in the interpretation, administration or application of), or the introduction of, any Legal Requirement) by or on behalf of any Governmental Authority or other person in relation to any member of the Group or any of its assets and, in the case of any such seizure, expropriation, intervention, restriction or other action which is capable of remedy, such seizure, expropriation, intervention, restriction or other action or the effects thereof, are not remedied, removed or stayed within 45 days of the occurrence of such seizure, expropriation, intervention, restriction or other action.</w:t>
      </w:r>
    </w:p>
    <w:p>
      <w:pPr>
        <w:spacing w:after="0" w:line="34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24.13</w:t>
      </w:r>
      <w:r>
        <w:rPr>
          <w:sz w:val="20"/>
          <w:szCs w:val="20"/>
          <w:color w:val="auto"/>
        </w:rPr>
        <w:tab/>
      </w:r>
      <w:r>
        <w:rPr>
          <w:rFonts w:ascii="Arial" w:cs="Arial" w:eastAsia="Arial" w:hAnsi="Arial"/>
          <w:sz w:val="15"/>
          <w:szCs w:val="15"/>
          <w:b w:val="1"/>
          <w:bCs w:val="1"/>
          <w:color w:val="auto"/>
        </w:rPr>
        <w:t>Repudiation or rescission of Finance Documents</w:t>
      </w:r>
    </w:p>
    <w:p>
      <w:pPr>
        <w:spacing w:after="0" w:line="135" w:lineRule="exact"/>
        <w:rPr>
          <w:sz w:val="20"/>
          <w:szCs w:val="20"/>
          <w:color w:val="auto"/>
        </w:rPr>
      </w:pPr>
    </w:p>
    <w:p>
      <w:pPr>
        <w:ind w:left="1300" w:right="20" w:hanging="535"/>
        <w:spacing w:after="0" w:line="263" w:lineRule="auto"/>
        <w:tabs>
          <w:tab w:leader="none" w:pos="130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A Grantor, Obligor or other member of the Group (or any other relevant party) rescinds or purports to rescind or repudiates or purports to repudiate a Finance Document or any of the Transaction Security or evidences an intention to rescind or repudiate a Finance Document or any Transaction Security.</w:t>
      </w:r>
    </w:p>
    <w:p>
      <w:pPr>
        <w:spacing w:after="0" w:line="89" w:lineRule="exact"/>
        <w:rPr>
          <w:rFonts w:ascii="Arial" w:cs="Arial" w:eastAsia="Arial" w:hAnsi="Arial"/>
          <w:sz w:val="18"/>
          <w:szCs w:val="18"/>
          <w:color w:val="auto"/>
        </w:rPr>
      </w:pPr>
    </w:p>
    <w:p>
      <w:pPr>
        <w:jc w:val="both"/>
        <w:ind w:left="1300" w:right="440" w:hanging="535"/>
        <w:spacing w:after="0" w:line="311" w:lineRule="auto"/>
        <w:tabs>
          <w:tab w:leader="none" w:pos="1300" w:val="left"/>
        </w:tabs>
        <w:numPr>
          <w:ilvl w:val="0"/>
          <w:numId w:val="1026"/>
        </w:numPr>
        <w:rPr>
          <w:rFonts w:ascii="Arial" w:cs="Arial" w:eastAsia="Arial" w:hAnsi="Arial"/>
          <w:sz w:val="16"/>
          <w:szCs w:val="16"/>
          <w:color w:val="auto"/>
        </w:rPr>
      </w:pPr>
      <w:r>
        <w:rPr>
          <w:rFonts w:ascii="Arial" w:cs="Arial" w:eastAsia="Arial" w:hAnsi="Arial"/>
          <w:sz w:val="16"/>
          <w:szCs w:val="16"/>
          <w:color w:val="auto"/>
        </w:rPr>
        <w:t>Any party to any of the other Transaction Documents rescinds or purports to rescind or repudiates or purports to repudiate any of those Transaction Documents in whole or in part where (other than in the case of the Amended Land Concession or any Gaming Subconcession) to do so has or would, in the reasonable opinion of the Majority Lenders, have a Material Adverse Effect.</w:t>
      </w:r>
    </w:p>
    <w:p>
      <w:pPr>
        <w:spacing w:after="0" w:line="81"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00" w:name="page701"/>
    <w:bookmarkEnd w:id="700"/>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24.14</w:t>
      </w:r>
      <w:r>
        <w:rPr>
          <w:sz w:val="20"/>
          <w:szCs w:val="20"/>
          <w:color w:val="auto"/>
        </w:rPr>
        <w:tab/>
      </w:r>
      <w:r>
        <w:rPr>
          <w:rFonts w:ascii="Arial" w:cs="Arial" w:eastAsia="Arial" w:hAnsi="Arial"/>
          <w:sz w:val="16"/>
          <w:szCs w:val="16"/>
          <w:b w:val="1"/>
          <w:bCs w:val="1"/>
          <w:color w:val="auto"/>
        </w:rPr>
        <w:t>Litigation</w:t>
      </w:r>
    </w:p>
    <w:p>
      <w:pPr>
        <w:spacing w:after="0" w:line="121" w:lineRule="exact"/>
        <w:rPr>
          <w:sz w:val="20"/>
          <w:szCs w:val="20"/>
          <w:color w:val="auto"/>
        </w:rPr>
      </w:pPr>
    </w:p>
    <w:p>
      <w:pPr>
        <w:ind w:left="760" w:right="80"/>
        <w:spacing w:after="0" w:line="273" w:lineRule="auto"/>
        <w:rPr>
          <w:sz w:val="20"/>
          <w:szCs w:val="20"/>
          <w:color w:val="auto"/>
        </w:rPr>
      </w:pPr>
      <w:r>
        <w:rPr>
          <w:rFonts w:ascii="Arial" w:cs="Arial" w:eastAsia="Arial" w:hAnsi="Arial"/>
          <w:sz w:val="17"/>
          <w:szCs w:val="17"/>
          <w:color w:val="auto"/>
        </w:rPr>
        <w:t>Any litigation, arbitration, administrative, governmental, regulatory or other investigations or proceedings are commenced or threatened in relation to a Transaction Document or the transactions contemplated in a Transaction Document or against any Obligor or other member of the Group or its assets which has or would reasonably be expected to have a Material Adverse Effect, other than such litigation, arbitration, administrative, governmental, regulatory or other investigations or proceedings which are frivolous or vexatious (and, in the case of any such proceedings commenced in any jurisdiction other than Macau SAR, which are discharged, stayed or dismissed within 60 days of commencement or, if earlier, the date on which it is advertised).</w:t>
      </w:r>
    </w:p>
    <w:p>
      <w:pPr>
        <w:spacing w:after="0" w:line="32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24.15</w:t>
      </w:r>
      <w:r>
        <w:rPr>
          <w:sz w:val="20"/>
          <w:szCs w:val="20"/>
          <w:color w:val="auto"/>
        </w:rPr>
        <w:tab/>
      </w:r>
      <w:r>
        <w:rPr>
          <w:rFonts w:ascii="Arial" w:cs="Arial" w:eastAsia="Arial" w:hAnsi="Arial"/>
          <w:sz w:val="16"/>
          <w:szCs w:val="16"/>
          <w:b w:val="1"/>
          <w:bCs w:val="1"/>
          <w:color w:val="auto"/>
        </w:rPr>
        <w:t>Material adverse change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event or circumstance occurs which has or is reasonably likely to have a Material Adverse Effect.</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24.16</w:t>
      </w:r>
      <w:r>
        <w:rPr>
          <w:sz w:val="20"/>
          <w:szCs w:val="20"/>
          <w:color w:val="auto"/>
        </w:rPr>
        <w:tab/>
      </w:r>
      <w:r>
        <w:rPr>
          <w:rFonts w:ascii="Arial" w:cs="Arial" w:eastAsia="Arial" w:hAnsi="Arial"/>
          <w:sz w:val="16"/>
          <w:szCs w:val="16"/>
          <w:b w:val="1"/>
          <w:bCs w:val="1"/>
          <w:color w:val="auto"/>
        </w:rPr>
        <w:t>Services and Right to Use Agreement</w:t>
      </w:r>
    </w:p>
    <w:p>
      <w:pPr>
        <w:spacing w:after="0" w:line="135" w:lineRule="exact"/>
        <w:rPr>
          <w:sz w:val="20"/>
          <w:szCs w:val="20"/>
          <w:color w:val="auto"/>
        </w:rPr>
      </w:pPr>
    </w:p>
    <w:p>
      <w:pPr>
        <w:ind w:left="1300" w:right="620" w:hanging="535"/>
        <w:spacing w:after="0" w:line="277" w:lineRule="auto"/>
        <w:tabs>
          <w:tab w:leader="none" w:pos="1300" w:val="left"/>
        </w:tabs>
        <w:numPr>
          <w:ilvl w:val="0"/>
          <w:numId w:val="1027"/>
        </w:numPr>
        <w:rPr>
          <w:rFonts w:ascii="Arial" w:cs="Arial" w:eastAsia="Arial" w:hAnsi="Arial"/>
          <w:sz w:val="18"/>
          <w:szCs w:val="18"/>
          <w:color w:val="auto"/>
        </w:rPr>
      </w:pPr>
      <w:r>
        <w:rPr>
          <w:rFonts w:ascii="Arial" w:cs="Arial" w:eastAsia="Arial" w:hAnsi="Arial"/>
          <w:sz w:val="18"/>
          <w:szCs w:val="18"/>
          <w:color w:val="auto"/>
        </w:rPr>
        <w:t>Melco Resorts Macau suspends performance of its obligations under each of the Services and Right to Use Agreement and the Reimbursement Agreement for more than 7 days.</w:t>
      </w:r>
    </w:p>
    <w:p>
      <w:pPr>
        <w:spacing w:after="0" w:line="75" w:lineRule="exact"/>
        <w:rPr>
          <w:rFonts w:ascii="Arial" w:cs="Arial" w:eastAsia="Arial" w:hAnsi="Arial"/>
          <w:sz w:val="18"/>
          <w:szCs w:val="18"/>
          <w:color w:val="auto"/>
        </w:rPr>
      </w:pPr>
    </w:p>
    <w:p>
      <w:pPr>
        <w:ind w:left="1300" w:right="320" w:hanging="535"/>
        <w:spacing w:after="0" w:line="277" w:lineRule="auto"/>
        <w:tabs>
          <w:tab w:leader="none" w:pos="1300" w:val="left"/>
        </w:tabs>
        <w:numPr>
          <w:ilvl w:val="0"/>
          <w:numId w:val="1027"/>
        </w:numPr>
        <w:rPr>
          <w:rFonts w:ascii="Arial" w:cs="Arial" w:eastAsia="Arial" w:hAnsi="Arial"/>
          <w:sz w:val="18"/>
          <w:szCs w:val="18"/>
          <w:color w:val="auto"/>
        </w:rPr>
      </w:pPr>
      <w:r>
        <w:rPr>
          <w:rFonts w:ascii="Arial" w:cs="Arial" w:eastAsia="Arial" w:hAnsi="Arial"/>
          <w:sz w:val="18"/>
          <w:szCs w:val="18"/>
          <w:color w:val="auto"/>
        </w:rPr>
        <w:t>The Services and Right to Use Agreement or the Reimbursement Agreement is terminated, becomes invalid or illegal or otherwise ceases to be in full force and effect prior to its stated termination.</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24.17</w:t>
      </w:r>
      <w:r>
        <w:rPr>
          <w:sz w:val="20"/>
          <w:szCs w:val="20"/>
          <w:color w:val="auto"/>
        </w:rPr>
        <w:tab/>
      </w:r>
      <w:r>
        <w:rPr>
          <w:rFonts w:ascii="Arial" w:cs="Arial" w:eastAsia="Arial" w:hAnsi="Arial"/>
          <w:sz w:val="16"/>
          <w:szCs w:val="16"/>
          <w:b w:val="1"/>
          <w:bCs w:val="1"/>
          <w:color w:val="auto"/>
        </w:rPr>
        <w:t>Melco Resorts Macau Notification</w:t>
      </w:r>
    </w:p>
    <w:p>
      <w:pPr>
        <w:spacing w:after="0" w:line="121" w:lineRule="exact"/>
        <w:rPr>
          <w:sz w:val="20"/>
          <w:szCs w:val="20"/>
          <w:color w:val="auto"/>
        </w:rPr>
      </w:pPr>
    </w:p>
    <w:p>
      <w:pPr>
        <w:ind w:left="760" w:right="80"/>
        <w:spacing w:after="0" w:line="308" w:lineRule="auto"/>
        <w:rPr>
          <w:sz w:val="20"/>
          <w:szCs w:val="20"/>
          <w:color w:val="auto"/>
        </w:rPr>
      </w:pPr>
      <w:r>
        <w:rPr>
          <w:rFonts w:ascii="Arial" w:cs="Arial" w:eastAsia="Arial" w:hAnsi="Arial"/>
          <w:sz w:val="17"/>
          <w:szCs w:val="17"/>
          <w:color w:val="auto"/>
        </w:rPr>
        <w:t>Melco Resorts Macau notifies any Secured Party in writing of its intention to terminate the Services and Right to Use Agreement (whether or not any such notification has any effect on the “Funding Date” definition of the Services and Right to Use Agreement).</w:t>
      </w:r>
    </w:p>
    <w:p>
      <w:pPr>
        <w:spacing w:after="0" w:line="29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24.18</w:t>
      </w:r>
      <w:r>
        <w:rPr>
          <w:sz w:val="20"/>
          <w:szCs w:val="20"/>
          <w:color w:val="auto"/>
        </w:rPr>
        <w:tab/>
      </w:r>
      <w:r>
        <w:rPr>
          <w:rFonts w:ascii="Arial" w:cs="Arial" w:eastAsia="Arial" w:hAnsi="Arial"/>
          <w:sz w:val="16"/>
          <w:szCs w:val="16"/>
          <w:b w:val="1"/>
          <w:bCs w:val="1"/>
          <w:color w:val="auto"/>
        </w:rPr>
        <w:t>US bankruptcy of Obligors</w:t>
      </w:r>
    </w:p>
    <w:p>
      <w:pPr>
        <w:spacing w:after="0" w:line="121" w:lineRule="exact"/>
        <w:rPr>
          <w:sz w:val="20"/>
          <w:szCs w:val="20"/>
          <w:color w:val="auto"/>
        </w:rPr>
      </w:pPr>
    </w:p>
    <w:p>
      <w:pPr>
        <w:ind w:left="760" w:right="20"/>
        <w:spacing w:after="0" w:line="271" w:lineRule="auto"/>
        <w:rPr>
          <w:sz w:val="20"/>
          <w:szCs w:val="20"/>
          <w:color w:val="auto"/>
        </w:rPr>
      </w:pPr>
      <w:r>
        <w:rPr>
          <w:rFonts w:ascii="Arial" w:cs="Arial" w:eastAsia="Arial" w:hAnsi="Arial"/>
          <w:sz w:val="17"/>
          <w:szCs w:val="17"/>
          <w:color w:val="auto"/>
        </w:rPr>
        <w:t>Notwithstanding Clause 24.19 (</w:t>
      </w:r>
      <w:r>
        <w:rPr>
          <w:rFonts w:ascii="Arial" w:cs="Arial" w:eastAsia="Arial" w:hAnsi="Arial"/>
          <w:sz w:val="17"/>
          <w:szCs w:val="17"/>
          <w:i w:val="1"/>
          <w:iCs w:val="1"/>
          <w:color w:val="auto"/>
        </w:rPr>
        <w:t>Acceleration</w:t>
      </w:r>
      <w:r>
        <w:rPr>
          <w:rFonts w:ascii="Arial" w:cs="Arial" w:eastAsia="Arial" w:hAnsi="Arial"/>
          <w:sz w:val="17"/>
          <w:szCs w:val="17"/>
          <w:color w:val="auto"/>
        </w:rPr>
        <w:t>), if any Obligor commences a voluntary case concerning itself under the US Bankruptcy Code, or an involuntary case is commenced under the US Bankruptcy Code against any Obligor and the petition is not dismissed or stayed within forty five (45) days after commencement of the case, or a custodian (as defined in the US Bankruptcy Code) is appointed for, or takes charge of, all or substantially all of the property of any Obligor, or any order of relief or other order approving any such case or proceeding is entered, the Revolving Facility shall cease to be available to such Obligor, all obligations of such Obligor under Clause 20 (</w:t>
      </w:r>
      <w:r>
        <w:rPr>
          <w:rFonts w:ascii="Arial" w:cs="Arial" w:eastAsia="Arial" w:hAnsi="Arial"/>
          <w:sz w:val="17"/>
          <w:szCs w:val="17"/>
          <w:i w:val="1"/>
          <w:iCs w:val="1"/>
          <w:color w:val="auto"/>
        </w:rPr>
        <w:t>Guarantee and</w:t>
      </w:r>
      <w:r>
        <w:rPr>
          <w:rFonts w:ascii="Arial" w:cs="Arial" w:eastAsia="Arial" w:hAnsi="Arial"/>
          <w:sz w:val="17"/>
          <w:szCs w:val="17"/>
          <w:color w:val="auto"/>
        </w:rPr>
        <w:t xml:space="preserve"> </w:t>
      </w:r>
      <w:r>
        <w:rPr>
          <w:rFonts w:ascii="Arial" w:cs="Arial" w:eastAsia="Arial" w:hAnsi="Arial"/>
          <w:sz w:val="17"/>
          <w:szCs w:val="17"/>
          <w:i w:val="1"/>
          <w:iCs w:val="1"/>
          <w:color w:val="auto"/>
        </w:rPr>
        <w:t>indemnity</w:t>
      </w:r>
      <w:r>
        <w:rPr>
          <w:rFonts w:ascii="Arial" w:cs="Arial" w:eastAsia="Arial" w:hAnsi="Arial"/>
          <w:sz w:val="17"/>
          <w:szCs w:val="17"/>
          <w:color w:val="auto"/>
        </w:rPr>
        <w:t>) or any other provision of this Agreement or any other Finance Document to which such Obligor is a party shall become</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due and payable and such Obligor shall be required to provide cash cover for the full amount of each letter of credit issued for its account, in each case automatically and without any further action by any Party.</w:t>
      </w:r>
    </w:p>
    <w:p>
      <w:pPr>
        <w:spacing w:after="0" w:line="3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24.19</w:t>
      </w:r>
      <w:r>
        <w:rPr>
          <w:sz w:val="20"/>
          <w:szCs w:val="20"/>
          <w:color w:val="auto"/>
        </w:rPr>
        <w:tab/>
      </w:r>
      <w:r>
        <w:rPr>
          <w:rFonts w:ascii="Arial" w:cs="Arial" w:eastAsia="Arial" w:hAnsi="Arial"/>
          <w:sz w:val="16"/>
          <w:szCs w:val="16"/>
          <w:b w:val="1"/>
          <w:bCs w:val="1"/>
          <w:color w:val="auto"/>
        </w:rPr>
        <w:t>Acceleration</w:t>
      </w:r>
    </w:p>
    <w:p>
      <w:pPr>
        <w:spacing w:after="0" w:line="121" w:lineRule="exact"/>
        <w:rPr>
          <w:sz w:val="20"/>
          <w:szCs w:val="20"/>
          <w:color w:val="auto"/>
        </w:rPr>
      </w:pPr>
    </w:p>
    <w:p>
      <w:pPr>
        <w:ind w:left="760" w:right="320"/>
        <w:spacing w:after="0" w:line="277" w:lineRule="auto"/>
        <w:rPr>
          <w:sz w:val="20"/>
          <w:szCs w:val="20"/>
          <w:color w:val="auto"/>
        </w:rPr>
      </w:pPr>
      <w:r>
        <w:rPr>
          <w:rFonts w:ascii="Arial" w:cs="Arial" w:eastAsia="Arial" w:hAnsi="Arial"/>
          <w:sz w:val="18"/>
          <w:szCs w:val="18"/>
          <w:color w:val="auto"/>
        </w:rPr>
        <w:t>On and at any time after the occurrence of an Event of Default which is continuing the Agent may, and shall if so directed by the Majority Lenders, by notice to the Borrower:</w:t>
      </w:r>
    </w:p>
    <w:p>
      <w:pPr>
        <w:spacing w:after="0" w:line="76" w:lineRule="exact"/>
        <w:rPr>
          <w:sz w:val="20"/>
          <w:szCs w:val="20"/>
          <w:color w:val="auto"/>
        </w:rPr>
      </w:pPr>
    </w:p>
    <w:p>
      <w:pPr>
        <w:ind w:left="1300" w:hanging="535"/>
        <w:spacing w:after="0"/>
        <w:tabs>
          <w:tab w:leader="none" w:pos="1300" w:val="left"/>
        </w:tabs>
        <w:numPr>
          <w:ilvl w:val="0"/>
          <w:numId w:val="1028"/>
        </w:numPr>
        <w:rPr>
          <w:rFonts w:ascii="Arial" w:cs="Arial" w:eastAsia="Arial" w:hAnsi="Arial"/>
          <w:sz w:val="18"/>
          <w:szCs w:val="18"/>
          <w:color w:val="auto"/>
        </w:rPr>
      </w:pPr>
      <w:r>
        <w:rPr>
          <w:rFonts w:ascii="Arial" w:cs="Arial" w:eastAsia="Arial" w:hAnsi="Arial"/>
          <w:sz w:val="18"/>
          <w:szCs w:val="18"/>
          <w:color w:val="auto"/>
        </w:rPr>
        <w:t>cancel the Total Commitments, whereupon they shall immediately be cancelled;</w:t>
      </w:r>
    </w:p>
    <w:p>
      <w:pPr>
        <w:spacing w:after="0" w:line="130" w:lineRule="exact"/>
        <w:rPr>
          <w:rFonts w:ascii="Arial" w:cs="Arial" w:eastAsia="Arial" w:hAnsi="Arial"/>
          <w:sz w:val="18"/>
          <w:szCs w:val="18"/>
          <w:color w:val="auto"/>
        </w:rPr>
      </w:pPr>
    </w:p>
    <w:p>
      <w:pPr>
        <w:jc w:val="both"/>
        <w:ind w:left="1300" w:right="280" w:hanging="535"/>
        <w:spacing w:after="0" w:line="263" w:lineRule="auto"/>
        <w:tabs>
          <w:tab w:leader="none" w:pos="1300" w:val="left"/>
        </w:tabs>
        <w:numPr>
          <w:ilvl w:val="0"/>
          <w:numId w:val="1028"/>
        </w:numPr>
        <w:rPr>
          <w:rFonts w:ascii="Arial" w:cs="Arial" w:eastAsia="Arial" w:hAnsi="Arial"/>
          <w:sz w:val="18"/>
          <w:szCs w:val="18"/>
          <w:color w:val="auto"/>
        </w:rPr>
      </w:pPr>
      <w:r>
        <w:rPr>
          <w:rFonts w:ascii="Arial" w:cs="Arial" w:eastAsia="Arial" w:hAnsi="Arial"/>
          <w:sz w:val="18"/>
          <w:szCs w:val="18"/>
          <w:color w:val="auto"/>
        </w:rPr>
        <w:t>subject to clause 3.2 (</w:t>
      </w:r>
      <w:r>
        <w:rPr>
          <w:rFonts w:ascii="Arial" w:cs="Arial" w:eastAsia="Arial" w:hAnsi="Arial"/>
          <w:sz w:val="18"/>
          <w:szCs w:val="18"/>
          <w:i w:val="1"/>
          <w:iCs w:val="1"/>
          <w:color w:val="auto"/>
        </w:rPr>
        <w:t>Rolled Loan – restrictions</w:t>
      </w:r>
      <w:r>
        <w:rPr>
          <w:rFonts w:ascii="Arial" w:cs="Arial" w:eastAsia="Arial" w:hAnsi="Arial"/>
          <w:sz w:val="18"/>
          <w:szCs w:val="18"/>
          <w:color w:val="auto"/>
        </w:rPr>
        <w:t>) of the Intercreditor Agreement, declare that all or part of the Utilisations, together with accrued interest, and all other amounts accrued or outstanding under the Finance Documents be immediately due and payable, whereupon they shall become immediately due and payable;</w:t>
      </w:r>
    </w:p>
    <w:p>
      <w:pPr>
        <w:spacing w:after="0" w:line="116"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01" w:name="page702"/>
    <w:bookmarkEnd w:id="701"/>
    <w:p>
      <w:pPr>
        <w:jc w:val="both"/>
        <w:ind w:left="540" w:right="140" w:hanging="535"/>
        <w:spacing w:after="0" w:line="342" w:lineRule="auto"/>
        <w:tabs>
          <w:tab w:leader="none" w:pos="540" w:val="left"/>
        </w:tabs>
        <w:numPr>
          <w:ilvl w:val="0"/>
          <w:numId w:val="10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clause 3.2 (</w:t>
      </w:r>
      <w:r>
        <w:rPr>
          <w:rFonts w:ascii="Arial" w:cs="Arial" w:eastAsia="Arial" w:hAnsi="Arial"/>
          <w:sz w:val="16"/>
          <w:szCs w:val="16"/>
          <w:i w:val="1"/>
          <w:iCs w:val="1"/>
          <w:color w:val="auto"/>
        </w:rPr>
        <w:t>Rolled Loan – restrictions</w:t>
      </w:r>
      <w:r>
        <w:rPr>
          <w:rFonts w:ascii="Arial" w:cs="Arial" w:eastAsia="Arial" w:hAnsi="Arial"/>
          <w:sz w:val="16"/>
          <w:szCs w:val="16"/>
          <w:color w:val="auto"/>
        </w:rPr>
        <w:t>) of the Intercreditor Agreement, declare that all or part of the Utilisations be payable on demand, whereupon they shall immediately become payable on demand by the Agent on the instructions of the Majority Lenders;</w:t>
      </w:r>
    </w:p>
    <w:p>
      <w:pPr>
        <w:spacing w:after="0" w:line="29" w:lineRule="exact"/>
        <w:rPr>
          <w:rFonts w:ascii="Arial" w:cs="Arial" w:eastAsia="Arial" w:hAnsi="Arial"/>
          <w:sz w:val="16"/>
          <w:szCs w:val="16"/>
          <w:color w:val="auto"/>
        </w:rPr>
      </w:pPr>
    </w:p>
    <w:p>
      <w:pPr>
        <w:ind w:left="540" w:right="700" w:hanging="535"/>
        <w:spacing w:after="0" w:line="308" w:lineRule="auto"/>
        <w:tabs>
          <w:tab w:leader="none" w:pos="540" w:val="left"/>
        </w:tabs>
        <w:numPr>
          <w:ilvl w:val="0"/>
          <w:numId w:val="1029"/>
        </w:numPr>
        <w:rPr>
          <w:rFonts w:ascii="Arial" w:cs="Arial" w:eastAsia="Arial" w:hAnsi="Arial"/>
          <w:sz w:val="17"/>
          <w:szCs w:val="17"/>
          <w:color w:val="auto"/>
        </w:rPr>
      </w:pPr>
      <w:r>
        <w:rPr>
          <w:rFonts w:ascii="Arial" w:cs="Arial" w:eastAsia="Arial" w:hAnsi="Arial"/>
          <w:sz w:val="17"/>
          <w:szCs w:val="17"/>
          <w:color w:val="auto"/>
        </w:rPr>
        <w:t>notify the Intercreditor Agent that an Event of Default has occurred and continuing and instruct the Intercreditor Agent or the Common Security Agent (through the Intercreditor Agent) to issue one or more Enforcement Notices; and/or</w:t>
      </w:r>
    </w:p>
    <w:p>
      <w:pPr>
        <w:spacing w:after="0" w:line="51" w:lineRule="exact"/>
        <w:rPr>
          <w:rFonts w:ascii="Arial" w:cs="Arial" w:eastAsia="Arial" w:hAnsi="Arial"/>
          <w:sz w:val="17"/>
          <w:szCs w:val="17"/>
          <w:color w:val="auto"/>
        </w:rPr>
      </w:pPr>
    </w:p>
    <w:p>
      <w:pPr>
        <w:ind w:left="540" w:right="100" w:hanging="535"/>
        <w:spacing w:after="0" w:line="254" w:lineRule="auto"/>
        <w:tabs>
          <w:tab w:leader="none" w:pos="540" w:val="left"/>
        </w:tabs>
        <w:numPr>
          <w:ilvl w:val="0"/>
          <w:numId w:val="1029"/>
        </w:numPr>
        <w:rPr>
          <w:rFonts w:ascii="Arial" w:cs="Arial" w:eastAsia="Arial" w:hAnsi="Arial"/>
          <w:sz w:val="18"/>
          <w:szCs w:val="18"/>
          <w:color w:val="auto"/>
        </w:rPr>
      </w:pPr>
      <w:r>
        <w:rPr>
          <w:rFonts w:ascii="Arial" w:cs="Arial" w:eastAsia="Arial" w:hAnsi="Arial"/>
          <w:sz w:val="18"/>
          <w:szCs w:val="18"/>
          <w:color w:val="auto"/>
        </w:rPr>
        <w:t>exercise or direct the Intercreditor Agent or the Common Security Agent (through the Intercreditor Agent) to exercise any or all of its rights, remedies, powers or discretions under any of the Finance Documents and/or the High Yield Note Documents and/or (if the High Yield Note Refinancing has occurred) any document or instrument in respect of the high yield notes issued pursuant to the High Yield Note Refinancing and/or any document or instrument in respect of the high yield notes issued pursuant to the Additional High Yield Notes and/or (if the Additional High Yield Note Refinancing has occurred) pursuant to the Additional High Yield Note Refinancing (in each case, including, following the issue of an Enforcement Notice, any such rights, remedies, powers or discretions which first require the issue of such a notice).</w:t>
      </w:r>
    </w:p>
    <w:p>
      <w:pPr>
        <w:spacing w:after="0" w:line="127"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02" w:name="page703"/>
    <w:bookmarkEnd w:id="70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CHANGES TO PARTIES</w:t>
      </w:r>
    </w:p>
    <w:p>
      <w:pPr>
        <w:spacing w:after="0" w:line="234" w:lineRule="exact"/>
        <w:rPr>
          <w:sz w:val="20"/>
          <w:szCs w:val="20"/>
          <w:color w:val="auto"/>
        </w:rPr>
      </w:pPr>
    </w:p>
    <w:p>
      <w:pPr>
        <w:ind w:left="764" w:hanging="764"/>
        <w:spacing w:after="0"/>
        <w:tabs>
          <w:tab w:leader="none" w:pos="764" w:val="left"/>
        </w:tabs>
        <w:numPr>
          <w:ilvl w:val="0"/>
          <w:numId w:val="1030"/>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Lenders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5"/>
          <w:szCs w:val="15"/>
          <w:b w:val="1"/>
          <w:bCs w:val="1"/>
          <w:color w:val="auto"/>
        </w:rPr>
        <w:t>Assignments and transfers by the Lenders</w:t>
      </w:r>
    </w:p>
    <w:p>
      <w:pPr>
        <w:spacing w:after="0" w:line="117" w:lineRule="exact"/>
        <w:rPr>
          <w:sz w:val="20"/>
          <w:szCs w:val="20"/>
          <w:color w:val="auto"/>
        </w:rPr>
      </w:pPr>
    </w:p>
    <w:p>
      <w:pPr>
        <w:ind w:left="764"/>
        <w:spacing w:after="0"/>
        <w:rPr>
          <w:sz w:val="20"/>
          <w:szCs w:val="20"/>
          <w:color w:val="auto"/>
        </w:rPr>
      </w:pPr>
      <w:r>
        <w:rPr>
          <w:rFonts w:ascii="Arial" w:cs="Arial" w:eastAsia="Arial" w:hAnsi="Arial"/>
          <w:sz w:val="18"/>
          <w:szCs w:val="18"/>
          <w:color w:val="auto"/>
        </w:rPr>
        <w:t>Subject to this Clause 25 and to Clause 26 (</w:t>
      </w:r>
      <w:r>
        <w:rPr>
          <w:rFonts w:ascii="Arial" w:cs="Arial" w:eastAsia="Arial" w:hAnsi="Arial"/>
          <w:sz w:val="18"/>
          <w:szCs w:val="18"/>
          <w:i w:val="1"/>
          <w:iCs w:val="1"/>
          <w:color w:val="auto"/>
        </w:rPr>
        <w:t>Restriction on Debt Purchase Transactions</w:t>
      </w:r>
      <w:r>
        <w:rPr>
          <w:rFonts w:ascii="Arial" w:cs="Arial" w:eastAsia="Arial" w:hAnsi="Arial"/>
          <w:sz w:val="18"/>
          <w:szCs w:val="18"/>
          <w:color w:val="auto"/>
        </w:rPr>
        <w:t>),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135" w:lineRule="exact"/>
        <w:rPr>
          <w:sz w:val="20"/>
          <w:szCs w:val="20"/>
          <w:color w:val="auto"/>
        </w:rPr>
      </w:pPr>
    </w:p>
    <w:p>
      <w:pPr>
        <w:ind w:left="1304" w:hanging="535"/>
        <w:spacing w:after="0"/>
        <w:tabs>
          <w:tab w:leader="none" w:pos="1304"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113" w:lineRule="exact"/>
        <w:rPr>
          <w:sz w:val="20"/>
          <w:szCs w:val="20"/>
          <w:color w:val="auto"/>
        </w:rPr>
      </w:pPr>
    </w:p>
    <w:p>
      <w:pPr>
        <w:ind w:left="764"/>
        <w:spacing w:after="0"/>
        <w:rPr>
          <w:sz w:val="20"/>
          <w:szCs w:val="20"/>
          <w:color w:val="auto"/>
        </w:rPr>
      </w:pPr>
      <w:r>
        <w:rPr>
          <w:rFonts w:ascii="Arial" w:cs="Arial" w:eastAsia="Arial" w:hAnsi="Arial"/>
          <w:sz w:val="18"/>
          <w:szCs w:val="18"/>
          <w:color w:val="auto"/>
        </w:rPr>
        <w:t>under any Finance Document to a Permitted Transferee (in each case,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374"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Conditions of assignment or transfer</w:t>
      </w:r>
    </w:p>
    <w:p>
      <w:pPr>
        <w:spacing w:after="0" w:line="135" w:lineRule="exact"/>
        <w:rPr>
          <w:sz w:val="20"/>
          <w:szCs w:val="20"/>
          <w:color w:val="auto"/>
        </w:rPr>
      </w:pPr>
    </w:p>
    <w:p>
      <w:pPr>
        <w:ind w:left="1304" w:hanging="535"/>
        <w:spacing w:after="0"/>
        <w:tabs>
          <w:tab w:leader="none" w:pos="1304" w:val="left"/>
        </w:tabs>
        <w:numPr>
          <w:ilvl w:val="0"/>
          <w:numId w:val="1032"/>
        </w:numPr>
        <w:rPr>
          <w:rFonts w:ascii="Arial" w:cs="Arial" w:eastAsia="Arial" w:hAnsi="Arial"/>
          <w:sz w:val="18"/>
          <w:szCs w:val="18"/>
          <w:color w:val="auto"/>
        </w:rPr>
      </w:pPr>
      <w:r>
        <w:rPr>
          <w:rFonts w:ascii="Arial" w:cs="Arial" w:eastAsia="Arial" w:hAnsi="Arial"/>
          <w:sz w:val="18"/>
          <w:szCs w:val="18"/>
          <w:color w:val="auto"/>
        </w:rPr>
        <w:t>Any Transfer by an Existing Lender of all or any part of its Commitment must:</w:t>
      </w:r>
    </w:p>
    <w:p>
      <w:pPr>
        <w:spacing w:after="0" w:line="130" w:lineRule="exact"/>
        <w:rPr>
          <w:rFonts w:ascii="Arial" w:cs="Arial" w:eastAsia="Arial" w:hAnsi="Arial"/>
          <w:sz w:val="18"/>
          <w:szCs w:val="18"/>
          <w:color w:val="auto"/>
        </w:rPr>
      </w:pPr>
    </w:p>
    <w:p>
      <w:pPr>
        <w:ind w:left="1964" w:right="180" w:hanging="655"/>
        <w:spacing w:after="0" w:line="277" w:lineRule="auto"/>
        <w:tabs>
          <w:tab w:leader="none" w:pos="1964" w:val="left"/>
        </w:tabs>
        <w:numPr>
          <w:ilvl w:val="1"/>
          <w:numId w:val="1032"/>
        </w:numPr>
        <w:rPr>
          <w:rFonts w:ascii="Arial" w:cs="Arial" w:eastAsia="Arial" w:hAnsi="Arial"/>
          <w:sz w:val="18"/>
          <w:szCs w:val="18"/>
          <w:color w:val="auto"/>
        </w:rPr>
      </w:pPr>
      <w:r>
        <w:rPr>
          <w:rFonts w:ascii="Arial" w:cs="Arial" w:eastAsia="Arial" w:hAnsi="Arial"/>
          <w:sz w:val="18"/>
          <w:szCs w:val="18"/>
          <w:color w:val="auto"/>
        </w:rPr>
        <w:t>subject to paragraph (b) below, not be made or entered into without the prior written consent of the Borrower (such consent not to be unreasonably withheld or delayed);</w:t>
      </w:r>
    </w:p>
    <w:p>
      <w:pPr>
        <w:spacing w:after="0" w:line="75" w:lineRule="exact"/>
        <w:rPr>
          <w:rFonts w:ascii="Arial" w:cs="Arial" w:eastAsia="Arial" w:hAnsi="Arial"/>
          <w:sz w:val="18"/>
          <w:szCs w:val="18"/>
          <w:color w:val="auto"/>
        </w:rPr>
      </w:pPr>
    </w:p>
    <w:p>
      <w:pPr>
        <w:ind w:left="1964" w:right="140" w:hanging="655"/>
        <w:spacing w:after="0" w:line="277" w:lineRule="auto"/>
        <w:tabs>
          <w:tab w:leader="none" w:pos="1964" w:val="left"/>
        </w:tabs>
        <w:numPr>
          <w:ilvl w:val="1"/>
          <w:numId w:val="1032"/>
        </w:numPr>
        <w:rPr>
          <w:rFonts w:ascii="Arial" w:cs="Arial" w:eastAsia="Arial" w:hAnsi="Arial"/>
          <w:sz w:val="18"/>
          <w:szCs w:val="18"/>
          <w:color w:val="auto"/>
        </w:rPr>
      </w:pPr>
      <w:r>
        <w:rPr>
          <w:rFonts w:ascii="Arial" w:cs="Arial" w:eastAsia="Arial" w:hAnsi="Arial"/>
          <w:sz w:val="18"/>
          <w:szCs w:val="18"/>
          <w:color w:val="auto"/>
        </w:rPr>
        <w:t>if the Transfer is of a commitment or participation in the Revolving Facility, the New Lender has a rating of at least BBB by Standard &amp; Poor’s Rating Services (or an equivalent rating); and</w:t>
      </w:r>
    </w:p>
    <w:p>
      <w:pPr>
        <w:spacing w:after="0" w:line="75" w:lineRule="exact"/>
        <w:rPr>
          <w:rFonts w:ascii="Arial" w:cs="Arial" w:eastAsia="Arial" w:hAnsi="Arial"/>
          <w:sz w:val="18"/>
          <w:szCs w:val="18"/>
          <w:color w:val="auto"/>
        </w:rPr>
      </w:pPr>
    </w:p>
    <w:p>
      <w:pPr>
        <w:ind w:left="1964" w:right="420" w:hanging="655"/>
        <w:spacing w:after="0" w:line="277" w:lineRule="auto"/>
        <w:tabs>
          <w:tab w:leader="none" w:pos="1964" w:val="left"/>
        </w:tabs>
        <w:numPr>
          <w:ilvl w:val="1"/>
          <w:numId w:val="1032"/>
        </w:numPr>
        <w:rPr>
          <w:rFonts w:ascii="Arial" w:cs="Arial" w:eastAsia="Arial" w:hAnsi="Arial"/>
          <w:sz w:val="18"/>
          <w:szCs w:val="18"/>
          <w:color w:val="auto"/>
        </w:rPr>
      </w:pPr>
      <w:r>
        <w:rPr>
          <w:rFonts w:ascii="Arial" w:cs="Arial" w:eastAsia="Arial" w:hAnsi="Arial"/>
          <w:sz w:val="18"/>
          <w:szCs w:val="18"/>
          <w:color w:val="auto"/>
        </w:rPr>
        <w:t>in the case of a Transfer relating to the Revolving Facility, if the Transfer is only of part of (instead of all of) an Existing Lender’s participation in respect of the Revolving Facility, immediately after such the Transfer:</w:t>
      </w:r>
    </w:p>
    <w:p>
      <w:pPr>
        <w:spacing w:after="0" w:line="75" w:lineRule="exact"/>
        <w:rPr>
          <w:rFonts w:ascii="Arial" w:cs="Arial" w:eastAsia="Arial" w:hAnsi="Arial"/>
          <w:sz w:val="18"/>
          <w:szCs w:val="18"/>
          <w:color w:val="auto"/>
        </w:rPr>
      </w:pPr>
    </w:p>
    <w:p>
      <w:pPr>
        <w:ind w:left="2504" w:right="200" w:hanging="533"/>
        <w:spacing w:after="0" w:line="263" w:lineRule="auto"/>
        <w:tabs>
          <w:tab w:leader="none" w:pos="2504" w:val="left"/>
        </w:tabs>
        <w:numPr>
          <w:ilvl w:val="2"/>
          <w:numId w:val="1032"/>
        </w:numPr>
        <w:rPr>
          <w:rFonts w:ascii="Arial" w:cs="Arial" w:eastAsia="Arial" w:hAnsi="Arial"/>
          <w:sz w:val="18"/>
          <w:szCs w:val="18"/>
          <w:color w:val="auto"/>
        </w:rPr>
      </w:pPr>
      <w:r>
        <w:rPr>
          <w:rFonts w:ascii="Arial" w:cs="Arial" w:eastAsia="Arial" w:hAnsi="Arial"/>
          <w:sz w:val="18"/>
          <w:szCs w:val="18"/>
          <w:color w:val="auto"/>
        </w:rPr>
        <w:t>the amount of that Existing Lender’s remaining Revolving Facility Commitments (when aggregated with its Affiliates’ and Related Funds’ Revolving Facility Commitments) is at least a minimum amount of HK$40,000,000; and</w:t>
      </w:r>
    </w:p>
    <w:p>
      <w:pPr>
        <w:spacing w:after="0" w:line="89" w:lineRule="exact"/>
        <w:rPr>
          <w:rFonts w:ascii="Arial" w:cs="Arial" w:eastAsia="Arial" w:hAnsi="Arial"/>
          <w:sz w:val="18"/>
          <w:szCs w:val="18"/>
          <w:color w:val="auto"/>
        </w:rPr>
      </w:pPr>
    </w:p>
    <w:p>
      <w:pPr>
        <w:ind w:left="2504" w:right="100" w:hanging="533"/>
        <w:spacing w:after="0" w:line="277" w:lineRule="auto"/>
        <w:tabs>
          <w:tab w:leader="none" w:pos="2504" w:val="left"/>
        </w:tabs>
        <w:numPr>
          <w:ilvl w:val="2"/>
          <w:numId w:val="1032"/>
        </w:numPr>
        <w:rPr>
          <w:rFonts w:ascii="Arial" w:cs="Arial" w:eastAsia="Arial" w:hAnsi="Arial"/>
          <w:sz w:val="18"/>
          <w:szCs w:val="18"/>
          <w:color w:val="auto"/>
        </w:rPr>
      </w:pPr>
      <w:r>
        <w:rPr>
          <w:rFonts w:ascii="Arial" w:cs="Arial" w:eastAsia="Arial" w:hAnsi="Arial"/>
          <w:sz w:val="18"/>
          <w:szCs w:val="18"/>
          <w:color w:val="auto"/>
        </w:rPr>
        <w:t>the amount of that New Lender’s Revolving Facility Commitments (when aggregated with its Affiliates’ and Related Funds’ Revolving Facility Commitments) is at least a minimum amount of HK$40,000,000.</w:t>
      </w:r>
    </w:p>
    <w:p>
      <w:pPr>
        <w:spacing w:after="0" w:line="75" w:lineRule="exact"/>
        <w:rPr>
          <w:rFonts w:ascii="Arial" w:cs="Arial" w:eastAsia="Arial" w:hAnsi="Arial"/>
          <w:sz w:val="18"/>
          <w:szCs w:val="18"/>
          <w:color w:val="auto"/>
        </w:rPr>
      </w:pPr>
    </w:p>
    <w:p>
      <w:pPr>
        <w:ind w:left="1304" w:right="140" w:hanging="535"/>
        <w:spacing w:after="0" w:line="263" w:lineRule="auto"/>
        <w:tabs>
          <w:tab w:leader="none" w:pos="1304" w:val="left"/>
        </w:tabs>
        <w:numPr>
          <w:ilvl w:val="0"/>
          <w:numId w:val="1032"/>
        </w:numPr>
        <w:rPr>
          <w:rFonts w:ascii="Arial" w:cs="Arial" w:eastAsia="Arial" w:hAnsi="Arial"/>
          <w:sz w:val="18"/>
          <w:szCs w:val="18"/>
          <w:color w:val="auto"/>
        </w:rPr>
      </w:pPr>
      <w:r>
        <w:rPr>
          <w:rFonts w:ascii="Arial" w:cs="Arial" w:eastAsia="Arial" w:hAnsi="Arial"/>
          <w:sz w:val="18"/>
          <w:szCs w:val="18"/>
          <w:color w:val="auto"/>
        </w:rPr>
        <w:t>Notwithstanding paragraph (a)(i) above (and, for the avoidance of doubt, subject to paragraphs (a)(ii) and (iii) above), a Transfer entered into in respect of any Commitment or amount outstanding under this Agreement shall not require the prior written consent of the Borrower pursuant to paragraph (a)(i) above if:</w:t>
      </w:r>
    </w:p>
    <w:p>
      <w:pPr>
        <w:spacing w:after="0" w:line="89" w:lineRule="exact"/>
        <w:rPr>
          <w:rFonts w:ascii="Arial" w:cs="Arial" w:eastAsia="Arial" w:hAnsi="Arial"/>
          <w:sz w:val="18"/>
          <w:szCs w:val="18"/>
          <w:color w:val="auto"/>
        </w:rPr>
      </w:pPr>
    </w:p>
    <w:p>
      <w:pPr>
        <w:ind w:left="1964" w:hanging="655"/>
        <w:spacing w:after="0"/>
        <w:tabs>
          <w:tab w:leader="none" w:pos="1964" w:val="left"/>
        </w:tabs>
        <w:numPr>
          <w:ilvl w:val="1"/>
          <w:numId w:val="1032"/>
        </w:numPr>
        <w:rPr>
          <w:rFonts w:ascii="Arial" w:cs="Arial" w:eastAsia="Arial" w:hAnsi="Arial"/>
          <w:sz w:val="18"/>
          <w:szCs w:val="18"/>
          <w:color w:val="auto"/>
        </w:rPr>
      </w:pPr>
      <w:r>
        <w:rPr>
          <w:rFonts w:ascii="Arial" w:cs="Arial" w:eastAsia="Arial" w:hAnsi="Arial"/>
          <w:sz w:val="18"/>
          <w:szCs w:val="18"/>
          <w:color w:val="auto"/>
        </w:rPr>
        <w:t>the Transfer is to another Lender or an Affiliate of a Lender;</w:t>
      </w:r>
    </w:p>
    <w:p>
      <w:pPr>
        <w:spacing w:after="0" w:line="130" w:lineRule="exact"/>
        <w:rPr>
          <w:rFonts w:ascii="Arial" w:cs="Arial" w:eastAsia="Arial" w:hAnsi="Arial"/>
          <w:sz w:val="18"/>
          <w:szCs w:val="18"/>
          <w:color w:val="auto"/>
        </w:rPr>
      </w:pPr>
    </w:p>
    <w:p>
      <w:pPr>
        <w:ind w:left="1964" w:right="380" w:hanging="655"/>
        <w:spacing w:after="0" w:line="277" w:lineRule="auto"/>
        <w:tabs>
          <w:tab w:leader="none" w:pos="1964" w:val="left"/>
        </w:tabs>
        <w:numPr>
          <w:ilvl w:val="1"/>
          <w:numId w:val="1032"/>
        </w:numPr>
        <w:rPr>
          <w:rFonts w:ascii="Arial" w:cs="Arial" w:eastAsia="Arial" w:hAnsi="Arial"/>
          <w:sz w:val="18"/>
          <w:szCs w:val="18"/>
          <w:color w:val="auto"/>
        </w:rPr>
      </w:pPr>
      <w:r>
        <w:rPr>
          <w:rFonts w:ascii="Arial" w:cs="Arial" w:eastAsia="Arial" w:hAnsi="Arial"/>
          <w:sz w:val="18"/>
          <w:szCs w:val="18"/>
          <w:color w:val="auto"/>
        </w:rPr>
        <w:t>if the Existing Lender is a fund, the Transfer is to, or the sub-participation is with, a fund which is a Related Fund of that Existing Lender;</w:t>
      </w:r>
    </w:p>
    <w:p>
      <w:pPr>
        <w:spacing w:after="0" w:line="75" w:lineRule="exact"/>
        <w:rPr>
          <w:rFonts w:ascii="Arial" w:cs="Arial" w:eastAsia="Arial" w:hAnsi="Arial"/>
          <w:sz w:val="18"/>
          <w:szCs w:val="18"/>
          <w:color w:val="auto"/>
        </w:rPr>
      </w:pPr>
    </w:p>
    <w:p>
      <w:pPr>
        <w:ind w:left="1964" w:hanging="655"/>
        <w:spacing w:after="0"/>
        <w:tabs>
          <w:tab w:leader="none" w:pos="1964" w:val="left"/>
        </w:tabs>
        <w:numPr>
          <w:ilvl w:val="1"/>
          <w:numId w:val="1032"/>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or</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1032"/>
        </w:numPr>
        <w:rPr>
          <w:rFonts w:ascii="Arial" w:cs="Arial" w:eastAsia="Arial" w:hAnsi="Arial"/>
          <w:sz w:val="18"/>
          <w:szCs w:val="18"/>
          <w:color w:val="auto"/>
        </w:rPr>
      </w:pPr>
      <w:r>
        <w:rPr>
          <w:rFonts w:ascii="Arial" w:cs="Arial" w:eastAsia="Arial" w:hAnsi="Arial"/>
          <w:sz w:val="18"/>
          <w:szCs w:val="18"/>
          <w:color w:val="auto"/>
        </w:rPr>
        <w:t>the Transfer is of a Participation which is not a Voting Participation.</w:t>
      </w:r>
    </w:p>
    <w:p>
      <w:pPr>
        <w:spacing w:after="0" w:line="130" w:lineRule="exact"/>
        <w:rPr>
          <w:rFonts w:ascii="Arial" w:cs="Arial" w:eastAsia="Arial" w:hAnsi="Arial"/>
          <w:sz w:val="18"/>
          <w:szCs w:val="18"/>
          <w:color w:val="auto"/>
        </w:rPr>
      </w:pPr>
    </w:p>
    <w:p>
      <w:pPr>
        <w:ind w:left="1304" w:right="160" w:hanging="535"/>
        <w:spacing w:after="0" w:line="342" w:lineRule="auto"/>
        <w:tabs>
          <w:tab w:leader="none" w:pos="1304" w:val="left"/>
        </w:tabs>
        <w:numPr>
          <w:ilvl w:val="0"/>
          <w:numId w:val="1032"/>
        </w:numPr>
        <w:rPr>
          <w:rFonts w:ascii="Arial" w:cs="Arial" w:eastAsia="Arial" w:hAnsi="Arial"/>
          <w:sz w:val="16"/>
          <w:szCs w:val="16"/>
          <w:color w:val="auto"/>
        </w:rPr>
      </w:pPr>
      <w:r>
        <w:rPr>
          <w:rFonts w:ascii="Arial" w:cs="Arial" w:eastAsia="Arial" w:hAnsi="Arial"/>
          <w:sz w:val="16"/>
          <w:szCs w:val="16"/>
          <w:color w:val="auto"/>
        </w:rPr>
        <w:t>The Borrower shall be deemed to have provided its written consent in accordance with paragraph (a) above if it has not responded to the relevant Existing Lender’s request for such Transfer within 10 Business Days of such request having been made.</w:t>
      </w:r>
    </w:p>
    <w:p>
      <w:pPr>
        <w:spacing w:after="0" w:line="56"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03" w:name="page704"/>
    <w:bookmarkEnd w:id="703"/>
    <w:p>
      <w:pPr>
        <w:ind w:left="540" w:right="200" w:hanging="535"/>
        <w:spacing w:after="0" w:line="257" w:lineRule="auto"/>
        <w:tabs>
          <w:tab w:leader="none" w:pos="540" w:val="left"/>
        </w:tabs>
        <w:numPr>
          <w:ilvl w:val="0"/>
          <w:numId w:val="10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Transfer entered into in respect of any Commitment or amount outstanding under this Agreement shall in no circumstances (including pursuant to paragraph (b) above) be made to a Conflicted Lender without the prior written consent of the Borrower (in its sole discretion). If requested to do so by a Lender, the Borrower shall as soon as reasonably practicable (but allowing a reasonable period of time for the Borrower to satisfy itself) confirm to that Lender whether or not a potential New Lender identified to the Borrower is a Conflicted Lender.</w:t>
      </w:r>
    </w:p>
    <w:p>
      <w:pPr>
        <w:spacing w:after="0" w:line="93" w:lineRule="exact"/>
        <w:rPr>
          <w:rFonts w:ascii="Arial" w:cs="Arial" w:eastAsia="Arial" w:hAnsi="Arial"/>
          <w:sz w:val="18"/>
          <w:szCs w:val="18"/>
          <w:color w:val="auto"/>
        </w:rPr>
      </w:pPr>
    </w:p>
    <w:p>
      <w:pPr>
        <w:ind w:left="540" w:right="20" w:hanging="535"/>
        <w:spacing w:after="0" w:line="277" w:lineRule="auto"/>
        <w:tabs>
          <w:tab w:leader="none" w:pos="540" w:val="left"/>
        </w:tabs>
        <w:numPr>
          <w:ilvl w:val="0"/>
          <w:numId w:val="1033"/>
        </w:numPr>
        <w:rPr>
          <w:rFonts w:ascii="Arial" w:cs="Arial" w:eastAsia="Arial" w:hAnsi="Arial"/>
          <w:sz w:val="18"/>
          <w:szCs w:val="18"/>
          <w:color w:val="auto"/>
        </w:rPr>
      </w:pPr>
      <w:r>
        <w:rPr>
          <w:rFonts w:ascii="Arial" w:cs="Arial" w:eastAsia="Arial" w:hAnsi="Arial"/>
          <w:sz w:val="18"/>
          <w:szCs w:val="18"/>
          <w:color w:val="auto"/>
        </w:rPr>
        <w:t>An assignment will only be effective if the procedure set out in Clause 25.6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is complied with and will only be effective on:</w:t>
      </w:r>
    </w:p>
    <w:p>
      <w:pPr>
        <w:spacing w:after="0" w:line="75" w:lineRule="exact"/>
        <w:rPr>
          <w:rFonts w:ascii="Arial" w:cs="Arial" w:eastAsia="Arial" w:hAnsi="Arial"/>
          <w:sz w:val="18"/>
          <w:szCs w:val="18"/>
          <w:color w:val="auto"/>
        </w:rPr>
      </w:pPr>
    </w:p>
    <w:p>
      <w:pPr>
        <w:ind w:left="1200" w:right="160" w:hanging="655"/>
        <w:spacing w:after="0" w:line="259" w:lineRule="auto"/>
        <w:tabs>
          <w:tab w:leader="none" w:pos="1200" w:val="left"/>
        </w:tabs>
        <w:numPr>
          <w:ilvl w:val="1"/>
          <w:numId w:val="1033"/>
        </w:numPr>
        <w:rPr>
          <w:rFonts w:ascii="Arial" w:cs="Arial" w:eastAsia="Arial" w:hAnsi="Arial"/>
          <w:sz w:val="18"/>
          <w:szCs w:val="18"/>
          <w:color w:val="auto"/>
        </w:rPr>
      </w:pPr>
      <w:r>
        <w:rPr>
          <w:rFonts w:ascii="Arial" w:cs="Arial" w:eastAsia="Arial" w:hAnsi="Arial"/>
          <w:sz w:val="18"/>
          <w:szCs w:val="18"/>
          <w:color w:val="auto"/>
        </w:rPr>
        <w:t>receipt by the Agent (whether in the Assignment Agreement and Lender Accession Undertaking or otherwise) of written confirmation from the New Lender (in form and substance satisfactory to the Agent) that the New Lender will assume the same obligations to the other Finance Parties and the other Secured Parties as it would have been under if it was an Original Lender;</w:t>
      </w:r>
    </w:p>
    <w:p>
      <w:pPr>
        <w:spacing w:after="0" w:line="92" w:lineRule="exact"/>
        <w:rPr>
          <w:rFonts w:ascii="Arial" w:cs="Arial" w:eastAsia="Arial" w:hAnsi="Arial"/>
          <w:sz w:val="18"/>
          <w:szCs w:val="18"/>
          <w:color w:val="auto"/>
        </w:rPr>
      </w:pPr>
    </w:p>
    <w:p>
      <w:pPr>
        <w:ind w:left="1200" w:hanging="655"/>
        <w:spacing w:after="0"/>
        <w:tabs>
          <w:tab w:leader="none" w:pos="1200" w:val="left"/>
        </w:tabs>
        <w:numPr>
          <w:ilvl w:val="1"/>
          <w:numId w:val="1033"/>
        </w:numPr>
        <w:rPr>
          <w:rFonts w:ascii="Arial" w:cs="Arial" w:eastAsia="Arial" w:hAnsi="Arial"/>
          <w:sz w:val="17"/>
          <w:szCs w:val="17"/>
          <w:color w:val="auto"/>
        </w:rPr>
      </w:pPr>
      <w:r>
        <w:rPr>
          <w:rFonts w:ascii="Arial" w:cs="Arial" w:eastAsia="Arial" w:hAnsi="Arial"/>
          <w:sz w:val="17"/>
          <w:szCs w:val="17"/>
          <w:color w:val="auto"/>
        </w:rPr>
        <w:t>the New Lender entering into the documentation required for it to accede as a party to the Intercreditor Agreement; and</w:t>
      </w:r>
    </w:p>
    <w:p>
      <w:pPr>
        <w:spacing w:after="0" w:line="142" w:lineRule="exact"/>
        <w:rPr>
          <w:rFonts w:ascii="Arial" w:cs="Arial" w:eastAsia="Arial" w:hAnsi="Arial"/>
          <w:sz w:val="17"/>
          <w:szCs w:val="17"/>
          <w:color w:val="auto"/>
        </w:rPr>
      </w:pPr>
    </w:p>
    <w:p>
      <w:pPr>
        <w:ind w:left="1200" w:right="220" w:hanging="655"/>
        <w:spacing w:after="0" w:line="263" w:lineRule="auto"/>
        <w:tabs>
          <w:tab w:leader="none" w:pos="1200" w:val="left"/>
        </w:tabs>
        <w:numPr>
          <w:ilvl w:val="1"/>
          <w:numId w:val="1033"/>
        </w:numPr>
        <w:rPr>
          <w:rFonts w:ascii="Arial" w:cs="Arial" w:eastAsia="Arial" w:hAnsi="Arial"/>
          <w:sz w:val="18"/>
          <w:szCs w:val="18"/>
          <w:color w:val="auto"/>
        </w:rPr>
      </w:pPr>
      <w:r>
        <w:rPr>
          <w:rFonts w:ascii="Arial" w:cs="Arial" w:eastAsia="Arial" w:hAnsi="Arial"/>
          <w:sz w:val="18"/>
          <w:szCs w:val="18"/>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89" w:lineRule="exact"/>
        <w:rPr>
          <w:rFonts w:ascii="Arial" w:cs="Arial" w:eastAsia="Arial" w:hAnsi="Arial"/>
          <w:sz w:val="18"/>
          <w:szCs w:val="18"/>
          <w:color w:val="auto"/>
        </w:rPr>
      </w:pPr>
    </w:p>
    <w:p>
      <w:pPr>
        <w:ind w:left="540" w:right="100" w:hanging="535"/>
        <w:spacing w:after="0" w:line="277" w:lineRule="auto"/>
        <w:tabs>
          <w:tab w:leader="none" w:pos="540" w:val="left"/>
        </w:tabs>
        <w:numPr>
          <w:ilvl w:val="0"/>
          <w:numId w:val="1033"/>
        </w:numPr>
        <w:rPr>
          <w:rFonts w:ascii="Arial" w:cs="Arial" w:eastAsia="Arial" w:hAnsi="Arial"/>
          <w:sz w:val="18"/>
          <w:szCs w:val="18"/>
          <w:color w:val="auto"/>
        </w:rPr>
      </w:pPr>
      <w:r>
        <w:rPr>
          <w:rFonts w:ascii="Arial" w:cs="Arial" w:eastAsia="Arial" w:hAnsi="Arial"/>
          <w:sz w:val="18"/>
          <w:szCs w:val="18"/>
          <w:color w:val="auto"/>
        </w:rPr>
        <w:t>A transfer will only be effective if the procedure set out in Clause 25.5 (</w:t>
      </w:r>
      <w:r>
        <w:rPr>
          <w:rFonts w:ascii="Arial" w:cs="Arial" w:eastAsia="Arial" w:hAnsi="Arial"/>
          <w:sz w:val="18"/>
          <w:szCs w:val="18"/>
          <w:i w:val="1"/>
          <w:iCs w:val="1"/>
          <w:color w:val="auto"/>
        </w:rPr>
        <w:t>Procedure for transfer</w:t>
      </w:r>
      <w:r>
        <w:rPr>
          <w:rFonts w:ascii="Arial" w:cs="Arial" w:eastAsia="Arial" w:hAnsi="Arial"/>
          <w:sz w:val="18"/>
          <w:szCs w:val="18"/>
          <w:color w:val="auto"/>
        </w:rPr>
        <w:t>) is complied with and the New Lender enters into the documentation required for it to accede as a party to the Intercreditor Agreement.</w:t>
      </w:r>
    </w:p>
    <w:p>
      <w:pPr>
        <w:spacing w:after="0" w:line="75" w:lineRule="exact"/>
        <w:rPr>
          <w:rFonts w:ascii="Arial" w:cs="Arial" w:eastAsia="Arial" w:hAnsi="Arial"/>
          <w:sz w:val="18"/>
          <w:szCs w:val="18"/>
          <w:color w:val="auto"/>
        </w:rPr>
      </w:pPr>
    </w:p>
    <w:p>
      <w:pPr>
        <w:ind w:left="540" w:right="160" w:hanging="535"/>
        <w:spacing w:after="0" w:line="259" w:lineRule="auto"/>
        <w:tabs>
          <w:tab w:leader="none" w:pos="540" w:val="left"/>
        </w:tabs>
        <w:numPr>
          <w:ilvl w:val="0"/>
          <w:numId w:val="1033"/>
        </w:numPr>
        <w:rPr>
          <w:rFonts w:ascii="Arial" w:cs="Arial" w:eastAsia="Arial" w:hAnsi="Arial"/>
          <w:sz w:val="18"/>
          <w:szCs w:val="18"/>
          <w:color w:val="auto"/>
        </w:rPr>
      </w:pPr>
      <w:r>
        <w:rPr>
          <w:rFonts w:ascii="Arial" w:cs="Arial" w:eastAsia="Arial" w:hAnsi="Arial"/>
          <w:sz w:val="18"/>
          <w:szCs w:val="18"/>
          <w:color w:val="auto"/>
        </w:rPr>
        <w:t>An Existing Lender may not assign or transfer any or all of its rights or obligations under the Finance Documents or change its Facility Office if such assignment or transfer would give rise to a requirement to prepay any Loan (or any part thereof) or cancel any Commitment (or any part thereof) pursuant to Clause 8.1 (</w:t>
      </w:r>
      <w:r>
        <w:rPr>
          <w:rFonts w:ascii="Arial" w:cs="Arial" w:eastAsia="Arial" w:hAnsi="Arial"/>
          <w:sz w:val="18"/>
          <w:szCs w:val="18"/>
          <w:i w:val="1"/>
          <w:iCs w:val="1"/>
          <w:color w:val="auto"/>
        </w:rPr>
        <w:t>Illegality</w:t>
      </w:r>
      <w:r>
        <w:rPr>
          <w:rFonts w:ascii="Arial" w:cs="Arial" w:eastAsia="Arial" w:hAnsi="Arial"/>
          <w:sz w:val="18"/>
          <w:szCs w:val="18"/>
          <w:color w:val="auto"/>
        </w:rPr>
        <w:t>) in relation to the New Lender or such Existing Lender acting through the new Facility Office.</w:t>
      </w:r>
    </w:p>
    <w:p>
      <w:pPr>
        <w:spacing w:after="0" w:line="92" w:lineRule="exact"/>
        <w:rPr>
          <w:rFonts w:ascii="Arial" w:cs="Arial" w:eastAsia="Arial" w:hAnsi="Arial"/>
          <w:sz w:val="18"/>
          <w:szCs w:val="18"/>
          <w:color w:val="auto"/>
        </w:rPr>
      </w:pPr>
    </w:p>
    <w:p>
      <w:pPr>
        <w:ind w:left="540" w:hanging="535"/>
        <w:spacing w:after="0"/>
        <w:tabs>
          <w:tab w:leader="none" w:pos="540" w:val="left"/>
        </w:tabs>
        <w:numPr>
          <w:ilvl w:val="0"/>
          <w:numId w:val="1033"/>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200" w:hanging="655"/>
        <w:spacing w:after="0"/>
        <w:tabs>
          <w:tab w:leader="none" w:pos="1200" w:val="left"/>
        </w:tabs>
        <w:numPr>
          <w:ilvl w:val="1"/>
          <w:numId w:val="1033"/>
        </w:numPr>
        <w:rPr>
          <w:rFonts w:ascii="Arial" w:cs="Arial" w:eastAsia="Arial" w:hAnsi="Arial"/>
          <w:sz w:val="16"/>
          <w:szCs w:val="16"/>
          <w:color w:val="auto"/>
        </w:rPr>
      </w:pPr>
      <w:r>
        <w:rPr>
          <w:rFonts w:ascii="Arial" w:cs="Arial" w:eastAsia="Arial" w:hAnsi="Arial"/>
          <w:sz w:val="16"/>
          <w:szCs w:val="16"/>
          <w:color w:val="auto"/>
        </w:rPr>
        <w:t>a Lender assigns or transfers any of its rights or obligations under the Finance Documents or changes its Facility Office; and</w:t>
      </w:r>
    </w:p>
    <w:p>
      <w:pPr>
        <w:spacing w:after="0" w:line="153" w:lineRule="exact"/>
        <w:rPr>
          <w:rFonts w:ascii="Arial" w:cs="Arial" w:eastAsia="Arial" w:hAnsi="Arial"/>
          <w:sz w:val="16"/>
          <w:szCs w:val="16"/>
          <w:color w:val="auto"/>
        </w:rPr>
      </w:pPr>
    </w:p>
    <w:p>
      <w:pPr>
        <w:ind w:left="1200" w:right="320" w:hanging="655"/>
        <w:spacing w:after="0" w:line="263" w:lineRule="auto"/>
        <w:tabs>
          <w:tab w:leader="none" w:pos="1200" w:val="left"/>
        </w:tabs>
        <w:numPr>
          <w:ilvl w:val="1"/>
          <w:numId w:val="1033"/>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or change occurs, an Obligor would be obliged to make a payment to the New Lender or Lender acting through its new Facility Office under Clause 15 (</w:t>
      </w:r>
      <w:r>
        <w:rPr>
          <w:rFonts w:ascii="Arial" w:cs="Arial" w:eastAsia="Arial" w:hAnsi="Arial"/>
          <w:sz w:val="18"/>
          <w:szCs w:val="18"/>
          <w:i w:val="1"/>
          <w:iCs w:val="1"/>
          <w:color w:val="auto"/>
        </w:rPr>
        <w:t>Tax gross-up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indemnities</w:t>
      </w:r>
      <w:r>
        <w:rPr>
          <w:rFonts w:ascii="Arial" w:cs="Arial" w:eastAsia="Arial" w:hAnsi="Arial"/>
          <w:sz w:val="18"/>
          <w:szCs w:val="18"/>
          <w:color w:val="auto"/>
        </w:rPr>
        <w:t>) or Clause 16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76" w:lineRule="exact"/>
        <w:rPr>
          <w:sz w:val="20"/>
          <w:szCs w:val="20"/>
          <w:color w:val="auto"/>
        </w:rPr>
      </w:pPr>
    </w:p>
    <w:p>
      <w:pPr>
        <w:jc w:val="both"/>
        <w:ind w:left="560" w:right="200"/>
        <w:spacing w:after="0" w:line="263"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spacing w:after="0" w:line="89" w:lineRule="exact"/>
        <w:rPr>
          <w:sz w:val="20"/>
          <w:szCs w:val="20"/>
          <w:color w:val="auto"/>
        </w:rPr>
      </w:pPr>
    </w:p>
    <w:p>
      <w:pPr>
        <w:ind w:left="540" w:right="60" w:hanging="535"/>
        <w:spacing w:after="0" w:line="257" w:lineRule="auto"/>
        <w:tabs>
          <w:tab w:leader="none" w:pos="540" w:val="left"/>
        </w:tabs>
        <w:numPr>
          <w:ilvl w:val="0"/>
          <w:numId w:val="1034"/>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or Assignment Agreement and Lender Accession Undertaking,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20"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04" w:name="page705"/>
    <w:bookmarkEnd w:id="704"/>
    <w:p>
      <w:pPr>
        <w:ind w:left="1300" w:right="20" w:hanging="535"/>
        <w:spacing w:after="0" w:line="272" w:lineRule="auto"/>
        <w:tabs>
          <w:tab w:leader="none" w:pos="1300" w:val="left"/>
        </w:tabs>
        <w:numPr>
          <w:ilvl w:val="0"/>
          <w:numId w:val="10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 Existing Lender assigns or transfers any of its rights or obligations under the Finance Documents to a New Lender, (A) such Existing Lender shall (unless agreed with such New Lender) bear its own fees, costs and expenses in connection with, or resulting from, such assignment or transfer (including any legal fees, taxes, notarial and security registration or perfection fees) and (B) no Obligor or any member of the Group will be required to pay to or for the account of such New Lender, or reimburse or indemnify such New Lender for, any fees, costs, Taxes, expenses, indemnity payments, Tax Payments, Increased Costs or other payments under a Finance Document in excess of what that Obligor would have been required to pay to such Existing Lender immediately prior to such transfer or assignment being effected, </w:t>
      </w:r>
      <w:r>
        <w:rPr>
          <w:rFonts w:ascii="Arial" w:cs="Arial" w:eastAsia="Arial" w:hAnsi="Arial"/>
          <w:sz w:val="17"/>
          <w:szCs w:val="17"/>
          <w:i w:val="1"/>
          <w:iCs w:val="1"/>
          <w:color w:val="auto"/>
        </w:rPr>
        <w:t>provided that</w:t>
      </w:r>
      <w:r>
        <w:rPr>
          <w:rFonts w:ascii="Arial" w:cs="Arial" w:eastAsia="Arial" w:hAnsi="Arial"/>
          <w:sz w:val="17"/>
          <w:szCs w:val="17"/>
          <w:color w:val="auto"/>
        </w:rPr>
        <w:t>, notwithstanding the foregoing:</w:t>
      </w:r>
    </w:p>
    <w:p>
      <w:pPr>
        <w:spacing w:after="0" w:line="82" w:lineRule="exact"/>
        <w:rPr>
          <w:rFonts w:ascii="Arial" w:cs="Arial" w:eastAsia="Arial" w:hAnsi="Arial"/>
          <w:sz w:val="17"/>
          <w:szCs w:val="17"/>
          <w:color w:val="auto"/>
        </w:rPr>
      </w:pPr>
    </w:p>
    <w:p>
      <w:pPr>
        <w:ind w:left="1960" w:right="120" w:hanging="655"/>
        <w:spacing w:after="0" w:line="277" w:lineRule="auto"/>
        <w:tabs>
          <w:tab w:leader="none" w:pos="1960" w:val="left"/>
        </w:tabs>
        <w:numPr>
          <w:ilvl w:val="1"/>
          <w:numId w:val="1035"/>
        </w:numPr>
        <w:rPr>
          <w:rFonts w:ascii="Arial" w:cs="Arial" w:eastAsia="Arial" w:hAnsi="Arial"/>
          <w:sz w:val="18"/>
          <w:szCs w:val="18"/>
          <w:color w:val="auto"/>
        </w:rPr>
      </w:pPr>
      <w:r>
        <w:rPr>
          <w:rFonts w:ascii="Arial" w:cs="Arial" w:eastAsia="Arial" w:hAnsi="Arial"/>
          <w:sz w:val="18"/>
          <w:szCs w:val="18"/>
          <w:color w:val="auto"/>
        </w:rPr>
        <w:t>the Borrower shall pay such New Lender in full any amount expressed to be payable by it to such New Lender under Clause 19.4 (</w:t>
      </w:r>
      <w:r>
        <w:rPr>
          <w:rFonts w:ascii="Arial" w:cs="Arial" w:eastAsia="Arial" w:hAnsi="Arial"/>
          <w:sz w:val="18"/>
          <w:szCs w:val="18"/>
          <w:i w:val="1"/>
          <w:iCs w:val="1"/>
          <w:color w:val="auto"/>
        </w:rPr>
        <w:t>Enforcement and preservation costs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960" w:right="40" w:hanging="655"/>
        <w:spacing w:after="0" w:line="286" w:lineRule="auto"/>
        <w:tabs>
          <w:tab w:leader="none" w:pos="1960" w:val="left"/>
        </w:tabs>
        <w:numPr>
          <w:ilvl w:val="1"/>
          <w:numId w:val="1035"/>
        </w:numPr>
        <w:rPr>
          <w:rFonts w:ascii="Arial" w:cs="Arial" w:eastAsia="Arial" w:hAnsi="Arial"/>
          <w:sz w:val="17"/>
          <w:szCs w:val="17"/>
          <w:color w:val="auto"/>
        </w:rPr>
      </w:pPr>
      <w:r>
        <w:rPr>
          <w:rFonts w:ascii="Arial" w:cs="Arial" w:eastAsia="Arial" w:hAnsi="Arial"/>
          <w:sz w:val="17"/>
          <w:szCs w:val="17"/>
          <w:color w:val="auto"/>
        </w:rPr>
        <w:t>in respect of costs, fees and expenses only, the amount thereof payable or reimbursable shall be calculated by reference to the amount of such costs, fees and expenses which such Obligor is able to demonstrate it would have been required to pay to such Existing Lender immediately prior to such transfer or assignment being effected.</w:t>
      </w:r>
    </w:p>
    <w:p>
      <w:pPr>
        <w:spacing w:after="0" w:line="70" w:lineRule="exact"/>
        <w:rPr>
          <w:rFonts w:ascii="Arial" w:cs="Arial" w:eastAsia="Arial" w:hAnsi="Arial"/>
          <w:sz w:val="17"/>
          <w:szCs w:val="17"/>
          <w:color w:val="auto"/>
        </w:rPr>
      </w:pPr>
    </w:p>
    <w:p>
      <w:pPr>
        <w:ind w:left="1300" w:right="300" w:hanging="535"/>
        <w:spacing w:after="0" w:line="277" w:lineRule="auto"/>
        <w:tabs>
          <w:tab w:leader="none" w:pos="130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The Agent shall, promptly upon request from the Borrower, provide to the Borrower information in reasonable detail regarding the identities and participations of each of the Lenders.</w:t>
      </w:r>
    </w:p>
    <w:p>
      <w:pPr>
        <w:spacing w:after="0" w:line="75" w:lineRule="exact"/>
        <w:rPr>
          <w:rFonts w:ascii="Arial" w:cs="Arial" w:eastAsia="Arial" w:hAnsi="Arial"/>
          <w:sz w:val="18"/>
          <w:szCs w:val="18"/>
          <w:color w:val="auto"/>
        </w:rPr>
      </w:pPr>
    </w:p>
    <w:p>
      <w:pPr>
        <w:ind w:left="1300" w:right="40" w:hanging="535"/>
        <w:spacing w:after="0" w:line="257" w:lineRule="auto"/>
        <w:tabs>
          <w:tab w:leader="none" w:pos="130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An Existing Lender will enter into a Confidentiality Undertaking with any potential New Lender (that is not already a Lender) prior to providing such New Lender with any information about the Finance Documents or the Group. This Confidentiality Undertaking may be amended, if necessary, to ensure that it is capable of being relied upon by the Borrower without requiring its signature, and may not be materially amended without the consent of the Borrower. A copy of that Confidentiality Undertaking must be provided to the Borrower promptly after being entered into.</w:t>
      </w:r>
    </w:p>
    <w:p>
      <w:pPr>
        <w:spacing w:after="0" w:line="3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6"/>
          <w:szCs w:val="16"/>
          <w:b w:val="1"/>
          <w:bCs w:val="1"/>
          <w:color w:val="auto"/>
        </w:rPr>
        <w:t>Assignment or transfer fee</w:t>
      </w:r>
    </w:p>
    <w:p>
      <w:pPr>
        <w:spacing w:after="0" w:line="121" w:lineRule="exact"/>
        <w:rPr>
          <w:sz w:val="20"/>
          <w:szCs w:val="20"/>
          <w:color w:val="auto"/>
        </w:rPr>
      </w:pPr>
    </w:p>
    <w:p>
      <w:pPr>
        <w:ind w:left="760" w:right="240"/>
        <w:spacing w:after="0" w:line="263" w:lineRule="auto"/>
        <w:rPr>
          <w:sz w:val="20"/>
          <w:szCs w:val="20"/>
          <w:color w:val="auto"/>
        </w:rPr>
      </w:pPr>
      <w:r>
        <w:rPr>
          <w:rFonts w:ascii="Arial" w:cs="Arial" w:eastAsia="Arial" w:hAnsi="Arial"/>
          <w:sz w:val="18"/>
          <w:szCs w:val="18"/>
          <w:color w:val="auto"/>
        </w:rPr>
        <w:t>Unless the Agent otherwise agrees and excluding an assignment or transfer (i) to an Affiliate of a Lender or (ii) to a Related Fund, the New Lender shall, on the date upon which an assignment, transfer or accession takes effect, pay to the Agent (for its own account) a fee of US$3,500 in respect of any New Lender.</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135" w:lineRule="exact"/>
        <w:rPr>
          <w:sz w:val="20"/>
          <w:szCs w:val="20"/>
          <w:color w:val="auto"/>
        </w:rPr>
      </w:pPr>
    </w:p>
    <w:p>
      <w:pPr>
        <w:ind w:left="1300" w:right="260" w:hanging="535"/>
        <w:spacing w:after="0" w:line="277" w:lineRule="auto"/>
        <w:tabs>
          <w:tab w:leader="none" w:pos="1300" w:val="left"/>
        </w:tabs>
        <w:numPr>
          <w:ilvl w:val="0"/>
          <w:numId w:val="1036"/>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75" w:lineRule="exact"/>
        <w:rPr>
          <w:rFonts w:ascii="Arial" w:cs="Arial" w:eastAsia="Arial" w:hAnsi="Arial"/>
          <w:sz w:val="18"/>
          <w:szCs w:val="18"/>
          <w:color w:val="auto"/>
        </w:rPr>
      </w:pPr>
    </w:p>
    <w:p>
      <w:pPr>
        <w:ind w:left="1960" w:right="60" w:hanging="655"/>
        <w:spacing w:after="0" w:line="277" w:lineRule="auto"/>
        <w:tabs>
          <w:tab w:leader="none" w:pos="1960" w:val="left"/>
        </w:tabs>
        <w:numPr>
          <w:ilvl w:val="1"/>
          <w:numId w:val="1036"/>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Transaction Documents, the Transaction Security or any other documents;</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1036"/>
        </w:numPr>
        <w:rPr>
          <w:rFonts w:ascii="Arial" w:cs="Arial" w:eastAsia="Arial" w:hAnsi="Arial"/>
          <w:sz w:val="18"/>
          <w:szCs w:val="18"/>
          <w:color w:val="auto"/>
        </w:rPr>
      </w:pPr>
      <w:r>
        <w:rPr>
          <w:rFonts w:ascii="Arial" w:cs="Arial" w:eastAsia="Arial" w:hAnsi="Arial"/>
          <w:sz w:val="18"/>
          <w:szCs w:val="18"/>
          <w:color w:val="auto"/>
        </w:rPr>
        <w:t>the financial condition or other circumstances of the Site or the Phase II Project, any Obligor or any other person;</w:t>
      </w:r>
    </w:p>
    <w:p>
      <w:pPr>
        <w:spacing w:after="0" w:line="130" w:lineRule="exact"/>
        <w:rPr>
          <w:rFonts w:ascii="Arial" w:cs="Arial" w:eastAsia="Arial" w:hAnsi="Arial"/>
          <w:sz w:val="18"/>
          <w:szCs w:val="18"/>
          <w:color w:val="auto"/>
        </w:rPr>
      </w:pPr>
    </w:p>
    <w:p>
      <w:pPr>
        <w:ind w:left="1960" w:right="240" w:hanging="655"/>
        <w:spacing w:after="0" w:line="277" w:lineRule="auto"/>
        <w:tabs>
          <w:tab w:leader="none" w:pos="1960" w:val="left"/>
        </w:tabs>
        <w:numPr>
          <w:ilvl w:val="1"/>
          <w:numId w:val="1036"/>
        </w:numPr>
        <w:rPr>
          <w:rFonts w:ascii="Arial" w:cs="Arial" w:eastAsia="Arial" w:hAnsi="Arial"/>
          <w:sz w:val="18"/>
          <w:szCs w:val="18"/>
          <w:color w:val="auto"/>
        </w:rPr>
      </w:pPr>
      <w:r>
        <w:rPr>
          <w:rFonts w:ascii="Arial" w:cs="Arial" w:eastAsia="Arial" w:hAnsi="Arial"/>
          <w:sz w:val="18"/>
          <w:szCs w:val="18"/>
          <w:color w:val="auto"/>
        </w:rPr>
        <w:t>the performance and observance by any Obligor or any other person of its obligations under the Transaction Documents or any other documents; or</w:t>
      </w:r>
    </w:p>
    <w:p>
      <w:pPr>
        <w:spacing w:after="0" w:line="103"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05" w:name="page706"/>
    <w:bookmarkEnd w:id="705"/>
    <w:p>
      <w:pPr>
        <w:ind w:left="1960" w:right="360" w:hanging="655"/>
        <w:spacing w:after="0" w:line="277" w:lineRule="auto"/>
        <w:tabs>
          <w:tab w:leader="none" w:pos="1960" w:val="left"/>
        </w:tabs>
        <w:numPr>
          <w:ilvl w:val="0"/>
          <w:numId w:val="10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accuracy of any statements (whether written or oral) made in or in connection with any Transaction Document or any other document, and</w:t>
      </w:r>
    </w:p>
    <w:p>
      <w:pPr>
        <w:spacing w:after="0" w:line="6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any representations or warranties implied by law are excluded.</w:t>
      </w:r>
    </w:p>
    <w:p>
      <w:pPr>
        <w:spacing w:after="0" w:line="131" w:lineRule="exact"/>
        <w:rPr>
          <w:sz w:val="20"/>
          <w:szCs w:val="20"/>
          <w:color w:val="auto"/>
        </w:rPr>
      </w:pPr>
    </w:p>
    <w:p>
      <w:pPr>
        <w:ind w:left="1300" w:hanging="535"/>
        <w:spacing w:after="0"/>
        <w:tabs>
          <w:tab w:leader="none" w:pos="1300" w:val="left"/>
        </w:tabs>
        <w:numPr>
          <w:ilvl w:val="0"/>
          <w:numId w:val="1038"/>
        </w:numPr>
        <w:rPr>
          <w:rFonts w:ascii="Arial" w:cs="Arial" w:eastAsia="Arial" w:hAnsi="Arial"/>
          <w:sz w:val="18"/>
          <w:szCs w:val="18"/>
          <w:color w:val="auto"/>
        </w:rPr>
      </w:pPr>
      <w:r>
        <w:rPr>
          <w:rFonts w:ascii="Arial" w:cs="Arial" w:eastAsia="Arial" w:hAnsi="Arial"/>
          <w:sz w:val="18"/>
          <w:szCs w:val="18"/>
          <w:color w:val="auto"/>
        </w:rPr>
        <w:t>Each New Lender confirms to the Existing Lender, the other Finance Parties and the Secured Parties that it:</w:t>
      </w:r>
    </w:p>
    <w:p>
      <w:pPr>
        <w:spacing w:after="0" w:line="130" w:lineRule="exact"/>
        <w:rPr>
          <w:rFonts w:ascii="Arial" w:cs="Arial" w:eastAsia="Arial" w:hAnsi="Arial"/>
          <w:sz w:val="18"/>
          <w:szCs w:val="18"/>
          <w:color w:val="auto"/>
        </w:rPr>
      </w:pPr>
    </w:p>
    <w:p>
      <w:pPr>
        <w:ind w:left="1960" w:right="20" w:hanging="655"/>
        <w:spacing w:after="0" w:line="301" w:lineRule="auto"/>
        <w:tabs>
          <w:tab w:leader="none" w:pos="1960" w:val="left"/>
        </w:tabs>
        <w:numPr>
          <w:ilvl w:val="1"/>
          <w:numId w:val="1038"/>
        </w:numPr>
        <w:rPr>
          <w:rFonts w:ascii="Arial" w:cs="Arial" w:eastAsia="Arial" w:hAnsi="Arial"/>
          <w:sz w:val="16"/>
          <w:szCs w:val="16"/>
          <w:color w:val="auto"/>
        </w:rPr>
      </w:pPr>
      <w:r>
        <w:rPr>
          <w:rFonts w:ascii="Arial" w:cs="Arial" w:eastAsia="Arial" w:hAnsi="Arial"/>
          <w:sz w:val="16"/>
          <w:szCs w:val="16"/>
          <w:color w:val="auto"/>
        </w:rPr>
        <w:t>has made (and shall continue to make) its own independent investigation and assessment of the financial and other condition, circumstances and affairs of the Site and the Phase II Project, each Obligor and its related entities in connection with its participation in this Agreement and has not relied exclusively on any information provided to it by the Existing Lender or any other Finance Party in connection with any Transaction Document or the Transaction Security; and</w:t>
      </w:r>
    </w:p>
    <w:p>
      <w:pPr>
        <w:spacing w:after="0" w:line="62" w:lineRule="exact"/>
        <w:rPr>
          <w:rFonts w:ascii="Arial" w:cs="Arial" w:eastAsia="Arial" w:hAnsi="Arial"/>
          <w:sz w:val="16"/>
          <w:szCs w:val="16"/>
          <w:color w:val="auto"/>
        </w:rPr>
      </w:pPr>
    </w:p>
    <w:p>
      <w:pPr>
        <w:ind w:left="1960" w:right="40" w:hanging="655"/>
        <w:spacing w:after="0" w:line="308" w:lineRule="auto"/>
        <w:tabs>
          <w:tab w:leader="none" w:pos="1960" w:val="left"/>
        </w:tabs>
        <w:numPr>
          <w:ilvl w:val="1"/>
          <w:numId w:val="1038"/>
        </w:numPr>
        <w:rPr>
          <w:rFonts w:ascii="Arial" w:cs="Arial" w:eastAsia="Arial" w:hAnsi="Arial"/>
          <w:sz w:val="17"/>
          <w:szCs w:val="17"/>
          <w:color w:val="auto"/>
        </w:rPr>
      </w:pPr>
      <w:r>
        <w:rPr>
          <w:rFonts w:ascii="Arial" w:cs="Arial" w:eastAsia="Arial" w:hAnsi="Arial"/>
          <w:sz w:val="17"/>
          <w:szCs w:val="17"/>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51" w:lineRule="exact"/>
        <w:rPr>
          <w:rFonts w:ascii="Arial" w:cs="Arial" w:eastAsia="Arial" w:hAnsi="Arial"/>
          <w:sz w:val="17"/>
          <w:szCs w:val="17"/>
          <w:color w:val="auto"/>
        </w:rPr>
      </w:pPr>
    </w:p>
    <w:p>
      <w:pPr>
        <w:ind w:left="1300" w:hanging="535"/>
        <w:spacing w:after="0"/>
        <w:tabs>
          <w:tab w:leader="none" w:pos="1300" w:val="left"/>
        </w:tabs>
        <w:numPr>
          <w:ilvl w:val="0"/>
          <w:numId w:val="1038"/>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130" w:lineRule="exact"/>
        <w:rPr>
          <w:rFonts w:ascii="Arial" w:cs="Arial" w:eastAsia="Arial" w:hAnsi="Arial"/>
          <w:sz w:val="18"/>
          <w:szCs w:val="18"/>
          <w:color w:val="auto"/>
        </w:rPr>
      </w:pPr>
    </w:p>
    <w:p>
      <w:pPr>
        <w:ind w:left="1960" w:right="280" w:hanging="655"/>
        <w:spacing w:after="0" w:line="277" w:lineRule="auto"/>
        <w:tabs>
          <w:tab w:leader="none" w:pos="1960" w:val="left"/>
        </w:tabs>
        <w:numPr>
          <w:ilvl w:val="1"/>
          <w:numId w:val="1038"/>
        </w:numPr>
        <w:rPr>
          <w:rFonts w:ascii="Arial" w:cs="Arial" w:eastAsia="Arial" w:hAnsi="Arial"/>
          <w:sz w:val="18"/>
          <w:szCs w:val="18"/>
          <w:color w:val="auto"/>
        </w:rPr>
      </w:pPr>
      <w:r>
        <w:rPr>
          <w:rFonts w:ascii="Arial" w:cs="Arial" w:eastAsia="Arial" w:hAnsi="Arial"/>
          <w:sz w:val="18"/>
          <w:szCs w:val="18"/>
          <w:color w:val="auto"/>
        </w:rPr>
        <w:t>accept a re-transfer or re-assignment from a New Lender of any of the rights and obligations assigned or transferred under this Clause 25; or</w:t>
      </w:r>
    </w:p>
    <w:p>
      <w:pPr>
        <w:spacing w:after="0" w:line="75" w:lineRule="exact"/>
        <w:rPr>
          <w:rFonts w:ascii="Arial" w:cs="Arial" w:eastAsia="Arial" w:hAnsi="Arial"/>
          <w:sz w:val="18"/>
          <w:szCs w:val="18"/>
          <w:color w:val="auto"/>
        </w:rPr>
      </w:pPr>
    </w:p>
    <w:p>
      <w:pPr>
        <w:ind w:left="1960" w:right="120" w:hanging="655"/>
        <w:spacing w:after="0" w:line="277" w:lineRule="auto"/>
        <w:tabs>
          <w:tab w:leader="none" w:pos="1960" w:val="left"/>
        </w:tabs>
        <w:numPr>
          <w:ilvl w:val="1"/>
          <w:numId w:val="1038"/>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Transaction Documents or otherwise.</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6"/>
          <w:szCs w:val="16"/>
          <w:b w:val="1"/>
          <w:bCs w:val="1"/>
          <w:color w:val="auto"/>
        </w:rPr>
        <w:t>Procedure for transfer</w:t>
      </w:r>
    </w:p>
    <w:p>
      <w:pPr>
        <w:spacing w:after="0" w:line="135" w:lineRule="exact"/>
        <w:rPr>
          <w:sz w:val="20"/>
          <w:szCs w:val="20"/>
          <w:color w:val="auto"/>
        </w:rPr>
      </w:pPr>
    </w:p>
    <w:p>
      <w:pPr>
        <w:ind w:left="1300" w:right="100" w:hanging="535"/>
        <w:spacing w:after="0" w:line="257" w:lineRule="auto"/>
        <w:tabs>
          <w:tab w:leader="none" w:pos="1300" w:val="left"/>
        </w:tabs>
        <w:numPr>
          <w:ilvl w:val="0"/>
          <w:numId w:val="1039"/>
        </w:numPr>
        <w:rPr>
          <w:rFonts w:ascii="Arial" w:cs="Arial" w:eastAsia="Arial" w:hAnsi="Arial"/>
          <w:sz w:val="18"/>
          <w:szCs w:val="18"/>
          <w:color w:val="auto"/>
        </w:rPr>
      </w:pPr>
      <w:r>
        <w:rPr>
          <w:rFonts w:ascii="Arial" w:cs="Arial" w:eastAsia="Arial" w:hAnsi="Arial"/>
          <w:sz w:val="18"/>
          <w:szCs w:val="18"/>
          <w:color w:val="auto"/>
        </w:rPr>
        <w:t>Subject to the conditions set out in Clause 25.2 (</w:t>
      </w:r>
      <w:r>
        <w:rPr>
          <w:rFonts w:ascii="Arial" w:cs="Arial" w:eastAsia="Arial" w:hAnsi="Arial"/>
          <w:sz w:val="18"/>
          <w:szCs w:val="18"/>
          <w:i w:val="1"/>
          <w:iCs w:val="1"/>
          <w:color w:val="auto"/>
        </w:rPr>
        <w:t>Conditions of assignment or transfer</w:t>
      </w:r>
      <w:r>
        <w:rPr>
          <w:rFonts w:ascii="Arial" w:cs="Arial" w:eastAsia="Arial" w:hAnsi="Arial"/>
          <w:sz w:val="18"/>
          <w:szCs w:val="18"/>
          <w:color w:val="auto"/>
        </w:rPr>
        <w:t>)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93" w:lineRule="exact"/>
        <w:rPr>
          <w:rFonts w:ascii="Arial" w:cs="Arial" w:eastAsia="Arial" w:hAnsi="Arial"/>
          <w:sz w:val="18"/>
          <w:szCs w:val="18"/>
          <w:color w:val="auto"/>
        </w:rPr>
      </w:pPr>
    </w:p>
    <w:p>
      <w:pPr>
        <w:ind w:left="1300" w:right="100" w:hanging="535"/>
        <w:spacing w:after="0" w:line="263" w:lineRule="auto"/>
        <w:tabs>
          <w:tab w:leader="none" w:pos="1300" w:val="left"/>
        </w:tabs>
        <w:numPr>
          <w:ilvl w:val="0"/>
          <w:numId w:val="1039"/>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other checks under all applicable laws and regulations in relation to the transfer to such New Lender.</w:t>
      </w:r>
    </w:p>
    <w:p>
      <w:pPr>
        <w:spacing w:after="0" w:line="89" w:lineRule="exact"/>
        <w:rPr>
          <w:rFonts w:ascii="Arial" w:cs="Arial" w:eastAsia="Arial" w:hAnsi="Arial"/>
          <w:sz w:val="18"/>
          <w:szCs w:val="18"/>
          <w:color w:val="auto"/>
        </w:rPr>
      </w:pPr>
    </w:p>
    <w:p>
      <w:pPr>
        <w:ind w:left="1300" w:hanging="535"/>
        <w:spacing w:after="0"/>
        <w:tabs>
          <w:tab w:leader="none" w:pos="1300" w:val="left"/>
        </w:tabs>
        <w:numPr>
          <w:ilvl w:val="0"/>
          <w:numId w:val="1039"/>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130" w:lineRule="exact"/>
        <w:rPr>
          <w:rFonts w:ascii="Arial" w:cs="Arial" w:eastAsia="Arial" w:hAnsi="Arial"/>
          <w:sz w:val="18"/>
          <w:szCs w:val="18"/>
          <w:color w:val="auto"/>
        </w:rPr>
      </w:pPr>
    </w:p>
    <w:p>
      <w:pPr>
        <w:ind w:left="1960" w:right="100" w:hanging="655"/>
        <w:spacing w:after="0" w:line="275" w:lineRule="auto"/>
        <w:tabs>
          <w:tab w:leader="none" w:pos="1960" w:val="left"/>
        </w:tabs>
        <w:numPr>
          <w:ilvl w:val="1"/>
          <w:numId w:val="1039"/>
        </w:numPr>
        <w:rPr>
          <w:rFonts w:ascii="Arial" w:cs="Arial" w:eastAsia="Arial" w:hAnsi="Arial"/>
          <w:sz w:val="17"/>
          <w:szCs w:val="17"/>
          <w:color w:val="auto"/>
        </w:rPr>
      </w:pPr>
      <w:r>
        <w:rPr>
          <w:rFonts w:ascii="Arial" w:cs="Arial" w:eastAsia="Arial" w:hAnsi="Arial"/>
          <w:sz w:val="17"/>
          <w:szCs w:val="17"/>
          <w:color w:val="auto"/>
        </w:rPr>
        <w:t>to the extent that in the Transfer Certificate the Existing Lender seeks to transfer by novation its rights and obligations under the Finance Documents and in respect of the Transaction Security, each of the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Arial" w:cs="Arial" w:eastAsia="Arial" w:hAnsi="Arial"/>
          <w:sz w:val="17"/>
          <w:szCs w:val="17"/>
          <w:b w:val="1"/>
          <w:bCs w:val="1"/>
          <w:color w:val="auto"/>
        </w:rPr>
        <w:t>Discharged Rights and Obligations</w:t>
      </w:r>
      <w:r>
        <w:rPr>
          <w:rFonts w:ascii="Arial" w:cs="Arial" w:eastAsia="Arial" w:hAnsi="Arial"/>
          <w:sz w:val="17"/>
          <w:szCs w:val="17"/>
          <w:color w:val="auto"/>
        </w:rPr>
        <w:t>”);</w:t>
      </w:r>
    </w:p>
    <w:p>
      <w:pPr>
        <w:spacing w:after="0" w:line="109"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06" w:name="page707"/>
    <w:bookmarkEnd w:id="706"/>
    <w:p>
      <w:pPr>
        <w:ind w:left="1960" w:right="140" w:hanging="655"/>
        <w:spacing w:after="0" w:line="311" w:lineRule="auto"/>
        <w:tabs>
          <w:tab w:leader="none" w:pos="1960" w:val="left"/>
        </w:tabs>
        <w:numPr>
          <w:ilvl w:val="0"/>
          <w:numId w:val="10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Obligors and the New Lender shall assume obligations towards one another and/or acquire rights against one another which differ from the Discharged Rights and Obligations only insofar as that Obligor or other member of the Group and the New Lender have assumed and/or acquired the same in place of that Obligor and the Existing Lender;</w:t>
      </w:r>
    </w:p>
    <w:p>
      <w:pPr>
        <w:spacing w:after="0" w:line="54" w:lineRule="exact"/>
        <w:rPr>
          <w:rFonts w:ascii="Arial" w:cs="Arial" w:eastAsia="Arial" w:hAnsi="Arial"/>
          <w:sz w:val="16"/>
          <w:szCs w:val="16"/>
          <w:color w:val="auto"/>
        </w:rPr>
      </w:pPr>
    </w:p>
    <w:p>
      <w:pPr>
        <w:ind w:left="1960" w:right="60" w:hanging="655"/>
        <w:spacing w:after="0" w:line="296" w:lineRule="auto"/>
        <w:tabs>
          <w:tab w:leader="none" w:pos="1960" w:val="left"/>
        </w:tabs>
        <w:numPr>
          <w:ilvl w:val="0"/>
          <w:numId w:val="1040"/>
        </w:numPr>
        <w:rPr>
          <w:rFonts w:ascii="Arial" w:cs="Arial" w:eastAsia="Arial" w:hAnsi="Arial"/>
          <w:sz w:val="16"/>
          <w:szCs w:val="16"/>
          <w:color w:val="auto"/>
        </w:rPr>
      </w:pPr>
      <w:r>
        <w:rPr>
          <w:rFonts w:ascii="Arial" w:cs="Arial" w:eastAsia="Arial" w:hAnsi="Arial"/>
          <w:sz w:val="16"/>
          <w:szCs w:val="16"/>
          <w:color w:val="auto"/>
        </w:rPr>
        <w:t>the Agent, the Common Security Agent, the POA Agent, the New Lender and the other Lenders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Agent, the Common Security Agent, the POA Agent and the Existing Lender shall each be released from further obligations to each other under the Finance Documents; and</w:t>
      </w:r>
    </w:p>
    <w:p>
      <w:pPr>
        <w:spacing w:after="0" w:line="66" w:lineRule="exact"/>
        <w:rPr>
          <w:rFonts w:ascii="Arial" w:cs="Arial" w:eastAsia="Arial" w:hAnsi="Arial"/>
          <w:sz w:val="16"/>
          <w:szCs w:val="16"/>
          <w:color w:val="auto"/>
        </w:rPr>
      </w:pPr>
    </w:p>
    <w:p>
      <w:pPr>
        <w:ind w:left="1960" w:hanging="655"/>
        <w:spacing w:after="0"/>
        <w:tabs>
          <w:tab w:leader="none" w:pos="1960" w:val="left"/>
        </w:tabs>
        <w:numPr>
          <w:ilvl w:val="0"/>
          <w:numId w:val="1040"/>
        </w:numPr>
        <w:rPr>
          <w:rFonts w:ascii="Arial" w:cs="Arial" w:eastAsia="Arial" w:hAnsi="Arial"/>
          <w:sz w:val="18"/>
          <w:szCs w:val="18"/>
          <w:color w:val="auto"/>
        </w:rPr>
      </w:pPr>
      <w:r>
        <w:rPr>
          <w:rFonts w:ascii="Arial" w:cs="Arial" w:eastAsia="Arial" w:hAnsi="Arial"/>
          <w:sz w:val="18"/>
          <w:szCs w:val="18"/>
          <w:color w:val="auto"/>
        </w:rPr>
        <w:t>the New Lender shall become a Party as a “Lender”.</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5"/>
          <w:szCs w:val="15"/>
          <w:b w:val="1"/>
          <w:bCs w:val="1"/>
          <w:color w:val="auto"/>
        </w:rPr>
        <w:t>Procedure for assignment</w:t>
      </w:r>
    </w:p>
    <w:p>
      <w:pPr>
        <w:spacing w:after="0" w:line="135" w:lineRule="exact"/>
        <w:rPr>
          <w:sz w:val="20"/>
          <w:szCs w:val="20"/>
          <w:color w:val="auto"/>
        </w:rPr>
      </w:pPr>
    </w:p>
    <w:p>
      <w:pPr>
        <w:ind w:left="1300" w:right="20" w:hanging="535"/>
        <w:spacing w:after="0" w:line="255" w:lineRule="auto"/>
        <w:tabs>
          <w:tab w:leader="none" w:pos="1300" w:val="left"/>
        </w:tabs>
        <w:numPr>
          <w:ilvl w:val="0"/>
          <w:numId w:val="1041"/>
        </w:numPr>
        <w:rPr>
          <w:rFonts w:ascii="Arial" w:cs="Arial" w:eastAsia="Arial" w:hAnsi="Arial"/>
          <w:sz w:val="18"/>
          <w:szCs w:val="18"/>
          <w:color w:val="auto"/>
        </w:rPr>
      </w:pPr>
      <w:r>
        <w:rPr>
          <w:rFonts w:ascii="Arial" w:cs="Arial" w:eastAsia="Arial" w:hAnsi="Arial"/>
          <w:sz w:val="18"/>
          <w:szCs w:val="18"/>
          <w:color w:val="auto"/>
        </w:rPr>
        <w:t>Subject to the conditions set out in Clause 25.2 (</w:t>
      </w:r>
      <w:r>
        <w:rPr>
          <w:rFonts w:ascii="Arial" w:cs="Arial" w:eastAsia="Arial" w:hAnsi="Arial"/>
          <w:sz w:val="18"/>
          <w:szCs w:val="18"/>
          <w:i w:val="1"/>
          <w:iCs w:val="1"/>
          <w:color w:val="auto"/>
        </w:rPr>
        <w:t>Conditions of assignment or transfer</w:t>
      </w:r>
      <w:r>
        <w:rPr>
          <w:rFonts w:ascii="Arial" w:cs="Arial" w:eastAsia="Arial" w:hAnsi="Arial"/>
          <w:sz w:val="18"/>
          <w:szCs w:val="18"/>
          <w:color w:val="auto"/>
        </w:rPr>
        <w:t>) an assignment may be effected in accordance with paragraph (c) below when the Agent executes an otherwise duly completed Assignment Agreement and Lender Accession Undertaking delivered to it by the Existing Lender and the New Lender. The Agent shall, subject to paragraph (d) below, as soon as reasonably practicable after receipt by it of a duly completed Assignment Agreement and Lender Accession Undertaking appearing on its face to comply with the terms of this Agreement and delivered in accordance with the terms of this Agreement, execute that Assignment Agreement and Lender Accession Undertaking.</w:t>
      </w:r>
    </w:p>
    <w:p>
      <w:pPr>
        <w:spacing w:after="0" w:line="97" w:lineRule="exact"/>
        <w:rPr>
          <w:rFonts w:ascii="Arial" w:cs="Arial" w:eastAsia="Arial" w:hAnsi="Arial"/>
          <w:sz w:val="18"/>
          <w:szCs w:val="18"/>
          <w:color w:val="auto"/>
        </w:rPr>
      </w:pPr>
    </w:p>
    <w:p>
      <w:pPr>
        <w:ind w:left="1300" w:right="100" w:hanging="535"/>
        <w:spacing w:after="0" w:line="263" w:lineRule="auto"/>
        <w:tabs>
          <w:tab w:leader="none" w:pos="1300" w:val="left"/>
        </w:tabs>
        <w:numPr>
          <w:ilvl w:val="0"/>
          <w:numId w:val="1041"/>
        </w:numPr>
        <w:rPr>
          <w:rFonts w:ascii="Arial" w:cs="Arial" w:eastAsia="Arial" w:hAnsi="Arial"/>
          <w:sz w:val="18"/>
          <w:szCs w:val="18"/>
          <w:color w:val="auto"/>
        </w:rPr>
      </w:pPr>
      <w:r>
        <w:rPr>
          <w:rFonts w:ascii="Arial" w:cs="Arial" w:eastAsia="Arial" w:hAnsi="Arial"/>
          <w:sz w:val="18"/>
          <w:szCs w:val="18"/>
          <w:color w:val="auto"/>
        </w:rPr>
        <w:t>The Agent shall only be obliged to execute an Assignment Agreement and Lender Accession Undertaking delivered to it by the Existing Lender and the New Lender upon its completion of all “know your customer” or other checks relating to any person that it is required to carry out in relation to the assignment to such New Lender.</w:t>
      </w:r>
    </w:p>
    <w:p>
      <w:pPr>
        <w:spacing w:after="0" w:line="89" w:lineRule="exact"/>
        <w:rPr>
          <w:rFonts w:ascii="Arial" w:cs="Arial" w:eastAsia="Arial" w:hAnsi="Arial"/>
          <w:sz w:val="18"/>
          <w:szCs w:val="18"/>
          <w:color w:val="auto"/>
        </w:rPr>
      </w:pPr>
    </w:p>
    <w:p>
      <w:pPr>
        <w:ind w:left="1300" w:hanging="535"/>
        <w:spacing w:after="0"/>
        <w:tabs>
          <w:tab w:leader="none" w:pos="1300" w:val="left"/>
        </w:tabs>
        <w:numPr>
          <w:ilvl w:val="0"/>
          <w:numId w:val="1041"/>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130" w:lineRule="exact"/>
        <w:rPr>
          <w:rFonts w:ascii="Arial" w:cs="Arial" w:eastAsia="Arial" w:hAnsi="Arial"/>
          <w:sz w:val="18"/>
          <w:szCs w:val="18"/>
          <w:color w:val="auto"/>
        </w:rPr>
      </w:pPr>
    </w:p>
    <w:p>
      <w:pPr>
        <w:ind w:left="1960" w:right="280" w:hanging="655"/>
        <w:spacing w:after="0" w:line="263" w:lineRule="auto"/>
        <w:tabs>
          <w:tab w:leader="none" w:pos="1960" w:val="left"/>
        </w:tabs>
        <w:numPr>
          <w:ilvl w:val="1"/>
          <w:numId w:val="1041"/>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its rights under the Finance Documents and in respect of the Transaction Security expressed to be the subject of the assignment in the Assignment Agreement and Lender Accession Undertaking;</w:t>
      </w:r>
    </w:p>
    <w:p>
      <w:pPr>
        <w:spacing w:after="0" w:line="85" w:lineRule="exact"/>
        <w:rPr>
          <w:rFonts w:ascii="Arial" w:cs="Arial" w:eastAsia="Arial" w:hAnsi="Arial"/>
          <w:sz w:val="18"/>
          <w:szCs w:val="18"/>
          <w:color w:val="auto"/>
        </w:rPr>
      </w:pPr>
    </w:p>
    <w:p>
      <w:pPr>
        <w:ind w:left="1960" w:right="180" w:hanging="655"/>
        <w:spacing w:after="0" w:line="266" w:lineRule="auto"/>
        <w:tabs>
          <w:tab w:leader="none" w:pos="1960" w:val="left"/>
        </w:tabs>
        <w:numPr>
          <w:ilvl w:val="1"/>
          <w:numId w:val="1041"/>
        </w:numPr>
        <w:rPr>
          <w:rFonts w:ascii="Arial" w:cs="Arial" w:eastAsia="Arial" w:hAnsi="Arial"/>
          <w:sz w:val="18"/>
          <w:szCs w:val="18"/>
          <w:color w:val="auto"/>
        </w:rPr>
      </w:pPr>
      <w:r>
        <w:rPr>
          <w:rFonts w:ascii="Arial" w:cs="Arial" w:eastAsia="Arial" w:hAnsi="Arial"/>
          <w:sz w:val="18"/>
          <w:szCs w:val="18"/>
          <w:color w:val="auto"/>
        </w:rPr>
        <w:t>the Existing Lender will be released from the obligations (the “</w:t>
      </w:r>
      <w:r>
        <w:rPr>
          <w:rFonts w:ascii="Arial" w:cs="Arial" w:eastAsia="Arial" w:hAnsi="Arial"/>
          <w:sz w:val="18"/>
          <w:szCs w:val="18"/>
          <w:b w:val="1"/>
          <w:bCs w:val="1"/>
          <w:color w:val="auto"/>
        </w:rPr>
        <w:t>Relevant Obligations</w:t>
      </w:r>
      <w:r>
        <w:rPr>
          <w:rFonts w:ascii="Arial" w:cs="Arial" w:eastAsia="Arial" w:hAnsi="Arial"/>
          <w:sz w:val="18"/>
          <w:szCs w:val="18"/>
          <w:color w:val="auto"/>
        </w:rPr>
        <w:t>”) expressed to be the subject of the release in the Assignment Agreement and Lender Accession Undertaking (and any corresponding obligations by which it is bound in respect of the Transaction Security); and</w:t>
      </w:r>
    </w:p>
    <w:p>
      <w:pPr>
        <w:spacing w:after="0" w:line="85" w:lineRule="exact"/>
        <w:rPr>
          <w:rFonts w:ascii="Arial" w:cs="Arial" w:eastAsia="Arial" w:hAnsi="Arial"/>
          <w:sz w:val="18"/>
          <w:szCs w:val="18"/>
          <w:color w:val="auto"/>
        </w:rPr>
      </w:pPr>
    </w:p>
    <w:p>
      <w:pPr>
        <w:ind w:left="1960" w:hanging="655"/>
        <w:spacing w:after="0"/>
        <w:tabs>
          <w:tab w:leader="none" w:pos="1960" w:val="left"/>
        </w:tabs>
        <w:numPr>
          <w:ilvl w:val="1"/>
          <w:numId w:val="1041"/>
        </w:numPr>
        <w:rPr>
          <w:rFonts w:ascii="Arial" w:cs="Arial" w:eastAsia="Arial" w:hAnsi="Arial"/>
          <w:sz w:val="16"/>
          <w:szCs w:val="16"/>
          <w:color w:val="auto"/>
        </w:rPr>
      </w:pPr>
      <w:r>
        <w:rPr>
          <w:rFonts w:ascii="Arial" w:cs="Arial" w:eastAsia="Arial" w:hAnsi="Arial"/>
          <w:sz w:val="16"/>
          <w:szCs w:val="16"/>
          <w:color w:val="auto"/>
        </w:rPr>
        <w:t>the New Lender shall become a Party as a “Lender” and will be bound by obligations equivalent to the Relevant Obligations.</w:t>
      </w:r>
    </w:p>
    <w:p>
      <w:pPr>
        <w:spacing w:after="0" w:line="153" w:lineRule="exact"/>
        <w:rPr>
          <w:rFonts w:ascii="Arial" w:cs="Arial" w:eastAsia="Arial" w:hAnsi="Arial"/>
          <w:sz w:val="16"/>
          <w:szCs w:val="16"/>
          <w:color w:val="auto"/>
        </w:rPr>
      </w:pPr>
    </w:p>
    <w:p>
      <w:pPr>
        <w:ind w:left="1300" w:right="600" w:hanging="535"/>
        <w:spacing w:after="0" w:line="308" w:lineRule="auto"/>
        <w:tabs>
          <w:tab w:leader="none" w:pos="1300" w:val="left"/>
        </w:tabs>
        <w:numPr>
          <w:ilvl w:val="0"/>
          <w:numId w:val="1041"/>
        </w:numPr>
        <w:rPr>
          <w:rFonts w:ascii="Arial" w:cs="Arial" w:eastAsia="Arial" w:hAnsi="Arial"/>
          <w:sz w:val="17"/>
          <w:szCs w:val="17"/>
          <w:color w:val="auto"/>
        </w:rPr>
      </w:pPr>
      <w:r>
        <w:rPr>
          <w:rFonts w:ascii="Arial" w:cs="Arial" w:eastAsia="Arial" w:hAnsi="Arial"/>
          <w:sz w:val="17"/>
          <w:szCs w:val="17"/>
          <w:color w:val="auto"/>
        </w:rPr>
        <w:t xml:space="preserve">Lenders may utilise procedures other than those set out in this Clause 25.6 to assign their rights under the Finance Documents,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they comply with the conditions set out in Clause 25.2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300" w:right="220" w:hanging="535"/>
        <w:spacing w:after="0" w:line="275" w:lineRule="auto"/>
        <w:tabs>
          <w:tab w:leader="none" w:pos="1300" w:val="left"/>
        </w:tabs>
        <w:numPr>
          <w:ilvl w:val="0"/>
          <w:numId w:val="1041"/>
        </w:numPr>
        <w:rPr>
          <w:rFonts w:ascii="Arial" w:cs="Arial" w:eastAsia="Arial" w:hAnsi="Arial"/>
          <w:sz w:val="17"/>
          <w:szCs w:val="17"/>
          <w:color w:val="auto"/>
        </w:rPr>
      </w:pPr>
      <w:r>
        <w:rPr>
          <w:rFonts w:ascii="Arial" w:cs="Arial" w:eastAsia="Arial" w:hAnsi="Arial"/>
          <w:sz w:val="17"/>
          <w:szCs w:val="17"/>
          <w:color w:val="auto"/>
        </w:rPr>
        <w:t>The procedure set out in this Clause 25.6 shall not apply to any right or obligation under any Finance Document (other than this Agreement) if and to the extent its terms, or any laws or regulations applicable thereto, provide for or require a different means of assignment of such right or release or assumption of such obligation or prohibit or restrict any assignment of such right or release or assumption of such obligation, unless such prohibition or restriction shall not be applicable to the relevant assignment, release or assumption or each condition of any applicable restriction shall have been satisfied.</w:t>
      </w:r>
    </w:p>
    <w:p>
      <w:pPr>
        <w:spacing w:after="0" w:line="109"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07" w:name="page708"/>
    <w:bookmarkEnd w:id="707"/>
    <w:p>
      <w:pPr>
        <w:ind w:left="4"/>
        <w:spacing w:after="0"/>
        <w:tabs>
          <w:tab w:leader="none" w:pos="7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25.7</w:t>
      </w:r>
      <w:r>
        <w:rPr>
          <w:sz w:val="20"/>
          <w:szCs w:val="20"/>
          <w:color w:val="auto"/>
        </w:rPr>
        <w:tab/>
      </w:r>
      <w:r>
        <w:rPr>
          <w:rFonts w:ascii="Arial" w:cs="Arial" w:eastAsia="Arial" w:hAnsi="Arial"/>
          <w:sz w:val="15"/>
          <w:szCs w:val="15"/>
          <w:b w:val="1"/>
          <w:bCs w:val="1"/>
          <w:color w:val="auto"/>
        </w:rPr>
        <w:t>Copy of assignments, transfer and accession documents to the Borrower and Parent</w:t>
      </w:r>
    </w:p>
    <w:p>
      <w:pPr>
        <w:spacing w:after="0" w:line="121" w:lineRule="exact"/>
        <w:rPr>
          <w:sz w:val="20"/>
          <w:szCs w:val="20"/>
          <w:color w:val="auto"/>
        </w:rPr>
      </w:pPr>
    </w:p>
    <w:p>
      <w:pPr>
        <w:jc w:val="both"/>
        <w:ind w:left="764" w:right="540"/>
        <w:spacing w:after="0" w:line="263" w:lineRule="auto"/>
        <w:rPr>
          <w:sz w:val="20"/>
          <w:szCs w:val="20"/>
          <w:color w:val="auto"/>
        </w:rPr>
      </w:pPr>
      <w:r>
        <w:rPr>
          <w:rFonts w:ascii="Arial" w:cs="Arial" w:eastAsia="Arial" w:hAnsi="Arial"/>
          <w:sz w:val="18"/>
          <w:szCs w:val="18"/>
          <w:color w:val="auto"/>
        </w:rPr>
        <w:t>The Agent shall, as soon as reasonably practicable after it has executed a Transfer Certificate or an Assignment Agreement and Lender Accession Undertaking, send to the Borrower and the Parent a copy of that Transfer Certificate or Assignment Agreement and Lender Accession Undertaking.</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25.8</w:t>
      </w:r>
      <w:r>
        <w:rPr>
          <w:sz w:val="20"/>
          <w:szCs w:val="20"/>
          <w:color w:val="auto"/>
        </w:rPr>
        <w:tab/>
      </w:r>
      <w:r>
        <w:rPr>
          <w:rFonts w:ascii="Arial" w:cs="Arial" w:eastAsia="Arial" w:hAnsi="Arial"/>
          <w:sz w:val="16"/>
          <w:szCs w:val="16"/>
          <w:b w:val="1"/>
          <w:bCs w:val="1"/>
          <w:color w:val="auto"/>
        </w:rPr>
        <w:t>Security interests over Lenders’ rights</w:t>
      </w:r>
    </w:p>
    <w:p>
      <w:pPr>
        <w:spacing w:after="0" w:line="121" w:lineRule="exact"/>
        <w:rPr>
          <w:sz w:val="20"/>
          <w:szCs w:val="20"/>
          <w:color w:val="auto"/>
        </w:rPr>
      </w:pPr>
    </w:p>
    <w:p>
      <w:pPr>
        <w:ind w:left="764" w:right="140"/>
        <w:spacing w:after="0" w:line="263" w:lineRule="auto"/>
        <w:rPr>
          <w:sz w:val="20"/>
          <w:szCs w:val="20"/>
          <w:color w:val="auto"/>
        </w:rPr>
      </w:pPr>
      <w:r>
        <w:rPr>
          <w:rFonts w:ascii="Arial" w:cs="Arial" w:eastAsia="Arial" w:hAnsi="Arial"/>
          <w:sz w:val="18"/>
          <w:szCs w:val="18"/>
          <w:color w:val="auto"/>
        </w:rPr>
        <w:t>In addition to the other rights provided to Lenders under this Clause 25,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spacing w:after="0" w:line="89" w:lineRule="exact"/>
        <w:rPr>
          <w:sz w:val="20"/>
          <w:szCs w:val="20"/>
          <w:color w:val="auto"/>
        </w:rPr>
      </w:pPr>
    </w:p>
    <w:p>
      <w:pPr>
        <w:ind w:left="1304" w:hanging="535"/>
        <w:spacing w:after="0"/>
        <w:tabs>
          <w:tab w:leader="none" w:pos="1304" w:val="left"/>
        </w:tabs>
        <w:numPr>
          <w:ilvl w:val="0"/>
          <w:numId w:val="1042"/>
        </w:numPr>
        <w:rPr>
          <w:rFonts w:ascii="Arial" w:cs="Arial" w:eastAsia="Arial" w:hAnsi="Arial"/>
          <w:sz w:val="18"/>
          <w:szCs w:val="18"/>
          <w:color w:val="auto"/>
        </w:rPr>
      </w:pPr>
      <w:r>
        <w:rPr>
          <w:rFonts w:ascii="Arial" w:cs="Arial" w:eastAsia="Arial" w:hAnsi="Arial"/>
          <w:sz w:val="18"/>
          <w:szCs w:val="18"/>
          <w:color w:val="auto"/>
        </w:rPr>
        <w:t>any charge, assignment or other Security to secure obligations to a federal reserve or central bank; and</w:t>
      </w:r>
    </w:p>
    <w:p>
      <w:pPr>
        <w:spacing w:after="0" w:line="130" w:lineRule="exact"/>
        <w:rPr>
          <w:rFonts w:ascii="Arial" w:cs="Arial" w:eastAsia="Arial" w:hAnsi="Arial"/>
          <w:sz w:val="18"/>
          <w:szCs w:val="18"/>
          <w:color w:val="auto"/>
        </w:rPr>
      </w:pPr>
    </w:p>
    <w:p>
      <w:pPr>
        <w:ind w:left="1304" w:right="440" w:hanging="535"/>
        <w:spacing w:after="0" w:line="342" w:lineRule="auto"/>
        <w:tabs>
          <w:tab w:leader="none" w:pos="1304" w:val="left"/>
        </w:tabs>
        <w:numPr>
          <w:ilvl w:val="0"/>
          <w:numId w:val="1042"/>
        </w:numPr>
        <w:rPr>
          <w:rFonts w:ascii="Arial" w:cs="Arial" w:eastAsia="Arial" w:hAnsi="Arial"/>
          <w:sz w:val="16"/>
          <w:szCs w:val="16"/>
          <w:color w:val="auto"/>
        </w:rPr>
      </w:pPr>
      <w:r>
        <w:rPr>
          <w:rFonts w:ascii="Arial" w:cs="Arial" w:eastAsia="Arial" w:hAnsi="Arial"/>
          <w:sz w:val="16"/>
          <w:szCs w:val="16"/>
          <w:color w:val="auto"/>
        </w:rPr>
        <w:t>in the case of any Lender which is a fund, any charge, assignment or other Security granted to any holders (or trustee or representatives of holders) of obligations owed, or securities issued, by that Lender as security for those obligations or securities,</w:t>
      </w:r>
    </w:p>
    <w:p>
      <w:pPr>
        <w:spacing w:after="0" w:line="16" w:lineRule="exact"/>
        <w:rPr>
          <w:sz w:val="20"/>
          <w:szCs w:val="20"/>
          <w:color w:val="auto"/>
        </w:rPr>
      </w:pPr>
    </w:p>
    <w:p>
      <w:pPr>
        <w:ind w:left="764"/>
        <w:spacing w:after="0"/>
        <w:rPr>
          <w:sz w:val="20"/>
          <w:szCs w:val="20"/>
          <w:color w:val="auto"/>
        </w:rPr>
      </w:pPr>
      <w:r>
        <w:rPr>
          <w:rFonts w:ascii="Arial" w:cs="Arial" w:eastAsia="Arial" w:hAnsi="Arial"/>
          <w:sz w:val="18"/>
          <w:szCs w:val="18"/>
          <w:color w:val="auto"/>
        </w:rPr>
        <w:t>except that no such charge, assignment or other Security shall:</w:t>
      </w:r>
    </w:p>
    <w:p>
      <w:pPr>
        <w:spacing w:after="0" w:line="252" w:lineRule="exact"/>
        <w:rPr>
          <w:sz w:val="20"/>
          <w:szCs w:val="20"/>
          <w:color w:val="auto"/>
        </w:rPr>
      </w:pPr>
    </w:p>
    <w:p>
      <w:pPr>
        <w:ind w:left="1964" w:right="40" w:hanging="655"/>
        <w:spacing w:after="0" w:line="277" w:lineRule="auto"/>
        <w:tabs>
          <w:tab w:leader="none" w:pos="1964" w:val="left"/>
        </w:tabs>
        <w:numPr>
          <w:ilvl w:val="0"/>
          <w:numId w:val="1043"/>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other Security for the Lender as a party to any of the Finance Documents; or</w:t>
      </w:r>
    </w:p>
    <w:p>
      <w:pPr>
        <w:spacing w:after="0" w:line="75" w:lineRule="exact"/>
        <w:rPr>
          <w:rFonts w:ascii="Arial" w:cs="Arial" w:eastAsia="Arial" w:hAnsi="Arial"/>
          <w:sz w:val="18"/>
          <w:szCs w:val="18"/>
          <w:color w:val="auto"/>
        </w:rPr>
      </w:pPr>
    </w:p>
    <w:p>
      <w:pPr>
        <w:ind w:left="1964" w:right="300" w:hanging="655"/>
        <w:spacing w:after="0" w:line="277" w:lineRule="auto"/>
        <w:tabs>
          <w:tab w:leader="none" w:pos="1964" w:val="left"/>
        </w:tabs>
        <w:numPr>
          <w:ilvl w:val="0"/>
          <w:numId w:val="1043"/>
        </w:numPr>
        <w:rPr>
          <w:rFonts w:ascii="Arial" w:cs="Arial" w:eastAsia="Arial" w:hAnsi="Arial"/>
          <w:sz w:val="18"/>
          <w:szCs w:val="18"/>
          <w:color w:val="auto"/>
        </w:rPr>
      </w:pPr>
      <w:r>
        <w:rPr>
          <w:rFonts w:ascii="Arial" w:cs="Arial" w:eastAsia="Arial" w:hAnsi="Arial"/>
          <w:sz w:val="18"/>
          <w:szCs w:val="18"/>
          <w:color w:val="auto"/>
        </w:rPr>
        <w:t>require any payments to be made by an Obligor or grant to any person any more extensive rights than those required to be made or granted to the relevant Lender under the Finance Documents.</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6"/>
          <w:szCs w:val="16"/>
          <w:b w:val="1"/>
          <w:bCs w:val="1"/>
          <w:color w:val="auto"/>
        </w:rPr>
        <w:t>Exclusion of Agent’s liability</w:t>
      </w:r>
    </w:p>
    <w:p>
      <w:pPr>
        <w:spacing w:after="0" w:line="121" w:lineRule="exact"/>
        <w:rPr>
          <w:sz w:val="20"/>
          <w:szCs w:val="20"/>
          <w:color w:val="auto"/>
        </w:rPr>
      </w:pPr>
    </w:p>
    <w:p>
      <w:pPr>
        <w:ind w:left="764" w:right="40"/>
        <w:spacing w:after="0" w:line="308" w:lineRule="auto"/>
        <w:rPr>
          <w:sz w:val="20"/>
          <w:szCs w:val="20"/>
          <w:color w:val="auto"/>
        </w:rPr>
      </w:pPr>
      <w:r>
        <w:rPr>
          <w:rFonts w:ascii="Arial" w:cs="Arial" w:eastAsia="Arial" w:hAnsi="Arial"/>
          <w:sz w:val="17"/>
          <w:szCs w:val="17"/>
          <w:color w:val="auto"/>
        </w:rPr>
        <w:t>In relation to any assignment or transfer pursuant to this Clause 25, each Party acknowledges and agrees that the Agent shall not be obliged to enquire as to the accuracy of any representation or warranty made by a New Lender in respect of its eligibility as a Lender.</w:t>
      </w:r>
    </w:p>
    <w:p>
      <w:pPr>
        <w:spacing w:after="0" w:line="291" w:lineRule="exact"/>
        <w:rPr>
          <w:sz w:val="20"/>
          <w:szCs w:val="20"/>
          <w:color w:val="auto"/>
        </w:rPr>
      </w:pPr>
    </w:p>
    <w:p>
      <w:pPr>
        <w:ind w:left="764" w:hanging="764"/>
        <w:spacing w:after="0"/>
        <w:tabs>
          <w:tab w:leader="none" w:pos="764" w:val="left"/>
        </w:tabs>
        <w:numPr>
          <w:ilvl w:val="0"/>
          <w:numId w:val="1044"/>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on Debt Purchase Transactions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6"/>
          <w:szCs w:val="16"/>
          <w:b w:val="1"/>
          <w:bCs w:val="1"/>
          <w:color w:val="auto"/>
        </w:rPr>
        <w:t>Prohibition on Debt Purchase Transactions by the Group</w:t>
      </w:r>
    </w:p>
    <w:p>
      <w:pPr>
        <w:spacing w:after="0" w:line="121" w:lineRule="exact"/>
        <w:rPr>
          <w:sz w:val="20"/>
          <w:szCs w:val="20"/>
          <w:color w:val="auto"/>
        </w:rPr>
      </w:pPr>
    </w:p>
    <w:p>
      <w:pPr>
        <w:ind w:left="764" w:right="40"/>
        <w:spacing w:after="0" w:line="263" w:lineRule="auto"/>
        <w:rPr>
          <w:sz w:val="20"/>
          <w:szCs w:val="20"/>
          <w:color w:val="auto"/>
        </w:rPr>
      </w:pPr>
      <w:r>
        <w:rPr>
          <w:rFonts w:ascii="Arial" w:cs="Arial" w:eastAsia="Arial" w:hAnsi="Arial"/>
          <w:sz w:val="18"/>
          <w:szCs w:val="18"/>
          <w:color w:val="auto"/>
        </w:rPr>
        <w:t>The Parent and Borrower shall not and shall procure that each other member of the Group shall not may (i) enter into any Debt Purchase Transaction or (ii) beneficially own all or any part of the share capital of a company that is a Lender or a party to a Debt Purchase Transaction of the type referred to in paragraphs (b) or (c) of the definition of “Debt Purchase Transaction”.</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b w:val="1"/>
          <w:bCs w:val="1"/>
          <w:color w:val="auto"/>
        </w:rPr>
        <w:t>Disenfranchisement on Debt Purchase Transactions entered into by Sponsor Affiliates</w:t>
      </w:r>
    </w:p>
    <w:p>
      <w:pPr>
        <w:spacing w:after="0" w:line="135" w:lineRule="exact"/>
        <w:rPr>
          <w:sz w:val="20"/>
          <w:szCs w:val="20"/>
          <w:color w:val="auto"/>
        </w:rPr>
      </w:pPr>
    </w:p>
    <w:p>
      <w:pPr>
        <w:ind w:left="1304" w:hanging="535"/>
        <w:spacing w:after="0"/>
        <w:tabs>
          <w:tab w:leader="none" w:pos="1304" w:val="left"/>
        </w:tabs>
        <w:numPr>
          <w:ilvl w:val="0"/>
          <w:numId w:val="1045"/>
        </w:numPr>
        <w:rPr>
          <w:rFonts w:ascii="Arial" w:cs="Arial" w:eastAsia="Arial" w:hAnsi="Arial"/>
          <w:sz w:val="18"/>
          <w:szCs w:val="18"/>
          <w:color w:val="auto"/>
        </w:rPr>
      </w:pPr>
      <w:r>
        <w:rPr>
          <w:rFonts w:ascii="Arial" w:cs="Arial" w:eastAsia="Arial" w:hAnsi="Arial"/>
          <w:sz w:val="18"/>
          <w:szCs w:val="18"/>
          <w:color w:val="auto"/>
        </w:rPr>
        <w:t>For so long as a Sponsor Affiliate:</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1045"/>
        </w:numPr>
        <w:rPr>
          <w:rFonts w:ascii="Arial" w:cs="Arial" w:eastAsia="Arial" w:hAnsi="Arial"/>
          <w:sz w:val="18"/>
          <w:szCs w:val="18"/>
          <w:color w:val="auto"/>
        </w:rPr>
      </w:pPr>
      <w:r>
        <w:rPr>
          <w:rFonts w:ascii="Arial" w:cs="Arial" w:eastAsia="Arial" w:hAnsi="Arial"/>
          <w:sz w:val="18"/>
          <w:szCs w:val="18"/>
          <w:color w:val="auto"/>
        </w:rPr>
        <w:t>beneficially owns a Commitment; or</w:t>
      </w:r>
    </w:p>
    <w:p>
      <w:pPr>
        <w:spacing w:after="0" w:line="158"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08" w:name="page709"/>
    <w:bookmarkEnd w:id="708"/>
    <w:p>
      <w:pPr>
        <w:ind w:left="1200" w:right="640" w:hanging="655"/>
        <w:spacing w:after="0" w:line="308" w:lineRule="auto"/>
        <w:tabs>
          <w:tab w:leader="none" w:pos="1200" w:val="left"/>
        </w:tabs>
        <w:numPr>
          <w:ilvl w:val="0"/>
          <w:numId w:val="10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entered into a sub-participation agreement relating to a Commitment or other agreement or arrangement having a substantially similar economic effect and such agreement or arrangement has not been terminated,</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ascertaining:</w:t>
      </w:r>
    </w:p>
    <w:p>
      <w:pPr>
        <w:spacing w:after="0" w:line="131" w:lineRule="exact"/>
        <w:rPr>
          <w:sz w:val="20"/>
          <w:szCs w:val="20"/>
          <w:color w:val="auto"/>
        </w:rPr>
      </w:pPr>
    </w:p>
    <w:p>
      <w:pPr>
        <w:ind w:left="1740" w:hanging="533"/>
        <w:spacing w:after="0"/>
        <w:tabs>
          <w:tab w:leader="none" w:pos="1740" w:val="left"/>
        </w:tabs>
        <w:numPr>
          <w:ilvl w:val="0"/>
          <w:numId w:val="1047"/>
        </w:numPr>
        <w:rPr>
          <w:rFonts w:ascii="Arial" w:cs="Arial" w:eastAsia="Arial" w:hAnsi="Arial"/>
          <w:sz w:val="18"/>
          <w:szCs w:val="18"/>
          <w:color w:val="auto"/>
        </w:rPr>
      </w:pPr>
      <w:r>
        <w:rPr>
          <w:rFonts w:ascii="Arial" w:cs="Arial" w:eastAsia="Arial" w:hAnsi="Arial"/>
          <w:sz w:val="18"/>
          <w:szCs w:val="18"/>
          <w:color w:val="auto"/>
        </w:rPr>
        <w:t>the Majority Lenders; or</w:t>
      </w:r>
    </w:p>
    <w:p>
      <w:pPr>
        <w:spacing w:after="0" w:line="130" w:lineRule="exact"/>
        <w:rPr>
          <w:rFonts w:ascii="Arial" w:cs="Arial" w:eastAsia="Arial" w:hAnsi="Arial"/>
          <w:sz w:val="18"/>
          <w:szCs w:val="18"/>
          <w:color w:val="auto"/>
        </w:rPr>
      </w:pPr>
    </w:p>
    <w:p>
      <w:pPr>
        <w:ind w:left="1740" w:hanging="533"/>
        <w:spacing w:after="0"/>
        <w:tabs>
          <w:tab w:leader="none" w:pos="1740" w:val="left"/>
        </w:tabs>
        <w:numPr>
          <w:ilvl w:val="0"/>
          <w:numId w:val="1047"/>
        </w:numPr>
        <w:rPr>
          <w:rFonts w:ascii="Arial" w:cs="Arial" w:eastAsia="Arial" w:hAnsi="Arial"/>
          <w:sz w:val="18"/>
          <w:szCs w:val="18"/>
          <w:color w:val="auto"/>
        </w:rPr>
      </w:pPr>
      <w:r>
        <w:rPr>
          <w:rFonts w:ascii="Arial" w:cs="Arial" w:eastAsia="Arial" w:hAnsi="Arial"/>
          <w:sz w:val="18"/>
          <w:szCs w:val="18"/>
          <w:color w:val="auto"/>
        </w:rPr>
        <w:t>whether:</w:t>
      </w:r>
    </w:p>
    <w:p>
      <w:pPr>
        <w:spacing w:after="0" w:line="130" w:lineRule="exact"/>
        <w:rPr>
          <w:rFonts w:ascii="Arial" w:cs="Arial" w:eastAsia="Arial" w:hAnsi="Arial"/>
          <w:sz w:val="18"/>
          <w:szCs w:val="18"/>
          <w:color w:val="auto"/>
        </w:rPr>
      </w:pPr>
    </w:p>
    <w:p>
      <w:pPr>
        <w:ind w:left="2400" w:right="220" w:hanging="640"/>
        <w:spacing w:after="0" w:line="277" w:lineRule="auto"/>
        <w:tabs>
          <w:tab w:leader="none" w:pos="2400" w:val="left"/>
        </w:tabs>
        <w:numPr>
          <w:ilvl w:val="1"/>
          <w:numId w:val="1047"/>
        </w:numPr>
        <w:rPr>
          <w:rFonts w:ascii="Arial" w:cs="Arial" w:eastAsia="Arial" w:hAnsi="Arial"/>
          <w:sz w:val="18"/>
          <w:szCs w:val="18"/>
          <w:color w:val="auto"/>
        </w:rPr>
      </w:pPr>
      <w:r>
        <w:rPr>
          <w:rFonts w:ascii="Arial" w:cs="Arial" w:eastAsia="Arial" w:hAnsi="Arial"/>
          <w:sz w:val="18"/>
          <w:szCs w:val="18"/>
          <w:color w:val="auto"/>
        </w:rPr>
        <w:t>any given percentage (other than in relation to decisions requiring the consent of all of the Lenders) of the Total Commitments; or</w:t>
      </w:r>
    </w:p>
    <w:p>
      <w:pPr>
        <w:spacing w:after="0" w:line="75" w:lineRule="exact"/>
        <w:rPr>
          <w:rFonts w:ascii="Arial" w:cs="Arial" w:eastAsia="Arial" w:hAnsi="Arial"/>
          <w:sz w:val="18"/>
          <w:szCs w:val="18"/>
          <w:color w:val="auto"/>
        </w:rPr>
      </w:pPr>
    </w:p>
    <w:p>
      <w:pPr>
        <w:ind w:left="2400" w:right="100" w:hanging="640"/>
        <w:spacing w:after="0" w:line="277" w:lineRule="auto"/>
        <w:tabs>
          <w:tab w:leader="none" w:pos="2400" w:val="left"/>
        </w:tabs>
        <w:numPr>
          <w:ilvl w:val="1"/>
          <w:numId w:val="1047"/>
        </w:numPr>
        <w:rPr>
          <w:rFonts w:ascii="Arial" w:cs="Arial" w:eastAsia="Arial" w:hAnsi="Arial"/>
          <w:sz w:val="18"/>
          <w:szCs w:val="18"/>
          <w:color w:val="auto"/>
        </w:rPr>
      </w:pPr>
      <w:r>
        <w:rPr>
          <w:rFonts w:ascii="Arial" w:cs="Arial" w:eastAsia="Arial" w:hAnsi="Arial"/>
          <w:sz w:val="18"/>
          <w:szCs w:val="18"/>
          <w:color w:val="auto"/>
        </w:rPr>
        <w:t>the agreement of any specified group of Lenders (other than in relation to decisions requiring the consent of all of the Lenders),</w:t>
      </w:r>
    </w:p>
    <w:p>
      <w:pPr>
        <w:spacing w:after="0" w:line="62" w:lineRule="exact"/>
        <w:rPr>
          <w:sz w:val="20"/>
          <w:szCs w:val="20"/>
          <w:color w:val="auto"/>
        </w:rPr>
      </w:pPr>
    </w:p>
    <w:p>
      <w:pPr>
        <w:ind w:left="1760" w:right="740"/>
        <w:spacing w:after="0" w:line="277" w:lineRule="auto"/>
        <w:rPr>
          <w:sz w:val="20"/>
          <w:szCs w:val="20"/>
          <w:color w:val="auto"/>
        </w:rPr>
      </w:pPr>
      <w:r>
        <w:rPr>
          <w:rFonts w:ascii="Arial" w:cs="Arial" w:eastAsia="Arial" w:hAnsi="Arial"/>
          <w:sz w:val="18"/>
          <w:szCs w:val="18"/>
          <w:color w:val="auto"/>
        </w:rPr>
        <w:t>has been obtained to approve any request for a consent, waiver, amendment or other vote under the Finance Documents,</w:t>
      </w:r>
    </w:p>
    <w:p>
      <w:pPr>
        <w:spacing w:after="0" w:line="62" w:lineRule="exact"/>
        <w:rPr>
          <w:sz w:val="20"/>
          <w:szCs w:val="20"/>
          <w:color w:val="auto"/>
        </w:rPr>
      </w:pPr>
    </w:p>
    <w:p>
      <w:pPr>
        <w:ind w:left="560" w:right="80"/>
        <w:spacing w:after="0" w:line="271" w:lineRule="auto"/>
        <w:rPr>
          <w:sz w:val="20"/>
          <w:szCs w:val="20"/>
          <w:color w:val="auto"/>
        </w:rPr>
      </w:pPr>
      <w:r>
        <w:rPr>
          <w:rFonts w:ascii="Arial" w:cs="Arial" w:eastAsia="Arial" w:hAnsi="Arial"/>
          <w:sz w:val="17"/>
          <w:szCs w:val="17"/>
          <w:color w:val="auto"/>
        </w:rPr>
        <w:t xml:space="preserve">such Commitment shall be deemed to be zero and such Sponsor Affiliate or the person with whom it has entered into such sub-participation, other agreement or arrangement shall be deemed not to be a Lender for the purposes of paragraphs (A) and (B) above (unless in the case of a person not being a Sponsor Affiliate it is a Lender by virtue otherwise than by beneficially owning the relevant Commitment),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consent, waiver, amendment or other vote is not materially detrimental (in comparison to the other Lenders) to the rights and/or interests of that Sponsor Affiliate solely in its capacity as a Lender (and, for the avoidance of doubt, excluding its interests as a holder of equity in the Borrower (whether directly or indirectly)), and each Sponsor Affiliate upon becoming a Party expressly agrees and acknowledges that the operation of this Clause 26.2 shall not of itself be so detrimental to it in comparison to the other Lenders or otherwise; and</w:t>
      </w:r>
    </w:p>
    <w:p>
      <w:pPr>
        <w:spacing w:after="0" w:line="84" w:lineRule="exact"/>
        <w:rPr>
          <w:sz w:val="20"/>
          <w:szCs w:val="20"/>
          <w:color w:val="auto"/>
        </w:rPr>
      </w:pPr>
    </w:p>
    <w:p>
      <w:pPr>
        <w:ind w:left="540" w:right="140" w:hanging="535"/>
        <w:spacing w:after="0" w:line="279" w:lineRule="auto"/>
        <w:tabs>
          <w:tab w:leader="none" w:pos="540" w:val="left"/>
        </w:tabs>
        <w:numPr>
          <w:ilvl w:val="0"/>
          <w:numId w:val="1048"/>
        </w:numPr>
        <w:rPr>
          <w:rFonts w:ascii="Arial" w:cs="Arial" w:eastAsia="Arial" w:hAnsi="Arial"/>
          <w:sz w:val="17"/>
          <w:szCs w:val="17"/>
          <w:color w:val="auto"/>
        </w:rPr>
      </w:pPr>
      <w:r>
        <w:rPr>
          <w:rFonts w:ascii="Arial" w:cs="Arial" w:eastAsia="Arial" w:hAnsi="Arial"/>
          <w:sz w:val="17"/>
          <w:szCs w:val="17"/>
          <w:color w:val="auto"/>
        </w:rPr>
        <w:t>Each Lender shall, unless such Debt Purchase Transaction is an assignment or transfer, promptly notify the Agent in writing if it knowingly enters into a Debt Purchase Transaction with a Sponsor Affiliate (a “</w:t>
      </w:r>
      <w:r>
        <w:rPr>
          <w:rFonts w:ascii="Arial" w:cs="Arial" w:eastAsia="Arial" w:hAnsi="Arial"/>
          <w:sz w:val="17"/>
          <w:szCs w:val="17"/>
          <w:b w:val="1"/>
          <w:bCs w:val="1"/>
          <w:color w:val="auto"/>
        </w:rPr>
        <w:t>Notifiable Debt Purchase Transaction</w:t>
      </w:r>
      <w:r>
        <w:rPr>
          <w:rFonts w:ascii="Arial" w:cs="Arial" w:eastAsia="Arial" w:hAnsi="Arial"/>
          <w:sz w:val="17"/>
          <w:szCs w:val="17"/>
          <w:color w:val="auto"/>
        </w:rPr>
        <w:t>”), such notification to be substantially in the form set out in Part 1 of Schedule 8 (</w:t>
      </w:r>
      <w:r>
        <w:rPr>
          <w:rFonts w:ascii="Arial" w:cs="Arial" w:eastAsia="Arial" w:hAnsi="Arial"/>
          <w:sz w:val="17"/>
          <w:szCs w:val="17"/>
          <w:i w:val="1"/>
          <w:iCs w:val="1"/>
          <w:color w:val="auto"/>
        </w:rPr>
        <w:t>Forms of Notifiable Debt Purchase Transaction Notice</w:t>
      </w:r>
      <w:r>
        <w:rPr>
          <w:rFonts w:ascii="Arial" w:cs="Arial" w:eastAsia="Arial" w:hAnsi="Arial"/>
          <w:sz w:val="17"/>
          <w:szCs w:val="17"/>
          <w:color w:val="auto"/>
        </w:rPr>
        <w:t>). A Lender shall promptly notify the Agent if a Notifiable Debt Purchase Transaction to which it is a party:</w:t>
      </w:r>
    </w:p>
    <w:p>
      <w:pPr>
        <w:spacing w:after="0" w:line="76" w:lineRule="exact"/>
        <w:rPr>
          <w:rFonts w:ascii="Arial" w:cs="Arial" w:eastAsia="Arial" w:hAnsi="Arial"/>
          <w:sz w:val="17"/>
          <w:szCs w:val="17"/>
          <w:color w:val="auto"/>
        </w:rPr>
      </w:pPr>
    </w:p>
    <w:p>
      <w:pPr>
        <w:ind w:left="1200" w:hanging="655"/>
        <w:spacing w:after="0"/>
        <w:tabs>
          <w:tab w:leader="none" w:pos="1200" w:val="left"/>
        </w:tabs>
        <w:numPr>
          <w:ilvl w:val="1"/>
          <w:numId w:val="1048"/>
        </w:numPr>
        <w:rPr>
          <w:rFonts w:ascii="Arial" w:cs="Arial" w:eastAsia="Arial" w:hAnsi="Arial"/>
          <w:sz w:val="18"/>
          <w:szCs w:val="18"/>
          <w:color w:val="auto"/>
        </w:rPr>
      </w:pPr>
      <w:r>
        <w:rPr>
          <w:rFonts w:ascii="Arial" w:cs="Arial" w:eastAsia="Arial" w:hAnsi="Arial"/>
          <w:sz w:val="18"/>
          <w:szCs w:val="18"/>
          <w:color w:val="auto"/>
        </w:rPr>
        <w:t>is terminated; or</w:t>
      </w:r>
    </w:p>
    <w:p>
      <w:pPr>
        <w:spacing w:after="0" w:line="130" w:lineRule="exact"/>
        <w:rPr>
          <w:rFonts w:ascii="Arial" w:cs="Arial" w:eastAsia="Arial" w:hAnsi="Arial"/>
          <w:sz w:val="18"/>
          <w:szCs w:val="18"/>
          <w:color w:val="auto"/>
        </w:rPr>
      </w:pPr>
    </w:p>
    <w:p>
      <w:pPr>
        <w:ind w:left="1200" w:hanging="655"/>
        <w:spacing w:after="0"/>
        <w:tabs>
          <w:tab w:leader="none" w:pos="1200" w:val="left"/>
        </w:tabs>
        <w:numPr>
          <w:ilvl w:val="1"/>
          <w:numId w:val="1048"/>
        </w:numPr>
        <w:rPr>
          <w:rFonts w:ascii="Arial" w:cs="Arial" w:eastAsia="Arial" w:hAnsi="Arial"/>
          <w:sz w:val="18"/>
          <w:szCs w:val="18"/>
          <w:color w:val="auto"/>
        </w:rPr>
      </w:pPr>
      <w:r>
        <w:rPr>
          <w:rFonts w:ascii="Arial" w:cs="Arial" w:eastAsia="Arial" w:hAnsi="Arial"/>
          <w:sz w:val="18"/>
          <w:szCs w:val="18"/>
          <w:color w:val="auto"/>
        </w:rPr>
        <w:t>ceases to be with a Sponsor Affiliate,</w:t>
      </w:r>
    </w:p>
    <w:p>
      <w:pPr>
        <w:spacing w:after="0" w:line="117"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color w:val="auto"/>
        </w:rPr>
        <w:t>such notification to be substantially in the form set out in Part 2 of Schedule 8 (</w:t>
      </w:r>
      <w:r>
        <w:rPr>
          <w:rFonts w:ascii="Arial" w:cs="Arial" w:eastAsia="Arial" w:hAnsi="Arial"/>
          <w:sz w:val="18"/>
          <w:szCs w:val="18"/>
          <w:i w:val="1"/>
          <w:iCs w:val="1"/>
          <w:color w:val="auto"/>
        </w:rPr>
        <w:t>Forms of Notifiable Debt Purchase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Notice</w:t>
      </w:r>
      <w:r>
        <w:rPr>
          <w:rFonts w:ascii="Arial" w:cs="Arial" w:eastAsia="Arial" w:hAnsi="Arial"/>
          <w:sz w:val="18"/>
          <w:szCs w:val="18"/>
          <w:color w:val="auto"/>
        </w:rPr>
        <w:t>)).</w:t>
      </w:r>
    </w:p>
    <w:p>
      <w:pPr>
        <w:spacing w:after="0" w:line="76" w:lineRule="exact"/>
        <w:rPr>
          <w:sz w:val="20"/>
          <w:szCs w:val="20"/>
          <w:color w:val="auto"/>
        </w:rPr>
      </w:pPr>
    </w:p>
    <w:p>
      <w:pPr>
        <w:ind w:left="540" w:hanging="535"/>
        <w:spacing w:after="0"/>
        <w:tabs>
          <w:tab w:leader="none" w:pos="540" w:val="left"/>
        </w:tabs>
        <w:numPr>
          <w:ilvl w:val="0"/>
          <w:numId w:val="1049"/>
        </w:numPr>
        <w:rPr>
          <w:rFonts w:ascii="Arial" w:cs="Arial" w:eastAsia="Arial" w:hAnsi="Arial"/>
          <w:sz w:val="18"/>
          <w:szCs w:val="18"/>
          <w:color w:val="auto"/>
        </w:rPr>
      </w:pPr>
      <w:r>
        <w:rPr>
          <w:rFonts w:ascii="Arial" w:cs="Arial" w:eastAsia="Arial" w:hAnsi="Arial"/>
          <w:sz w:val="18"/>
          <w:szCs w:val="18"/>
          <w:color w:val="auto"/>
        </w:rPr>
        <w:t>Each Sponsor Affiliate that is a Lender agrees that:</w:t>
      </w:r>
    </w:p>
    <w:p>
      <w:pPr>
        <w:spacing w:after="0" w:line="130" w:lineRule="exact"/>
        <w:rPr>
          <w:rFonts w:ascii="Arial" w:cs="Arial" w:eastAsia="Arial" w:hAnsi="Arial"/>
          <w:sz w:val="18"/>
          <w:szCs w:val="18"/>
          <w:color w:val="auto"/>
        </w:rPr>
      </w:pPr>
    </w:p>
    <w:p>
      <w:pPr>
        <w:jc w:val="both"/>
        <w:ind w:left="1200" w:right="40" w:hanging="655"/>
        <w:spacing w:after="0" w:line="263" w:lineRule="auto"/>
        <w:tabs>
          <w:tab w:leader="none" w:pos="1200" w:val="left"/>
        </w:tabs>
        <w:numPr>
          <w:ilvl w:val="1"/>
          <w:numId w:val="1049"/>
        </w:numPr>
        <w:rPr>
          <w:rFonts w:ascii="Arial" w:cs="Arial" w:eastAsia="Arial" w:hAnsi="Arial"/>
          <w:sz w:val="18"/>
          <w:szCs w:val="18"/>
          <w:color w:val="auto"/>
        </w:rPr>
      </w:pPr>
      <w:r>
        <w:rPr>
          <w:rFonts w:ascii="Arial" w:cs="Arial" w:eastAsia="Arial" w:hAnsi="Arial"/>
          <w:sz w:val="18"/>
          <w:szCs w:val="18"/>
          <w:color w:val="auto"/>
        </w:rPr>
        <w:t>in relation to any meeting or conference call to which all the Lenders are invited to attend or participate, it shall not attend or participate in the same if so requested by the Agent or, unless the Agent otherwise agrees, be entitled to receive the agenda or any minutes of the same; and</w:t>
      </w:r>
    </w:p>
    <w:p>
      <w:pPr>
        <w:spacing w:after="0" w:line="89" w:lineRule="exact"/>
        <w:rPr>
          <w:rFonts w:ascii="Arial" w:cs="Arial" w:eastAsia="Arial" w:hAnsi="Arial"/>
          <w:sz w:val="18"/>
          <w:szCs w:val="18"/>
          <w:color w:val="auto"/>
        </w:rPr>
      </w:pPr>
    </w:p>
    <w:p>
      <w:pPr>
        <w:ind w:left="1200" w:right="240" w:hanging="655"/>
        <w:spacing w:after="0" w:line="277" w:lineRule="auto"/>
        <w:tabs>
          <w:tab w:leader="none" w:pos="1200" w:val="left"/>
        </w:tabs>
        <w:numPr>
          <w:ilvl w:val="1"/>
          <w:numId w:val="1049"/>
        </w:numPr>
        <w:rPr>
          <w:rFonts w:ascii="Arial" w:cs="Arial" w:eastAsia="Arial" w:hAnsi="Arial"/>
          <w:sz w:val="18"/>
          <w:szCs w:val="18"/>
          <w:color w:val="auto"/>
        </w:rPr>
      </w:pPr>
      <w:r>
        <w:rPr>
          <w:rFonts w:ascii="Arial" w:cs="Arial" w:eastAsia="Arial" w:hAnsi="Arial"/>
          <w:sz w:val="18"/>
          <w:szCs w:val="18"/>
          <w:color w:val="auto"/>
        </w:rPr>
        <w:t>in its capacity as Lender, unless the Agent otherwise agrees, it shall not be entitled to receive any report or other document prepared at the behest of, or on the instructions of, the Agent or one or more of the Lenders,</w:t>
      </w:r>
    </w:p>
    <w:p>
      <w:pPr>
        <w:spacing w:after="0" w:line="103"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09" w:name="page710"/>
    <w:bookmarkEnd w:id="709"/>
    <w:p>
      <w:pPr>
        <w:ind w:left="132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unless the Agent otherwise agrees or it relates to matters in which the Sponsor Affiliate is entitled to vote in accordance with this Clause 26.</w:t>
      </w:r>
    </w:p>
    <w:p>
      <w:pPr>
        <w:spacing w:after="0" w:line="315" w:lineRule="exact"/>
        <w:rPr>
          <w:sz w:val="20"/>
          <w:szCs w:val="20"/>
          <w:color w:val="auto"/>
        </w:rPr>
      </w:pPr>
    </w:p>
    <w:p>
      <w:pPr>
        <w:ind w:left="764" w:hanging="764"/>
        <w:spacing w:after="0"/>
        <w:tabs>
          <w:tab w:leader="none" w:pos="764" w:val="left"/>
        </w:tabs>
        <w:numPr>
          <w:ilvl w:val="0"/>
          <w:numId w:val="1050"/>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Obligors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6"/>
          <w:szCs w:val="16"/>
          <w:b w:val="1"/>
          <w:bCs w:val="1"/>
          <w:color w:val="auto"/>
        </w:rPr>
        <w:t>Assignment and transfers by Obligors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No Obligor may assign any of its rights or transfer any of its rights or obligations under the Finance Documents.</w:t>
      </w:r>
    </w:p>
    <w:p>
      <w:pPr>
        <w:spacing w:after="0" w:line="37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6"/>
          <w:szCs w:val="16"/>
          <w:b w:val="1"/>
          <w:bCs w:val="1"/>
          <w:color w:val="auto"/>
        </w:rPr>
        <w:t>Additional Guarantors</w:t>
      </w:r>
    </w:p>
    <w:p>
      <w:pPr>
        <w:spacing w:after="0" w:line="135" w:lineRule="exact"/>
        <w:rPr>
          <w:sz w:val="20"/>
          <w:szCs w:val="20"/>
          <w:color w:val="auto"/>
        </w:rPr>
      </w:pPr>
    </w:p>
    <w:p>
      <w:pPr>
        <w:ind w:left="1304" w:right="280" w:hanging="535"/>
        <w:spacing w:after="0" w:line="277" w:lineRule="auto"/>
        <w:tabs>
          <w:tab w:leader="none" w:pos="1304" w:val="left"/>
        </w:tabs>
        <w:numPr>
          <w:ilvl w:val="0"/>
          <w:numId w:val="1051"/>
        </w:numPr>
        <w:rPr>
          <w:rFonts w:ascii="Arial" w:cs="Arial" w:eastAsia="Arial" w:hAnsi="Arial"/>
          <w:sz w:val="18"/>
          <w:szCs w:val="18"/>
          <w:color w:val="auto"/>
        </w:rPr>
      </w:pPr>
      <w:r>
        <w:rPr>
          <w:rFonts w:ascii="Arial" w:cs="Arial" w:eastAsia="Arial" w:hAnsi="Arial"/>
          <w:sz w:val="18"/>
          <w:szCs w:val="18"/>
          <w:color w:val="auto"/>
        </w:rPr>
        <w:t>Subject to compliance with the provisions of paragraphs (c) and (d) of Clause 22.10 (“</w:t>
      </w:r>
      <w:r>
        <w:rPr>
          <w:rFonts w:ascii="Arial" w:cs="Arial" w:eastAsia="Arial" w:hAnsi="Arial"/>
          <w:sz w:val="18"/>
          <w:szCs w:val="18"/>
          <w:i w:val="1"/>
          <w:iCs w:val="1"/>
          <w:color w:val="auto"/>
        </w:rPr>
        <w:t>Know your customer</w:t>
      </w:r>
      <w:r>
        <w:rPr>
          <w:rFonts w:ascii="Arial" w:cs="Arial" w:eastAsia="Arial" w:hAnsi="Arial"/>
          <w:sz w:val="18"/>
          <w:szCs w:val="18"/>
          <w:color w:val="auto"/>
        </w:rPr>
        <w:t xml:space="preserve">” </w:t>
      </w:r>
      <w:r>
        <w:rPr>
          <w:rFonts w:ascii="Arial" w:cs="Arial" w:eastAsia="Arial" w:hAnsi="Arial"/>
          <w:sz w:val="18"/>
          <w:szCs w:val="18"/>
          <w:i w:val="1"/>
          <w:iCs w:val="1"/>
          <w:color w:val="auto"/>
        </w:rPr>
        <w:t>checks</w:t>
      </w:r>
      <w:r>
        <w:rPr>
          <w:rFonts w:ascii="Arial" w:cs="Arial" w:eastAsia="Arial" w:hAnsi="Arial"/>
          <w:sz w:val="18"/>
          <w:szCs w:val="18"/>
          <w:color w:val="auto"/>
        </w:rPr>
        <w:t>), the Borrower may request that any of its wholly owned Subsidiaries become an Additional Guarantor.</w:t>
      </w:r>
    </w:p>
    <w:p>
      <w:pPr>
        <w:spacing w:after="0" w:line="75" w:lineRule="exact"/>
        <w:rPr>
          <w:rFonts w:ascii="Arial" w:cs="Arial" w:eastAsia="Arial" w:hAnsi="Arial"/>
          <w:sz w:val="18"/>
          <w:szCs w:val="18"/>
          <w:color w:val="auto"/>
        </w:rPr>
      </w:pPr>
    </w:p>
    <w:p>
      <w:pPr>
        <w:ind w:left="1304" w:right="360" w:hanging="535"/>
        <w:spacing w:after="0" w:line="277" w:lineRule="auto"/>
        <w:tabs>
          <w:tab w:leader="none" w:pos="1304" w:val="left"/>
        </w:tabs>
        <w:numPr>
          <w:ilvl w:val="0"/>
          <w:numId w:val="1051"/>
        </w:numPr>
        <w:rPr>
          <w:rFonts w:ascii="Arial" w:cs="Arial" w:eastAsia="Arial" w:hAnsi="Arial"/>
          <w:sz w:val="18"/>
          <w:szCs w:val="18"/>
          <w:color w:val="auto"/>
        </w:rPr>
      </w:pPr>
      <w:r>
        <w:rPr>
          <w:rFonts w:ascii="Arial" w:cs="Arial" w:eastAsia="Arial" w:hAnsi="Arial"/>
          <w:sz w:val="18"/>
          <w:szCs w:val="18"/>
          <w:color w:val="auto"/>
        </w:rPr>
        <w:t>The Borrower shall procure that any other member of the Group shall, as soon as possible after becoming a member of the Group, become an Additional Guarantor and grant such Security as the Agent may require.</w:t>
      </w:r>
    </w:p>
    <w:p>
      <w:pPr>
        <w:spacing w:after="0" w:line="75" w:lineRule="exact"/>
        <w:rPr>
          <w:rFonts w:ascii="Arial" w:cs="Arial" w:eastAsia="Arial" w:hAnsi="Arial"/>
          <w:sz w:val="18"/>
          <w:szCs w:val="18"/>
          <w:color w:val="auto"/>
        </w:rPr>
      </w:pPr>
    </w:p>
    <w:p>
      <w:pPr>
        <w:ind w:left="1304" w:hanging="535"/>
        <w:spacing w:after="0"/>
        <w:tabs>
          <w:tab w:leader="none" w:pos="1304" w:val="left"/>
        </w:tabs>
        <w:numPr>
          <w:ilvl w:val="0"/>
          <w:numId w:val="1051"/>
        </w:numPr>
        <w:rPr>
          <w:rFonts w:ascii="Arial" w:cs="Arial" w:eastAsia="Arial" w:hAnsi="Arial"/>
          <w:sz w:val="18"/>
          <w:szCs w:val="18"/>
          <w:color w:val="auto"/>
        </w:rPr>
      </w:pPr>
      <w:r>
        <w:rPr>
          <w:rFonts w:ascii="Arial" w:cs="Arial" w:eastAsia="Arial" w:hAnsi="Arial"/>
          <w:sz w:val="18"/>
          <w:szCs w:val="18"/>
          <w:color w:val="auto"/>
        </w:rPr>
        <w:t>A member of the Group shall become an Additional Guarantor if:</w:t>
      </w:r>
    </w:p>
    <w:p>
      <w:pPr>
        <w:spacing w:after="0" w:line="130" w:lineRule="exact"/>
        <w:rPr>
          <w:rFonts w:ascii="Arial" w:cs="Arial" w:eastAsia="Arial" w:hAnsi="Arial"/>
          <w:sz w:val="18"/>
          <w:szCs w:val="18"/>
          <w:color w:val="auto"/>
        </w:rPr>
      </w:pPr>
    </w:p>
    <w:p>
      <w:pPr>
        <w:ind w:left="1964" w:right="180" w:hanging="655"/>
        <w:spacing w:after="0" w:line="277" w:lineRule="auto"/>
        <w:tabs>
          <w:tab w:leader="none" w:pos="1964" w:val="left"/>
        </w:tabs>
        <w:numPr>
          <w:ilvl w:val="1"/>
          <w:numId w:val="1051"/>
        </w:numPr>
        <w:rPr>
          <w:rFonts w:ascii="Arial" w:cs="Arial" w:eastAsia="Arial" w:hAnsi="Arial"/>
          <w:sz w:val="18"/>
          <w:szCs w:val="18"/>
          <w:color w:val="auto"/>
        </w:rPr>
      </w:pPr>
      <w:r>
        <w:rPr>
          <w:rFonts w:ascii="Arial" w:cs="Arial" w:eastAsia="Arial" w:hAnsi="Arial"/>
          <w:sz w:val="18"/>
          <w:szCs w:val="18"/>
          <w:color w:val="auto"/>
        </w:rPr>
        <w:t>the Borrower and the proposed Additional Guarantor deliver to the Agent a duly completed and executed Accession Letter; and</w:t>
      </w:r>
    </w:p>
    <w:p>
      <w:pPr>
        <w:spacing w:after="0" w:line="75" w:lineRule="exact"/>
        <w:rPr>
          <w:rFonts w:ascii="Arial" w:cs="Arial" w:eastAsia="Arial" w:hAnsi="Arial"/>
          <w:sz w:val="18"/>
          <w:szCs w:val="18"/>
          <w:color w:val="auto"/>
        </w:rPr>
      </w:pPr>
    </w:p>
    <w:p>
      <w:pPr>
        <w:ind w:left="1964" w:right="60" w:hanging="655"/>
        <w:spacing w:after="0" w:line="263" w:lineRule="auto"/>
        <w:tabs>
          <w:tab w:leader="none" w:pos="1964" w:val="left"/>
        </w:tabs>
        <w:numPr>
          <w:ilvl w:val="1"/>
          <w:numId w:val="1051"/>
        </w:numPr>
        <w:rPr>
          <w:rFonts w:ascii="Arial" w:cs="Arial" w:eastAsia="Arial" w:hAnsi="Arial"/>
          <w:sz w:val="18"/>
          <w:szCs w:val="18"/>
          <w:color w:val="auto"/>
        </w:rPr>
      </w:pPr>
      <w:r>
        <w:rPr>
          <w:rFonts w:ascii="Arial" w:cs="Arial" w:eastAsia="Arial" w:hAnsi="Arial"/>
          <w:sz w:val="18"/>
          <w:szCs w:val="18"/>
          <w:color w:val="auto"/>
        </w:rPr>
        <w:t>the Agent has received all of the documents and other evidence listed in Schedule 2 (</w:t>
      </w:r>
      <w:r>
        <w:rPr>
          <w:rFonts w:ascii="Arial" w:cs="Arial" w:eastAsia="Arial" w:hAnsi="Arial"/>
          <w:sz w:val="18"/>
          <w:szCs w:val="18"/>
          <w:i w:val="1"/>
          <w:iCs w:val="1"/>
          <w:color w:val="auto"/>
        </w:rPr>
        <w:t>Conditions precedent required to be</w:t>
      </w:r>
      <w:r>
        <w:rPr>
          <w:rFonts w:ascii="Arial" w:cs="Arial" w:eastAsia="Arial" w:hAnsi="Arial"/>
          <w:sz w:val="18"/>
          <w:szCs w:val="18"/>
          <w:color w:val="auto"/>
        </w:rPr>
        <w:t xml:space="preserve"> </w:t>
      </w:r>
      <w:r>
        <w:rPr>
          <w:rFonts w:ascii="Arial" w:cs="Arial" w:eastAsia="Arial" w:hAnsi="Arial"/>
          <w:sz w:val="18"/>
          <w:szCs w:val="18"/>
          <w:i w:val="1"/>
          <w:iCs w:val="1"/>
          <w:color w:val="auto"/>
        </w:rPr>
        <w:t>delivered by an Additional Guarantor</w:t>
      </w:r>
      <w:r>
        <w:rPr>
          <w:rFonts w:ascii="Arial" w:cs="Arial" w:eastAsia="Arial" w:hAnsi="Arial"/>
          <w:sz w:val="18"/>
          <w:szCs w:val="18"/>
          <w:color w:val="auto"/>
        </w:rPr>
        <w:t>) in relation to that Additional Guarantor, each in form and substance satisfactory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w:t>
      </w:r>
    </w:p>
    <w:p>
      <w:pPr>
        <w:spacing w:after="0" w:line="89" w:lineRule="exact"/>
        <w:rPr>
          <w:rFonts w:ascii="Arial" w:cs="Arial" w:eastAsia="Arial" w:hAnsi="Arial"/>
          <w:sz w:val="18"/>
          <w:szCs w:val="18"/>
          <w:color w:val="auto"/>
        </w:rPr>
      </w:pPr>
    </w:p>
    <w:p>
      <w:pPr>
        <w:ind w:left="1304" w:right="480" w:hanging="535"/>
        <w:spacing w:after="0" w:line="263" w:lineRule="auto"/>
        <w:tabs>
          <w:tab w:leader="none" w:pos="1304" w:val="left"/>
        </w:tabs>
        <w:numPr>
          <w:ilvl w:val="0"/>
          <w:numId w:val="1051"/>
        </w:numPr>
        <w:rPr>
          <w:rFonts w:ascii="Arial" w:cs="Arial" w:eastAsia="Arial" w:hAnsi="Arial"/>
          <w:sz w:val="18"/>
          <w:szCs w:val="18"/>
          <w:color w:val="auto"/>
        </w:rPr>
      </w:pPr>
      <w:r>
        <w:rPr>
          <w:rFonts w:ascii="Arial" w:cs="Arial" w:eastAsia="Arial" w:hAnsi="Arial"/>
          <w:sz w:val="18"/>
          <w:szCs w:val="18"/>
          <w:color w:val="auto"/>
        </w:rPr>
        <w:t>The Agent shall notify the Borrower and the Lenders promptly upon being satisfied that it has received (in form and substance satisfactory to it) all the documents and other evidence listed in Schedule 2 (</w:t>
      </w:r>
      <w:r>
        <w:rPr>
          <w:rFonts w:ascii="Arial" w:cs="Arial" w:eastAsia="Arial" w:hAnsi="Arial"/>
          <w:sz w:val="18"/>
          <w:szCs w:val="18"/>
          <w:i w:val="1"/>
          <w:iCs w:val="1"/>
          <w:color w:val="auto"/>
        </w:rPr>
        <w:t>Conditions precedent required to be delivered by an</w:t>
      </w:r>
      <w:r>
        <w:rPr>
          <w:rFonts w:ascii="Arial" w:cs="Arial" w:eastAsia="Arial" w:hAnsi="Arial"/>
          <w:sz w:val="18"/>
          <w:szCs w:val="18"/>
          <w:color w:val="auto"/>
        </w:rPr>
        <w:t xml:space="preserve"> </w:t>
      </w:r>
      <w:r>
        <w:rPr>
          <w:rFonts w:ascii="Arial" w:cs="Arial" w:eastAsia="Arial" w:hAnsi="Arial"/>
          <w:sz w:val="18"/>
          <w:szCs w:val="18"/>
          <w:i w:val="1"/>
          <w:iCs w:val="1"/>
          <w:color w:val="auto"/>
        </w:rPr>
        <w:t>Additional Guarantor</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304" w:right="540" w:hanging="535"/>
        <w:spacing w:after="0" w:line="277" w:lineRule="auto"/>
        <w:tabs>
          <w:tab w:leader="none" w:pos="1304" w:val="left"/>
        </w:tabs>
        <w:numPr>
          <w:ilvl w:val="0"/>
          <w:numId w:val="1051"/>
        </w:numPr>
        <w:rPr>
          <w:rFonts w:ascii="Arial" w:cs="Arial" w:eastAsia="Arial" w:hAnsi="Arial"/>
          <w:sz w:val="18"/>
          <w:szCs w:val="18"/>
          <w:color w:val="auto"/>
        </w:rPr>
      </w:pPr>
      <w:r>
        <w:rPr>
          <w:rFonts w:ascii="Arial" w:cs="Arial" w:eastAsia="Arial" w:hAnsi="Arial"/>
          <w:sz w:val="18"/>
          <w:szCs w:val="18"/>
          <w:color w:val="auto"/>
        </w:rPr>
        <w:t>The Lenders authorise the Agent to give the notification described in paragraph (d) above. The Agent shall not be liable for any damages, costs or losses whatsoever as a result of giving any such notification.</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5"/>
          <w:szCs w:val="15"/>
          <w:b w:val="1"/>
          <w:bCs w:val="1"/>
          <w:color w:val="auto"/>
        </w:rPr>
        <w:t>Repetition of representations</w:t>
      </w:r>
    </w:p>
    <w:p>
      <w:pPr>
        <w:spacing w:after="0" w:line="121" w:lineRule="exact"/>
        <w:rPr>
          <w:sz w:val="20"/>
          <w:szCs w:val="20"/>
          <w:color w:val="auto"/>
        </w:rPr>
      </w:pPr>
    </w:p>
    <w:p>
      <w:pPr>
        <w:ind w:left="764" w:right="220"/>
        <w:spacing w:after="0" w:line="263" w:lineRule="auto"/>
        <w:rPr>
          <w:sz w:val="20"/>
          <w:szCs w:val="20"/>
          <w:color w:val="auto"/>
        </w:rPr>
      </w:pPr>
      <w:r>
        <w:rPr>
          <w:rFonts w:ascii="Arial" w:cs="Arial" w:eastAsia="Arial" w:hAnsi="Arial"/>
          <w:sz w:val="18"/>
          <w:szCs w:val="18"/>
          <w:color w:val="auto"/>
        </w:rPr>
        <w:t>Delivery of an Accession Letter constitutes confirmation by the relevant Subsidiary that the representations and warranties referred to in paragraph (d) of Clause 21.1 (</w:t>
      </w:r>
      <w:r>
        <w:rPr>
          <w:rFonts w:ascii="Arial" w:cs="Arial" w:eastAsia="Arial" w:hAnsi="Arial"/>
          <w:sz w:val="18"/>
          <w:szCs w:val="18"/>
          <w:i w:val="1"/>
          <w:iCs w:val="1"/>
          <w:color w:val="auto"/>
        </w:rPr>
        <w:t>Times when representations made</w:t>
      </w:r>
      <w:r>
        <w:rPr>
          <w:rFonts w:ascii="Arial" w:cs="Arial" w:eastAsia="Arial" w:hAnsi="Arial"/>
          <w:sz w:val="18"/>
          <w:szCs w:val="18"/>
          <w:color w:val="auto"/>
        </w:rPr>
        <w:t>) are true and correct in relation to it as at the date of delivery as if made by reference to the facts and circumstances then existing.</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6"/>
          <w:szCs w:val="16"/>
          <w:b w:val="1"/>
          <w:bCs w:val="1"/>
          <w:color w:val="auto"/>
        </w:rPr>
        <w:t>Resignation of a Guarantor</w:t>
      </w:r>
    </w:p>
    <w:p>
      <w:pPr>
        <w:spacing w:after="0" w:line="135" w:lineRule="exact"/>
        <w:rPr>
          <w:sz w:val="20"/>
          <w:szCs w:val="20"/>
          <w:color w:val="auto"/>
        </w:rPr>
      </w:pPr>
    </w:p>
    <w:p>
      <w:pPr>
        <w:ind w:left="1304" w:right="460" w:hanging="535"/>
        <w:spacing w:after="0" w:line="277" w:lineRule="auto"/>
        <w:tabs>
          <w:tab w:leader="none" w:pos="1304" w:val="left"/>
        </w:tabs>
        <w:numPr>
          <w:ilvl w:val="0"/>
          <w:numId w:val="1052"/>
        </w:numPr>
        <w:rPr>
          <w:rFonts w:ascii="Arial" w:cs="Arial" w:eastAsia="Arial" w:hAnsi="Arial"/>
          <w:sz w:val="18"/>
          <w:szCs w:val="18"/>
          <w:color w:val="auto"/>
        </w:rPr>
      </w:pPr>
      <w:r>
        <w:rPr>
          <w:rFonts w:ascii="Arial" w:cs="Arial" w:eastAsia="Arial" w:hAnsi="Arial"/>
          <w:sz w:val="18"/>
          <w:szCs w:val="18"/>
          <w:color w:val="auto"/>
        </w:rPr>
        <w:t>The Borrower may request that a Guarantor (other than the Parent or the Borrower) ceases to be a Guarantor by delivering to the Agent a Resignation Letter if:</w:t>
      </w:r>
    </w:p>
    <w:p>
      <w:pPr>
        <w:spacing w:after="0" w:line="75" w:lineRule="exact"/>
        <w:rPr>
          <w:rFonts w:ascii="Arial" w:cs="Arial" w:eastAsia="Arial" w:hAnsi="Arial"/>
          <w:sz w:val="18"/>
          <w:szCs w:val="18"/>
          <w:color w:val="auto"/>
        </w:rPr>
      </w:pPr>
    </w:p>
    <w:p>
      <w:pPr>
        <w:ind w:left="1964" w:hanging="655"/>
        <w:spacing w:after="0" w:line="279" w:lineRule="auto"/>
        <w:tabs>
          <w:tab w:leader="none" w:pos="1964" w:val="left"/>
        </w:tabs>
        <w:numPr>
          <w:ilvl w:val="1"/>
          <w:numId w:val="1052"/>
        </w:numPr>
        <w:rPr>
          <w:rFonts w:ascii="Arial" w:cs="Arial" w:eastAsia="Arial" w:hAnsi="Arial"/>
          <w:sz w:val="17"/>
          <w:szCs w:val="17"/>
          <w:color w:val="auto"/>
        </w:rPr>
      </w:pPr>
      <w:r>
        <w:rPr>
          <w:rFonts w:ascii="Arial" w:cs="Arial" w:eastAsia="Arial" w:hAnsi="Arial"/>
          <w:sz w:val="17"/>
          <w:szCs w:val="17"/>
          <w:color w:val="auto"/>
        </w:rPr>
        <w:t>that Guarantor is being (or shares or equity interests in that Guarantor are being) disposed of (directly or indirectly) by way of a sale or disposal or reorganisation where such sale or disposal or reorganisation is expressly permitted under this Agreement or any other Finance Document in circumstances where that Guarantor ceases to be a Group Member, and the Borrower has confirmed to the Agent and the Intercreditor Agent that this is the case; or</w:t>
      </w:r>
    </w:p>
    <w:p>
      <w:pPr>
        <w:spacing w:after="0" w:line="104"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10" w:name="page711"/>
    <w:bookmarkEnd w:id="710"/>
    <w:p>
      <w:pPr>
        <w:ind w:left="1200" w:hanging="655"/>
        <w:spacing w:after="0"/>
        <w:tabs>
          <w:tab w:leader="none" w:pos="1200" w:val="left"/>
        </w:tabs>
        <w:numPr>
          <w:ilvl w:val="1"/>
          <w:numId w:val="10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Lenders have consented to the resignation of that Guarantor.</w:t>
      </w:r>
    </w:p>
    <w:p>
      <w:pPr>
        <w:spacing w:after="0" w:line="130" w:lineRule="exact"/>
        <w:rPr>
          <w:rFonts w:ascii="Arial" w:cs="Arial" w:eastAsia="Arial" w:hAnsi="Arial"/>
          <w:sz w:val="18"/>
          <w:szCs w:val="18"/>
          <w:color w:val="auto"/>
        </w:rPr>
      </w:pPr>
    </w:p>
    <w:p>
      <w:pPr>
        <w:ind w:left="540" w:right="400" w:hanging="535"/>
        <w:spacing w:after="0" w:line="277" w:lineRule="auto"/>
        <w:tabs>
          <w:tab w:leader="none" w:pos="540" w:val="left"/>
        </w:tabs>
        <w:numPr>
          <w:ilvl w:val="0"/>
          <w:numId w:val="1054"/>
        </w:numPr>
        <w:rPr>
          <w:rFonts w:ascii="Arial" w:cs="Arial" w:eastAsia="Arial" w:hAnsi="Arial"/>
          <w:sz w:val="18"/>
          <w:szCs w:val="18"/>
          <w:color w:val="auto"/>
        </w:rPr>
      </w:pPr>
      <w:r>
        <w:rPr>
          <w:rFonts w:ascii="Arial" w:cs="Arial" w:eastAsia="Arial" w:hAnsi="Arial"/>
          <w:sz w:val="18"/>
          <w:szCs w:val="18"/>
          <w:color w:val="auto"/>
        </w:rPr>
        <w:t>Subject to clause 25.17 (</w:t>
      </w:r>
      <w:r>
        <w:rPr>
          <w:rFonts w:ascii="Arial" w:cs="Arial" w:eastAsia="Arial" w:hAnsi="Arial"/>
          <w:sz w:val="18"/>
          <w:szCs w:val="18"/>
          <w:i w:val="1"/>
          <w:iCs w:val="1"/>
          <w:color w:val="auto"/>
        </w:rPr>
        <w:t>Resignation of a Debtor</w:t>
      </w:r>
      <w:r>
        <w:rPr>
          <w:rFonts w:ascii="Arial" w:cs="Arial" w:eastAsia="Arial" w:hAnsi="Arial"/>
          <w:sz w:val="18"/>
          <w:szCs w:val="18"/>
          <w:color w:val="auto"/>
        </w:rPr>
        <w:t>) of the Intercreditor Agreement, the Agent shall accept a Resignation Letter and notify the Borrower and the Lenders of its acceptance if:</w:t>
      </w:r>
    </w:p>
    <w:p>
      <w:pPr>
        <w:spacing w:after="0" w:line="75" w:lineRule="exact"/>
        <w:rPr>
          <w:rFonts w:ascii="Arial" w:cs="Arial" w:eastAsia="Arial" w:hAnsi="Arial"/>
          <w:sz w:val="18"/>
          <w:szCs w:val="18"/>
          <w:color w:val="auto"/>
        </w:rPr>
      </w:pPr>
    </w:p>
    <w:p>
      <w:pPr>
        <w:ind w:left="1200" w:right="520" w:hanging="655"/>
        <w:spacing w:after="0" w:line="277" w:lineRule="auto"/>
        <w:tabs>
          <w:tab w:leader="none" w:pos="1200" w:val="left"/>
        </w:tabs>
        <w:numPr>
          <w:ilvl w:val="1"/>
          <w:numId w:val="1054"/>
        </w:numPr>
        <w:rPr>
          <w:rFonts w:ascii="Arial" w:cs="Arial" w:eastAsia="Arial" w:hAnsi="Arial"/>
          <w:sz w:val="18"/>
          <w:szCs w:val="18"/>
          <w:color w:val="auto"/>
        </w:rPr>
      </w:pPr>
      <w:r>
        <w:rPr>
          <w:rFonts w:ascii="Arial" w:cs="Arial" w:eastAsia="Arial" w:hAnsi="Arial"/>
          <w:sz w:val="18"/>
          <w:szCs w:val="18"/>
          <w:color w:val="auto"/>
        </w:rPr>
        <w:t>no Event of Default is continuing or would result from that Guarantor ceasing to be a Guarantor (and the Borrower has confirmed to the Agent and the Intercreditor Agent that this is the case); and</w:t>
      </w:r>
    </w:p>
    <w:p>
      <w:pPr>
        <w:spacing w:after="0" w:line="76" w:lineRule="exact"/>
        <w:rPr>
          <w:sz w:val="20"/>
          <w:szCs w:val="20"/>
          <w:color w:val="auto"/>
        </w:rPr>
      </w:pPr>
    </w:p>
    <w:p>
      <w:pPr>
        <w:ind w:left="1200" w:hanging="655"/>
        <w:spacing w:after="0"/>
        <w:tabs>
          <w:tab w:leader="none" w:pos="1200" w:val="left"/>
        </w:tabs>
        <w:numPr>
          <w:ilvl w:val="1"/>
          <w:numId w:val="1055"/>
        </w:numPr>
        <w:rPr>
          <w:rFonts w:ascii="Arial" w:cs="Arial" w:eastAsia="Arial" w:hAnsi="Arial"/>
          <w:sz w:val="18"/>
          <w:szCs w:val="18"/>
          <w:color w:val="auto"/>
        </w:rPr>
      </w:pPr>
      <w:r>
        <w:rPr>
          <w:rFonts w:ascii="Arial" w:cs="Arial" w:eastAsia="Arial" w:hAnsi="Arial"/>
          <w:sz w:val="18"/>
          <w:szCs w:val="18"/>
          <w:color w:val="auto"/>
        </w:rPr>
        <w:t>no payment is due from that Guarantor under Clause 20.1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right="80" w:hanging="535"/>
        <w:spacing w:after="0" w:line="263" w:lineRule="auto"/>
        <w:tabs>
          <w:tab w:leader="none" w:pos="540" w:val="left"/>
        </w:tabs>
        <w:numPr>
          <w:ilvl w:val="0"/>
          <w:numId w:val="1056"/>
        </w:numPr>
        <w:rPr>
          <w:rFonts w:ascii="Arial" w:cs="Arial" w:eastAsia="Arial" w:hAnsi="Arial"/>
          <w:sz w:val="18"/>
          <w:szCs w:val="18"/>
          <w:color w:val="auto"/>
        </w:rPr>
      </w:pPr>
      <w:r>
        <w:rPr>
          <w:rFonts w:ascii="Arial" w:cs="Arial" w:eastAsia="Arial" w:hAnsi="Arial"/>
          <w:sz w:val="18"/>
          <w:szCs w:val="18"/>
          <w:color w:val="auto"/>
        </w:rPr>
        <w:t>Subject to paragraph (d) below, upon notification by the agent to the Borrower and the Lender of its acceptance of the resignation of the Guarantor, that entity shall cease to be a Guarantor and shall have no further rights or obligations under the Finance Documents as a Guarantor.</w:t>
      </w:r>
    </w:p>
    <w:p>
      <w:pPr>
        <w:spacing w:after="0" w:line="89" w:lineRule="exact"/>
        <w:rPr>
          <w:rFonts w:ascii="Arial" w:cs="Arial" w:eastAsia="Arial" w:hAnsi="Arial"/>
          <w:sz w:val="18"/>
          <w:szCs w:val="18"/>
          <w:color w:val="auto"/>
        </w:rPr>
      </w:pPr>
    </w:p>
    <w:p>
      <w:pPr>
        <w:ind w:left="540" w:hanging="535"/>
        <w:spacing w:after="0"/>
        <w:tabs>
          <w:tab w:leader="none" w:pos="540" w:val="left"/>
        </w:tabs>
        <w:numPr>
          <w:ilvl w:val="0"/>
          <w:numId w:val="1056"/>
        </w:numPr>
        <w:rPr>
          <w:rFonts w:ascii="Arial" w:cs="Arial" w:eastAsia="Arial" w:hAnsi="Arial"/>
          <w:sz w:val="18"/>
          <w:szCs w:val="18"/>
          <w:color w:val="auto"/>
        </w:rPr>
      </w:pPr>
      <w:r>
        <w:rPr>
          <w:rFonts w:ascii="Arial" w:cs="Arial" w:eastAsia="Arial" w:hAnsi="Arial"/>
          <w:sz w:val="18"/>
          <w:szCs w:val="18"/>
          <w:color w:val="auto"/>
        </w:rPr>
        <w:t>The resignation of that Guarantor shall not be effective until the date of the relevant sale or disposal or reorganisation.</w:t>
      </w:r>
    </w:p>
    <w:p>
      <w:pPr>
        <w:spacing w:after="0" w:line="158" w:lineRule="exact"/>
        <w:rPr>
          <w:sz w:val="20"/>
          <w:szCs w:val="20"/>
          <w:color w:val="auto"/>
        </w:rPr>
      </w:pPr>
    </w:p>
    <w:p>
      <w:pPr>
        <w:jc w:val="both"/>
        <w:ind w:left="4720"/>
        <w:spacing w:after="0"/>
        <w:tabs>
          <w:tab w:leader="none" w:pos="80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11" w:name="page712"/>
    <w:bookmarkEnd w:id="7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FINANCE PARTIES</w:t>
      </w:r>
    </w:p>
    <w:p>
      <w:pPr>
        <w:spacing w:after="0" w:line="234" w:lineRule="exact"/>
        <w:rPr>
          <w:sz w:val="20"/>
          <w:szCs w:val="20"/>
          <w:color w:val="auto"/>
        </w:rPr>
      </w:pPr>
    </w:p>
    <w:p>
      <w:pPr>
        <w:ind w:left="764" w:hanging="764"/>
        <w:spacing w:after="0"/>
        <w:tabs>
          <w:tab w:leader="none" w:pos="764" w:val="left"/>
        </w:tabs>
        <w:numPr>
          <w:ilvl w:val="0"/>
          <w:numId w:val="1057"/>
        </w:numPr>
        <w:rPr>
          <w:rFonts w:ascii="Arial" w:cs="Arial" w:eastAsia="Arial" w:hAnsi="Arial"/>
          <w:sz w:val="18"/>
          <w:szCs w:val="18"/>
          <w:b w:val="1"/>
          <w:bCs w:val="1"/>
          <w:color w:val="auto"/>
        </w:rPr>
      </w:pPr>
      <w:r>
        <w:rPr>
          <w:rFonts w:ascii="Arial" w:cs="Arial" w:eastAsia="Arial" w:hAnsi="Arial"/>
          <w:sz w:val="18"/>
          <w:szCs w:val="18"/>
          <w:b w:val="1"/>
          <w:bCs w:val="1"/>
          <w:color w:val="auto"/>
        </w:rPr>
        <w:t>Role of the Agent and others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28.1</w:t>
      </w:r>
      <w:r>
        <w:rPr>
          <w:rFonts w:ascii="Arial" w:cs="Arial" w:eastAsia="Arial" w:hAnsi="Arial"/>
          <w:sz w:val="16"/>
          <w:szCs w:val="16"/>
          <w:b w:val="1"/>
          <w:bCs w:val="1"/>
          <w:color w:val="auto"/>
        </w:rPr>
        <w:t>Appointment of the Agent</w:t>
      </w:r>
    </w:p>
    <w:p>
      <w:pPr>
        <w:spacing w:after="0" w:line="134" w:lineRule="exact"/>
        <w:rPr>
          <w:rFonts w:ascii="Arial" w:cs="Arial" w:eastAsia="Arial" w:hAnsi="Arial"/>
          <w:sz w:val="18"/>
          <w:szCs w:val="18"/>
          <w:b w:val="1"/>
          <w:bCs w:val="1"/>
          <w:color w:val="auto"/>
        </w:rPr>
      </w:pPr>
    </w:p>
    <w:p>
      <w:pPr>
        <w:ind w:left="1304" w:hanging="535"/>
        <w:spacing w:after="0"/>
        <w:tabs>
          <w:tab w:leader="none" w:pos="1304" w:val="left"/>
        </w:tabs>
        <w:numPr>
          <w:ilvl w:val="1"/>
          <w:numId w:val="1057"/>
        </w:numPr>
        <w:rPr>
          <w:rFonts w:ascii="Arial" w:cs="Arial" w:eastAsia="Arial" w:hAnsi="Arial"/>
          <w:sz w:val="18"/>
          <w:szCs w:val="18"/>
          <w:color w:val="auto"/>
        </w:rPr>
      </w:pPr>
      <w:r>
        <w:rPr>
          <w:rFonts w:ascii="Arial" w:cs="Arial" w:eastAsia="Arial" w:hAnsi="Arial"/>
          <w:sz w:val="18"/>
          <w:szCs w:val="18"/>
          <w:color w:val="auto"/>
        </w:rPr>
        <w:t>Each of the Lenders appoints the Agent to act as its agent under and in connection with the Finance Documents.</w:t>
      </w:r>
    </w:p>
    <w:p>
      <w:pPr>
        <w:spacing w:after="0" w:line="130" w:lineRule="exact"/>
        <w:rPr>
          <w:rFonts w:ascii="Arial" w:cs="Arial" w:eastAsia="Arial" w:hAnsi="Arial"/>
          <w:sz w:val="18"/>
          <w:szCs w:val="18"/>
          <w:color w:val="auto"/>
        </w:rPr>
      </w:pPr>
    </w:p>
    <w:p>
      <w:pPr>
        <w:ind w:left="1304" w:right="80" w:hanging="535"/>
        <w:spacing w:after="0" w:line="263" w:lineRule="auto"/>
        <w:tabs>
          <w:tab w:leader="none" w:pos="1304" w:val="left"/>
        </w:tabs>
        <w:numPr>
          <w:ilvl w:val="1"/>
          <w:numId w:val="1057"/>
        </w:numPr>
        <w:rPr>
          <w:rFonts w:ascii="Arial" w:cs="Arial" w:eastAsia="Arial" w:hAnsi="Arial"/>
          <w:sz w:val="18"/>
          <w:szCs w:val="18"/>
          <w:color w:val="auto"/>
        </w:rPr>
      </w:pPr>
      <w:r>
        <w:rPr>
          <w:rFonts w:ascii="Arial" w:cs="Arial" w:eastAsia="Arial" w:hAnsi="Arial"/>
          <w:sz w:val="18"/>
          <w:szCs w:val="18"/>
          <w:color w:val="auto"/>
        </w:rPr>
        <w:t>Each of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6"/>
          <w:szCs w:val="16"/>
          <w:b w:val="1"/>
          <w:bCs w:val="1"/>
          <w:color w:val="auto"/>
        </w:rPr>
        <w:t>Instructions</w:t>
      </w:r>
    </w:p>
    <w:p>
      <w:pPr>
        <w:spacing w:after="0" w:line="135" w:lineRule="exact"/>
        <w:rPr>
          <w:sz w:val="20"/>
          <w:szCs w:val="20"/>
          <w:color w:val="auto"/>
        </w:rPr>
      </w:pPr>
    </w:p>
    <w:p>
      <w:pPr>
        <w:ind w:left="1304" w:hanging="535"/>
        <w:spacing w:after="0"/>
        <w:tabs>
          <w:tab w:leader="none" w:pos="1304" w:val="left"/>
        </w:tabs>
        <w:numPr>
          <w:ilvl w:val="0"/>
          <w:numId w:val="1058"/>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130" w:lineRule="exact"/>
        <w:rPr>
          <w:rFonts w:ascii="Arial" w:cs="Arial" w:eastAsia="Arial" w:hAnsi="Arial"/>
          <w:sz w:val="18"/>
          <w:szCs w:val="18"/>
          <w:color w:val="auto"/>
        </w:rPr>
      </w:pPr>
    </w:p>
    <w:p>
      <w:pPr>
        <w:ind w:left="1964" w:right="40" w:hanging="655"/>
        <w:spacing w:after="0" w:line="286" w:lineRule="auto"/>
        <w:tabs>
          <w:tab w:leader="none" w:pos="1964" w:val="left"/>
        </w:tabs>
        <w:numPr>
          <w:ilvl w:val="1"/>
          <w:numId w:val="1058"/>
        </w:numPr>
        <w:rPr>
          <w:rFonts w:ascii="Arial" w:cs="Arial" w:eastAsia="Arial" w:hAnsi="Arial"/>
          <w:sz w:val="17"/>
          <w:szCs w:val="17"/>
          <w:color w:val="auto"/>
        </w:rPr>
      </w:pPr>
      <w:r>
        <w:rPr>
          <w:rFonts w:ascii="Arial" w:cs="Arial" w:eastAsia="Arial" w:hAnsi="Arial"/>
          <w:sz w:val="17"/>
          <w:szCs w:val="17"/>
          <w:color w:val="auto"/>
        </w:rPr>
        <w:t>unless a contrary indication appears in a Finance Document, exercise or refrain from exercising any right, power, authority or discretion vested in it as Agent in accordance with any instructions given to it by all Lenders if the relevant Finance Document stipulates the matter is an all Lender decision and, otherwise, the Majority Lenders; and</w:t>
      </w:r>
    </w:p>
    <w:p>
      <w:pPr>
        <w:spacing w:after="0" w:line="70" w:lineRule="exact"/>
        <w:rPr>
          <w:rFonts w:ascii="Arial" w:cs="Arial" w:eastAsia="Arial" w:hAnsi="Arial"/>
          <w:sz w:val="17"/>
          <w:szCs w:val="17"/>
          <w:color w:val="auto"/>
        </w:rPr>
      </w:pPr>
    </w:p>
    <w:p>
      <w:pPr>
        <w:ind w:left="1964" w:hanging="655"/>
        <w:spacing w:after="0"/>
        <w:tabs>
          <w:tab w:leader="none" w:pos="1964" w:val="left"/>
        </w:tabs>
        <w:numPr>
          <w:ilvl w:val="1"/>
          <w:numId w:val="1058"/>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w:t>
      </w:r>
    </w:p>
    <w:p>
      <w:pPr>
        <w:spacing w:after="0" w:line="130" w:lineRule="exact"/>
        <w:rPr>
          <w:rFonts w:ascii="Arial" w:cs="Arial" w:eastAsia="Arial" w:hAnsi="Arial"/>
          <w:sz w:val="18"/>
          <w:szCs w:val="18"/>
          <w:color w:val="auto"/>
        </w:rPr>
      </w:pPr>
    </w:p>
    <w:p>
      <w:pPr>
        <w:jc w:val="both"/>
        <w:ind w:left="1304" w:right="100" w:hanging="535"/>
        <w:spacing w:after="0" w:line="286" w:lineRule="auto"/>
        <w:tabs>
          <w:tab w:leader="none" w:pos="1304" w:val="left"/>
        </w:tabs>
        <w:numPr>
          <w:ilvl w:val="0"/>
          <w:numId w:val="1058"/>
        </w:numPr>
        <w:rPr>
          <w:rFonts w:ascii="Arial" w:cs="Arial" w:eastAsia="Arial" w:hAnsi="Arial"/>
          <w:sz w:val="17"/>
          <w:szCs w:val="17"/>
          <w:color w:val="auto"/>
        </w:rPr>
      </w:pPr>
      <w:r>
        <w:rPr>
          <w:rFonts w:ascii="Arial" w:cs="Arial" w:eastAsia="Arial" w:hAnsi="Arial"/>
          <w:sz w:val="17"/>
          <w:szCs w:val="17"/>
          <w:color w:val="auto"/>
        </w:rPr>
        <w:t>The Agent shall be entitled to request instructions, or clarification of any instruction, from the Majority Lenders (or, if applicable, the Lenders) as to whether, and in what manner, it should exercise or refrain from exercising any right, power, authority or discretion and the Agent may refrain from acting unless and until it receives those instructions or that clarification.</w:t>
      </w:r>
    </w:p>
    <w:p>
      <w:pPr>
        <w:spacing w:after="0" w:line="70" w:lineRule="exact"/>
        <w:rPr>
          <w:rFonts w:ascii="Arial" w:cs="Arial" w:eastAsia="Arial" w:hAnsi="Arial"/>
          <w:sz w:val="17"/>
          <w:szCs w:val="17"/>
          <w:color w:val="auto"/>
        </w:rPr>
      </w:pPr>
    </w:p>
    <w:p>
      <w:pPr>
        <w:jc w:val="both"/>
        <w:ind w:left="1304" w:right="540" w:hanging="535"/>
        <w:spacing w:after="0" w:line="263" w:lineRule="auto"/>
        <w:tabs>
          <w:tab w:leader="none" w:pos="1304" w:val="left"/>
        </w:tabs>
        <w:numPr>
          <w:ilvl w:val="0"/>
          <w:numId w:val="1058"/>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any instructions given to the Agent by the Majority Lenders shall override any conflicting instructions given by any other Parties and will be binding on all Finance Parties save for the Common Security Agent and the POA Agent.</w:t>
      </w:r>
    </w:p>
    <w:p>
      <w:pPr>
        <w:spacing w:after="0" w:line="89" w:lineRule="exact"/>
        <w:rPr>
          <w:rFonts w:ascii="Arial" w:cs="Arial" w:eastAsia="Arial" w:hAnsi="Arial"/>
          <w:sz w:val="18"/>
          <w:szCs w:val="18"/>
          <w:color w:val="auto"/>
        </w:rPr>
      </w:pPr>
    </w:p>
    <w:p>
      <w:pPr>
        <w:ind w:left="1304" w:right="120" w:hanging="535"/>
        <w:spacing w:after="0" w:line="259" w:lineRule="auto"/>
        <w:tabs>
          <w:tab w:leader="none" w:pos="1304" w:val="left"/>
        </w:tabs>
        <w:numPr>
          <w:ilvl w:val="0"/>
          <w:numId w:val="1058"/>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92" w:lineRule="exact"/>
        <w:rPr>
          <w:rFonts w:ascii="Arial" w:cs="Arial" w:eastAsia="Arial" w:hAnsi="Arial"/>
          <w:sz w:val="18"/>
          <w:szCs w:val="18"/>
          <w:color w:val="auto"/>
        </w:rPr>
      </w:pPr>
    </w:p>
    <w:p>
      <w:pPr>
        <w:ind w:left="1304" w:hanging="535"/>
        <w:spacing w:after="0"/>
        <w:tabs>
          <w:tab w:leader="none" w:pos="1304" w:val="left"/>
        </w:tabs>
        <w:numPr>
          <w:ilvl w:val="0"/>
          <w:numId w:val="1058"/>
        </w:numPr>
        <w:rPr>
          <w:rFonts w:ascii="Arial" w:cs="Arial" w:eastAsia="Arial" w:hAnsi="Arial"/>
          <w:sz w:val="17"/>
          <w:szCs w:val="17"/>
          <w:color w:val="auto"/>
        </w:rPr>
      </w:pPr>
      <w:r>
        <w:rPr>
          <w:rFonts w:ascii="Arial" w:cs="Arial" w:eastAsia="Arial" w:hAnsi="Arial"/>
          <w:sz w:val="17"/>
          <w:szCs w:val="17"/>
          <w:color w:val="auto"/>
        </w:rPr>
        <w:t>In the absence of instructions, the Agent may act (or refrain from acting) as it considers to be in the best interest of the Lenders.</w:t>
      </w:r>
    </w:p>
    <w:p>
      <w:pPr>
        <w:spacing w:after="0" w:line="142" w:lineRule="exact"/>
        <w:rPr>
          <w:rFonts w:ascii="Arial" w:cs="Arial" w:eastAsia="Arial" w:hAnsi="Arial"/>
          <w:sz w:val="17"/>
          <w:szCs w:val="17"/>
          <w:color w:val="auto"/>
        </w:rPr>
      </w:pPr>
    </w:p>
    <w:p>
      <w:pPr>
        <w:ind w:left="1304" w:right="80" w:hanging="535"/>
        <w:spacing w:after="0" w:line="259" w:lineRule="auto"/>
        <w:tabs>
          <w:tab w:leader="none" w:pos="1304" w:val="left"/>
        </w:tabs>
        <w:numPr>
          <w:ilvl w:val="0"/>
          <w:numId w:val="1058"/>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 This paragraph (f) shall not apply to any legal or arbitration proceeding relating to the perfection, preservation or protection of rights under the Transaction Security Documents or enforcement of the Transaction Security or Transaction Security Documents.</w:t>
      </w:r>
    </w:p>
    <w:p>
      <w:pPr>
        <w:spacing w:after="0" w:line="119" w:lineRule="exact"/>
        <w:rPr>
          <w:sz w:val="20"/>
          <w:szCs w:val="20"/>
          <w:color w:val="auto"/>
        </w:rPr>
      </w:pPr>
    </w:p>
    <w:p>
      <w:pPr>
        <w:jc w:val="both"/>
        <w:ind w:left="5484"/>
        <w:spacing w:after="0"/>
        <w:tabs>
          <w:tab w:leader="none" w:pos="8844"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12" w:name="page713"/>
    <w:bookmarkEnd w:id="712"/>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28.3</w:t>
      </w:r>
      <w:r>
        <w:rPr>
          <w:sz w:val="20"/>
          <w:szCs w:val="20"/>
          <w:color w:val="auto"/>
        </w:rPr>
        <w:tab/>
      </w:r>
      <w:r>
        <w:rPr>
          <w:rFonts w:ascii="Arial" w:cs="Arial" w:eastAsia="Arial" w:hAnsi="Arial"/>
          <w:sz w:val="16"/>
          <w:szCs w:val="16"/>
          <w:b w:val="1"/>
          <w:bCs w:val="1"/>
          <w:color w:val="auto"/>
        </w:rPr>
        <w:t>Duties of the Agent</w:t>
      </w:r>
    </w:p>
    <w:p>
      <w:pPr>
        <w:spacing w:after="0" w:line="135" w:lineRule="exact"/>
        <w:rPr>
          <w:sz w:val="20"/>
          <w:szCs w:val="20"/>
          <w:color w:val="auto"/>
        </w:rPr>
      </w:pPr>
    </w:p>
    <w:p>
      <w:pPr>
        <w:ind w:left="1300" w:right="180" w:hanging="535"/>
        <w:spacing w:after="0" w:line="277" w:lineRule="auto"/>
        <w:tabs>
          <w:tab w:leader="none" w:pos="130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 The Agent shall have no duties save as expressly provided under or in connection with any Finance Document.</w:t>
      </w:r>
    </w:p>
    <w:p>
      <w:pPr>
        <w:spacing w:after="0" w:line="75" w:lineRule="exact"/>
        <w:rPr>
          <w:rFonts w:ascii="Arial" w:cs="Arial" w:eastAsia="Arial" w:hAnsi="Arial"/>
          <w:sz w:val="18"/>
          <w:szCs w:val="18"/>
          <w:color w:val="auto"/>
        </w:rPr>
      </w:pPr>
    </w:p>
    <w:p>
      <w:pPr>
        <w:ind w:left="1300" w:right="80" w:hanging="535"/>
        <w:spacing w:after="0" w:line="277" w:lineRule="auto"/>
        <w:tabs>
          <w:tab w:leader="none" w:pos="130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Subject to paragraph (c) below, the Agent shall promptly forward to a Party the original or a copy of any document which is delivered to the Agent for that Party by any other Party.</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1059"/>
        </w:numPr>
        <w:rPr>
          <w:rFonts w:ascii="Arial" w:cs="Arial" w:eastAsia="Arial" w:hAnsi="Arial"/>
          <w:sz w:val="16"/>
          <w:szCs w:val="16"/>
          <w:color w:val="auto"/>
        </w:rPr>
      </w:pPr>
      <w:r>
        <w:rPr>
          <w:rFonts w:ascii="Arial" w:cs="Arial" w:eastAsia="Arial" w:hAnsi="Arial"/>
          <w:sz w:val="16"/>
          <w:szCs w:val="16"/>
          <w:color w:val="auto"/>
        </w:rPr>
        <w:t>Without prejudice to Clause 25.7 (</w:t>
      </w:r>
      <w:r>
        <w:rPr>
          <w:rFonts w:ascii="Arial" w:cs="Arial" w:eastAsia="Arial" w:hAnsi="Arial"/>
          <w:sz w:val="16"/>
          <w:szCs w:val="16"/>
          <w:i w:val="1"/>
          <w:iCs w:val="1"/>
          <w:color w:val="auto"/>
        </w:rPr>
        <w:t>Copy of assignments, transfer and accession documents to the Borrower and Parent</w:t>
      </w:r>
      <w:r>
        <w:rPr>
          <w:rFonts w:ascii="Arial" w:cs="Arial" w:eastAsia="Arial" w:hAnsi="Arial"/>
          <w:sz w:val="16"/>
          <w:szCs w:val="16"/>
          <w:color w:val="auto"/>
        </w:rPr>
        <w:t>), paragraph</w:t>
      </w:r>
    </w:p>
    <w:p>
      <w:pPr>
        <w:spacing w:after="0" w:line="46" w:lineRule="exact"/>
        <w:rPr>
          <w:rFonts w:ascii="Arial" w:cs="Arial" w:eastAsia="Arial" w:hAnsi="Arial"/>
          <w:sz w:val="16"/>
          <w:szCs w:val="16"/>
          <w:color w:val="auto"/>
        </w:rPr>
      </w:pPr>
    </w:p>
    <w:p>
      <w:pPr>
        <w:ind w:left="1300" w:right="160"/>
        <w:spacing w:after="0" w:line="260" w:lineRule="auto"/>
        <w:rPr>
          <w:rFonts w:ascii="Arial" w:cs="Arial" w:eastAsia="Arial" w:hAnsi="Arial"/>
          <w:sz w:val="16"/>
          <w:szCs w:val="16"/>
          <w:color w:val="auto"/>
        </w:rPr>
      </w:pPr>
      <w:r>
        <w:rPr>
          <w:rFonts w:ascii="Arial" w:cs="Arial" w:eastAsia="Arial" w:hAnsi="Arial"/>
          <w:sz w:val="18"/>
          <w:szCs w:val="18"/>
          <w:color w:val="auto"/>
        </w:rPr>
        <w:t>(b) above shall not apply to any Transfer Certificate, any Assignment Agreement and Lender Accession Undertaking or any Increase Confirmation.</w:t>
      </w:r>
    </w:p>
    <w:p>
      <w:pPr>
        <w:spacing w:after="0" w:line="90" w:lineRule="exact"/>
        <w:rPr>
          <w:rFonts w:ascii="Arial" w:cs="Arial" w:eastAsia="Arial" w:hAnsi="Arial"/>
          <w:sz w:val="16"/>
          <w:szCs w:val="16"/>
          <w:color w:val="auto"/>
        </w:rPr>
      </w:pPr>
    </w:p>
    <w:p>
      <w:pPr>
        <w:ind w:left="1300" w:hanging="535"/>
        <w:spacing w:after="0" w:line="277" w:lineRule="auto"/>
        <w:tabs>
          <w:tab w:leader="none" w:pos="130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75" w:lineRule="exact"/>
        <w:rPr>
          <w:rFonts w:ascii="Arial" w:cs="Arial" w:eastAsia="Arial" w:hAnsi="Arial"/>
          <w:sz w:val="18"/>
          <w:szCs w:val="18"/>
          <w:color w:val="auto"/>
        </w:rPr>
      </w:pPr>
    </w:p>
    <w:p>
      <w:pPr>
        <w:ind w:left="1300" w:right="80" w:hanging="535"/>
        <w:spacing w:after="0" w:line="277" w:lineRule="auto"/>
        <w:tabs>
          <w:tab w:leader="none" w:pos="130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75" w:lineRule="exact"/>
        <w:rPr>
          <w:rFonts w:ascii="Arial" w:cs="Arial" w:eastAsia="Arial" w:hAnsi="Arial"/>
          <w:sz w:val="18"/>
          <w:szCs w:val="18"/>
          <w:color w:val="auto"/>
        </w:rPr>
      </w:pPr>
    </w:p>
    <w:p>
      <w:pPr>
        <w:ind w:left="1300" w:right="20" w:hanging="535"/>
        <w:spacing w:after="0" w:line="342" w:lineRule="auto"/>
        <w:tabs>
          <w:tab w:leader="none" w:pos="1300" w:val="left"/>
        </w:tabs>
        <w:numPr>
          <w:ilvl w:val="0"/>
          <w:numId w:val="1059"/>
        </w:numPr>
        <w:rPr>
          <w:rFonts w:ascii="Arial" w:cs="Arial" w:eastAsia="Arial" w:hAnsi="Arial"/>
          <w:sz w:val="16"/>
          <w:szCs w:val="16"/>
          <w:color w:val="auto"/>
        </w:rPr>
      </w:pPr>
      <w:r>
        <w:rPr>
          <w:rFonts w:ascii="Arial" w:cs="Arial" w:eastAsia="Arial" w:hAnsi="Arial"/>
          <w:sz w:val="16"/>
          <w:szCs w:val="16"/>
          <w:color w:val="auto"/>
        </w:rPr>
        <w:t>If the Agent is aware of the non-payment of any principal, interest, commitment fee or other fee payable to a Finance Party (other than the Agent, the Common Security Agent or the POA Agent) under this Agreement it shall promptly notify the other Finance Parties.</w:t>
      </w:r>
    </w:p>
    <w:p>
      <w:pPr>
        <w:spacing w:after="0" w:line="29" w:lineRule="exact"/>
        <w:rPr>
          <w:rFonts w:ascii="Arial" w:cs="Arial" w:eastAsia="Arial" w:hAnsi="Arial"/>
          <w:sz w:val="16"/>
          <w:szCs w:val="16"/>
          <w:color w:val="auto"/>
        </w:rPr>
      </w:pPr>
    </w:p>
    <w:p>
      <w:pPr>
        <w:ind w:left="1300" w:right="260" w:hanging="535"/>
        <w:spacing w:after="0" w:line="277" w:lineRule="auto"/>
        <w:tabs>
          <w:tab w:leader="none" w:pos="130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75" w:lineRule="exact"/>
        <w:rPr>
          <w:rFonts w:ascii="Arial" w:cs="Arial" w:eastAsia="Arial" w:hAnsi="Arial"/>
          <w:sz w:val="18"/>
          <w:szCs w:val="18"/>
          <w:color w:val="auto"/>
        </w:rPr>
      </w:pPr>
    </w:p>
    <w:p>
      <w:pPr>
        <w:ind w:left="1300" w:right="60" w:hanging="535"/>
        <w:spacing w:after="0" w:line="271" w:lineRule="auto"/>
        <w:tabs>
          <w:tab w:leader="none" w:pos="1300" w:val="left"/>
        </w:tabs>
        <w:numPr>
          <w:ilvl w:val="0"/>
          <w:numId w:val="1059"/>
        </w:numPr>
        <w:rPr>
          <w:rFonts w:ascii="Arial" w:cs="Arial" w:eastAsia="Arial" w:hAnsi="Arial"/>
          <w:sz w:val="17"/>
          <w:szCs w:val="17"/>
          <w:color w:val="auto"/>
        </w:rPr>
      </w:pPr>
      <w:r>
        <w:rPr>
          <w:rFonts w:ascii="Arial" w:cs="Arial" w:eastAsia="Arial" w:hAnsi="Arial"/>
          <w:sz w:val="17"/>
          <w:szCs w:val="17"/>
          <w:color w:val="auto"/>
        </w:rPr>
        <w:t>The Agent shall provide to the Borrower promptly upon request by the Borrower (but no more frequently than once in any three month period), a list (which may be in electronic form) setting out the names of the Lenders as at the date of that request, their respective Commitments, the address and fax number (and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sending and receipt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w:t>
      </w:r>
    </w:p>
    <w:p>
      <w:pPr>
        <w:spacing w:after="0" w:line="3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b w:val="1"/>
          <w:bCs w:val="1"/>
          <w:color w:val="auto"/>
        </w:rPr>
        <w:t>No fiduciary duties</w:t>
      </w:r>
    </w:p>
    <w:p>
      <w:pPr>
        <w:spacing w:after="0" w:line="135" w:lineRule="exact"/>
        <w:rPr>
          <w:sz w:val="20"/>
          <w:szCs w:val="20"/>
          <w:color w:val="auto"/>
        </w:rPr>
      </w:pPr>
    </w:p>
    <w:p>
      <w:pPr>
        <w:ind w:left="1300" w:hanging="535"/>
        <w:spacing w:after="0"/>
        <w:tabs>
          <w:tab w:leader="none" w:pos="1300" w:val="left"/>
        </w:tabs>
        <w:numPr>
          <w:ilvl w:val="0"/>
          <w:numId w:val="1060"/>
        </w:numPr>
        <w:rPr>
          <w:rFonts w:ascii="Arial" w:cs="Arial" w:eastAsia="Arial" w:hAnsi="Arial"/>
          <w:sz w:val="18"/>
          <w:szCs w:val="18"/>
          <w:color w:val="auto"/>
        </w:rPr>
      </w:pPr>
      <w:r>
        <w:rPr>
          <w:rFonts w:ascii="Arial" w:cs="Arial" w:eastAsia="Arial" w:hAnsi="Arial"/>
          <w:sz w:val="18"/>
          <w:szCs w:val="18"/>
          <w:color w:val="auto"/>
        </w:rPr>
        <w:t>Nothing in any Finance Document constitutes the Agent as a trustee or fiduciary of any other person.</w:t>
      </w:r>
    </w:p>
    <w:p>
      <w:pPr>
        <w:spacing w:after="0" w:line="130" w:lineRule="exact"/>
        <w:rPr>
          <w:rFonts w:ascii="Arial" w:cs="Arial" w:eastAsia="Arial" w:hAnsi="Arial"/>
          <w:sz w:val="18"/>
          <w:szCs w:val="18"/>
          <w:color w:val="auto"/>
        </w:rPr>
      </w:pPr>
    </w:p>
    <w:p>
      <w:pPr>
        <w:ind w:left="1300" w:right="640" w:hanging="535"/>
        <w:spacing w:after="0" w:line="277" w:lineRule="auto"/>
        <w:tabs>
          <w:tab w:leader="none" w:pos="1300" w:val="left"/>
        </w:tabs>
        <w:numPr>
          <w:ilvl w:val="0"/>
          <w:numId w:val="1060"/>
        </w:numPr>
        <w:rPr>
          <w:rFonts w:ascii="Arial" w:cs="Arial" w:eastAsia="Arial" w:hAnsi="Arial"/>
          <w:sz w:val="18"/>
          <w:szCs w:val="18"/>
          <w:color w:val="auto"/>
        </w:rPr>
      </w:pPr>
      <w:r>
        <w:rPr>
          <w:rFonts w:ascii="Arial" w:cs="Arial" w:eastAsia="Arial" w:hAnsi="Arial"/>
          <w:sz w:val="18"/>
          <w:szCs w:val="18"/>
          <w:color w:val="auto"/>
        </w:rPr>
        <w:t>The Agent shall not be bound to account to any Lender for any sum or the profit element of any sum received by it for its own account.</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5"/>
          <w:szCs w:val="15"/>
          <w:b w:val="1"/>
          <w:bCs w:val="1"/>
          <w:color w:val="auto"/>
        </w:rPr>
        <w:t>Business with the Group</w:t>
      </w:r>
    </w:p>
    <w:p>
      <w:pPr>
        <w:spacing w:after="0" w:line="121" w:lineRule="exact"/>
        <w:rPr>
          <w:sz w:val="20"/>
          <w:szCs w:val="20"/>
          <w:color w:val="auto"/>
        </w:rPr>
      </w:pPr>
    </w:p>
    <w:p>
      <w:pPr>
        <w:ind w:left="760" w:right="200"/>
        <w:spacing w:after="0" w:line="277" w:lineRule="auto"/>
        <w:rPr>
          <w:sz w:val="20"/>
          <w:szCs w:val="20"/>
          <w:color w:val="auto"/>
        </w:rPr>
      </w:pPr>
      <w:r>
        <w:rPr>
          <w:rFonts w:ascii="Arial" w:cs="Arial" w:eastAsia="Arial" w:hAnsi="Arial"/>
          <w:sz w:val="18"/>
          <w:szCs w:val="18"/>
          <w:color w:val="auto"/>
        </w:rPr>
        <w:t>The Agent may accept deposits from, lend money to and generally engage in any kind of banking or other business with any member of the Group.</w:t>
      </w:r>
    </w:p>
    <w:p>
      <w:pPr>
        <w:spacing w:after="0" w:line="103"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13" w:name="page714"/>
    <w:bookmarkEnd w:id="713"/>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28.6</w:t>
      </w:r>
      <w:r>
        <w:rPr>
          <w:sz w:val="20"/>
          <w:szCs w:val="20"/>
          <w:color w:val="auto"/>
        </w:rPr>
        <w:tab/>
      </w:r>
      <w:r>
        <w:rPr>
          <w:rFonts w:ascii="Arial" w:cs="Arial" w:eastAsia="Arial" w:hAnsi="Arial"/>
          <w:sz w:val="15"/>
          <w:szCs w:val="15"/>
          <w:b w:val="1"/>
          <w:bCs w:val="1"/>
          <w:color w:val="auto"/>
        </w:rPr>
        <w:t>Rights and discretions</w:t>
      </w:r>
    </w:p>
    <w:p>
      <w:pPr>
        <w:spacing w:after="0" w:line="135" w:lineRule="exact"/>
        <w:rPr>
          <w:sz w:val="20"/>
          <w:szCs w:val="20"/>
          <w:color w:val="auto"/>
        </w:rPr>
      </w:pPr>
    </w:p>
    <w:p>
      <w:pPr>
        <w:ind w:left="1300" w:hanging="535"/>
        <w:spacing w:after="0"/>
        <w:tabs>
          <w:tab w:leader="none" w:pos="1300" w:val="left"/>
        </w:tabs>
        <w:numPr>
          <w:ilvl w:val="0"/>
          <w:numId w:val="1061"/>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130" w:lineRule="exact"/>
        <w:rPr>
          <w:rFonts w:ascii="Arial" w:cs="Arial" w:eastAsia="Arial" w:hAnsi="Arial"/>
          <w:sz w:val="18"/>
          <w:szCs w:val="18"/>
          <w:color w:val="auto"/>
        </w:rPr>
      </w:pPr>
    </w:p>
    <w:p>
      <w:pPr>
        <w:ind w:left="1960" w:right="560" w:hanging="655"/>
        <w:spacing w:after="0" w:line="277" w:lineRule="auto"/>
        <w:tabs>
          <w:tab w:leader="none" w:pos="1960" w:val="left"/>
        </w:tabs>
        <w:numPr>
          <w:ilvl w:val="1"/>
          <w:numId w:val="1061"/>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believed by it to be genuine, correct and appropriately authorised and shall have no duty to verify any signature on any document;</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1061"/>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30" w:lineRule="exact"/>
        <w:rPr>
          <w:rFonts w:ascii="Arial" w:cs="Arial" w:eastAsia="Arial" w:hAnsi="Arial"/>
          <w:sz w:val="18"/>
          <w:szCs w:val="18"/>
          <w:color w:val="auto"/>
        </w:rPr>
      </w:pPr>
    </w:p>
    <w:p>
      <w:pPr>
        <w:ind w:left="2500" w:right="360" w:hanging="533"/>
        <w:spacing w:after="0" w:line="277" w:lineRule="auto"/>
        <w:tabs>
          <w:tab w:leader="none" w:pos="2500" w:val="left"/>
        </w:tabs>
        <w:numPr>
          <w:ilvl w:val="2"/>
          <w:numId w:val="1061"/>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75" w:lineRule="exact"/>
        <w:rPr>
          <w:rFonts w:ascii="Arial" w:cs="Arial" w:eastAsia="Arial" w:hAnsi="Arial"/>
          <w:sz w:val="18"/>
          <w:szCs w:val="18"/>
          <w:color w:val="auto"/>
        </w:rPr>
      </w:pPr>
    </w:p>
    <w:p>
      <w:pPr>
        <w:ind w:left="2500" w:hanging="533"/>
        <w:spacing w:after="0"/>
        <w:tabs>
          <w:tab w:leader="none" w:pos="2500" w:val="left"/>
        </w:tabs>
        <w:numPr>
          <w:ilvl w:val="2"/>
          <w:numId w:val="1061"/>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61"/>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130" w:lineRule="exact"/>
        <w:rPr>
          <w:rFonts w:ascii="Arial" w:cs="Arial" w:eastAsia="Arial" w:hAnsi="Arial"/>
          <w:sz w:val="18"/>
          <w:szCs w:val="18"/>
          <w:color w:val="auto"/>
        </w:rPr>
      </w:pPr>
    </w:p>
    <w:p>
      <w:pPr>
        <w:ind w:left="2500" w:right="480" w:hanging="533"/>
        <w:spacing w:after="0" w:line="277" w:lineRule="auto"/>
        <w:tabs>
          <w:tab w:leader="none" w:pos="2500" w:val="left"/>
        </w:tabs>
        <w:numPr>
          <w:ilvl w:val="2"/>
          <w:numId w:val="1061"/>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75" w:lineRule="exact"/>
        <w:rPr>
          <w:rFonts w:ascii="Arial" w:cs="Arial" w:eastAsia="Arial" w:hAnsi="Arial"/>
          <w:sz w:val="18"/>
          <w:szCs w:val="18"/>
          <w:color w:val="auto"/>
        </w:rPr>
      </w:pPr>
    </w:p>
    <w:p>
      <w:pPr>
        <w:ind w:left="2500" w:hanging="533"/>
        <w:spacing w:after="0"/>
        <w:tabs>
          <w:tab w:leader="none" w:pos="2500" w:val="left"/>
        </w:tabs>
        <w:numPr>
          <w:ilvl w:val="2"/>
          <w:numId w:val="1061"/>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117" w:lineRule="exact"/>
        <w:rPr>
          <w:sz w:val="20"/>
          <w:szCs w:val="20"/>
          <w:color w:val="auto"/>
        </w:rPr>
      </w:pPr>
    </w:p>
    <w:p>
      <w:pPr>
        <w:ind w:left="1980" w:right="60"/>
        <w:spacing w:after="0" w:line="277"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 and</w:t>
      </w:r>
    </w:p>
    <w:p>
      <w:pPr>
        <w:spacing w:after="0" w:line="76" w:lineRule="exact"/>
        <w:rPr>
          <w:sz w:val="20"/>
          <w:szCs w:val="20"/>
          <w:color w:val="auto"/>
        </w:rPr>
      </w:pPr>
    </w:p>
    <w:p>
      <w:pPr>
        <w:ind w:left="1960" w:right="80" w:hanging="655"/>
        <w:spacing w:after="0" w:line="308" w:lineRule="auto"/>
        <w:tabs>
          <w:tab w:leader="none" w:pos="1960" w:val="left"/>
        </w:tabs>
        <w:numPr>
          <w:ilvl w:val="1"/>
          <w:numId w:val="1062"/>
        </w:numPr>
        <w:rPr>
          <w:rFonts w:ascii="Arial" w:cs="Arial" w:eastAsia="Arial" w:hAnsi="Arial"/>
          <w:sz w:val="17"/>
          <w:szCs w:val="17"/>
          <w:color w:val="auto"/>
        </w:rPr>
      </w:pPr>
      <w:r>
        <w:rPr>
          <w:rFonts w:ascii="Arial" w:cs="Arial" w:eastAsia="Arial" w:hAnsi="Arial"/>
          <w:sz w:val="17"/>
          <w:szCs w:val="17"/>
          <w:color w:val="auto"/>
        </w:rPr>
        <w:t>rely on any statement made or purportedly made by a director, authorised signatory or employee of any person regarding any matters which may reasonably be assumed to be within his knowledge or within his power to verify.</w:t>
      </w:r>
    </w:p>
    <w:p>
      <w:pPr>
        <w:spacing w:after="0" w:line="51" w:lineRule="exact"/>
        <w:rPr>
          <w:rFonts w:ascii="Arial" w:cs="Arial" w:eastAsia="Arial" w:hAnsi="Arial"/>
          <w:sz w:val="17"/>
          <w:szCs w:val="17"/>
          <w:color w:val="auto"/>
        </w:rPr>
      </w:pPr>
    </w:p>
    <w:p>
      <w:pPr>
        <w:ind w:left="1300" w:hanging="535"/>
        <w:spacing w:after="0"/>
        <w:tabs>
          <w:tab w:leader="none" w:pos="1300" w:val="left"/>
        </w:tabs>
        <w:numPr>
          <w:ilvl w:val="0"/>
          <w:numId w:val="1063"/>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Lenders) that:</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63"/>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24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right="300" w:hanging="655"/>
        <w:spacing w:after="0" w:line="277" w:lineRule="auto"/>
        <w:tabs>
          <w:tab w:leader="none" w:pos="1960" w:val="left"/>
        </w:tabs>
        <w:numPr>
          <w:ilvl w:val="1"/>
          <w:numId w:val="1063"/>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the Majority Lenders or any group of Lenders has not been exercised;</w:t>
      </w:r>
    </w:p>
    <w:p>
      <w:pPr>
        <w:spacing w:after="0" w:line="75" w:lineRule="exact"/>
        <w:rPr>
          <w:rFonts w:ascii="Arial" w:cs="Arial" w:eastAsia="Arial" w:hAnsi="Arial"/>
          <w:sz w:val="18"/>
          <w:szCs w:val="18"/>
          <w:color w:val="auto"/>
        </w:rPr>
      </w:pPr>
    </w:p>
    <w:p>
      <w:pPr>
        <w:ind w:left="1960" w:right="200" w:hanging="655"/>
        <w:spacing w:after="0" w:line="277" w:lineRule="auto"/>
        <w:tabs>
          <w:tab w:leader="none" w:pos="1960" w:val="left"/>
        </w:tabs>
        <w:numPr>
          <w:ilvl w:val="1"/>
          <w:numId w:val="1063"/>
        </w:numPr>
        <w:rPr>
          <w:rFonts w:ascii="Arial" w:cs="Arial" w:eastAsia="Arial" w:hAnsi="Arial"/>
          <w:sz w:val="18"/>
          <w:szCs w:val="18"/>
          <w:color w:val="auto"/>
        </w:rPr>
      </w:pPr>
      <w:r>
        <w:rPr>
          <w:rFonts w:ascii="Arial" w:cs="Arial" w:eastAsia="Arial" w:hAnsi="Arial"/>
          <w:sz w:val="18"/>
          <w:szCs w:val="18"/>
          <w:color w:val="auto"/>
        </w:rPr>
        <w:t>any notice or request made by the Borrower (other than a Utilisation Request or Selection Notice) is made on behalf of and with the consent and knowledge of all the Obligors; and</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1063"/>
        </w:numPr>
        <w:rPr>
          <w:rFonts w:ascii="Arial" w:cs="Arial" w:eastAsia="Arial" w:hAnsi="Arial"/>
          <w:sz w:val="18"/>
          <w:szCs w:val="18"/>
          <w:color w:val="auto"/>
        </w:rPr>
      </w:pPr>
      <w:r>
        <w:rPr>
          <w:rFonts w:ascii="Arial" w:cs="Arial" w:eastAsia="Arial" w:hAnsi="Arial"/>
          <w:sz w:val="18"/>
          <w:szCs w:val="18"/>
          <w:color w:val="auto"/>
        </w:rPr>
        <w:t>no Notifiable Debt Purchase Transaction:</w:t>
      </w:r>
    </w:p>
    <w:p>
      <w:pPr>
        <w:spacing w:after="0" w:line="130" w:lineRule="exact"/>
        <w:rPr>
          <w:rFonts w:ascii="Arial" w:cs="Arial" w:eastAsia="Arial" w:hAnsi="Arial"/>
          <w:sz w:val="18"/>
          <w:szCs w:val="18"/>
          <w:color w:val="auto"/>
        </w:rPr>
      </w:pPr>
    </w:p>
    <w:p>
      <w:pPr>
        <w:ind w:left="2500" w:hanging="533"/>
        <w:spacing w:after="0"/>
        <w:tabs>
          <w:tab w:leader="none" w:pos="2500" w:val="left"/>
        </w:tabs>
        <w:numPr>
          <w:ilvl w:val="2"/>
          <w:numId w:val="1063"/>
        </w:numPr>
        <w:rPr>
          <w:rFonts w:ascii="Arial" w:cs="Arial" w:eastAsia="Arial" w:hAnsi="Arial"/>
          <w:sz w:val="18"/>
          <w:szCs w:val="18"/>
          <w:color w:val="auto"/>
        </w:rPr>
      </w:pPr>
      <w:r>
        <w:rPr>
          <w:rFonts w:ascii="Arial" w:cs="Arial" w:eastAsia="Arial" w:hAnsi="Arial"/>
          <w:sz w:val="18"/>
          <w:szCs w:val="18"/>
          <w:color w:val="auto"/>
        </w:rPr>
        <w:t>has been entered into;</w:t>
      </w:r>
    </w:p>
    <w:p>
      <w:pPr>
        <w:spacing w:after="0" w:line="130" w:lineRule="exact"/>
        <w:rPr>
          <w:rFonts w:ascii="Arial" w:cs="Arial" w:eastAsia="Arial" w:hAnsi="Arial"/>
          <w:sz w:val="18"/>
          <w:szCs w:val="18"/>
          <w:color w:val="auto"/>
        </w:rPr>
      </w:pPr>
    </w:p>
    <w:p>
      <w:pPr>
        <w:ind w:left="2500" w:hanging="533"/>
        <w:spacing w:after="0"/>
        <w:tabs>
          <w:tab w:leader="none" w:pos="2500" w:val="left"/>
        </w:tabs>
        <w:numPr>
          <w:ilvl w:val="2"/>
          <w:numId w:val="1063"/>
        </w:numPr>
        <w:rPr>
          <w:rFonts w:ascii="Arial" w:cs="Arial" w:eastAsia="Arial" w:hAnsi="Arial"/>
          <w:sz w:val="18"/>
          <w:szCs w:val="18"/>
          <w:color w:val="auto"/>
        </w:rPr>
      </w:pPr>
      <w:r>
        <w:rPr>
          <w:rFonts w:ascii="Arial" w:cs="Arial" w:eastAsia="Arial" w:hAnsi="Arial"/>
          <w:sz w:val="18"/>
          <w:szCs w:val="18"/>
          <w:color w:val="auto"/>
        </w:rPr>
        <w:t>has been terminated; or</w:t>
      </w:r>
    </w:p>
    <w:p>
      <w:pPr>
        <w:spacing w:after="0" w:line="130" w:lineRule="exact"/>
        <w:rPr>
          <w:rFonts w:ascii="Arial" w:cs="Arial" w:eastAsia="Arial" w:hAnsi="Arial"/>
          <w:sz w:val="18"/>
          <w:szCs w:val="18"/>
          <w:color w:val="auto"/>
        </w:rPr>
      </w:pPr>
    </w:p>
    <w:p>
      <w:pPr>
        <w:ind w:left="2500" w:hanging="533"/>
        <w:spacing w:after="0"/>
        <w:tabs>
          <w:tab w:leader="none" w:pos="2500" w:val="left"/>
        </w:tabs>
        <w:numPr>
          <w:ilvl w:val="2"/>
          <w:numId w:val="1063"/>
        </w:numPr>
        <w:rPr>
          <w:rFonts w:ascii="Arial" w:cs="Arial" w:eastAsia="Arial" w:hAnsi="Arial"/>
          <w:sz w:val="18"/>
          <w:szCs w:val="18"/>
          <w:color w:val="auto"/>
        </w:rPr>
      </w:pPr>
      <w:r>
        <w:rPr>
          <w:rFonts w:ascii="Arial" w:cs="Arial" w:eastAsia="Arial" w:hAnsi="Arial"/>
          <w:sz w:val="18"/>
          <w:szCs w:val="18"/>
          <w:color w:val="auto"/>
        </w:rPr>
        <w:t>has ceased to be with a Sponsor Affiliate.</w:t>
      </w:r>
    </w:p>
    <w:p>
      <w:pPr>
        <w:spacing w:after="0" w:line="130" w:lineRule="exact"/>
        <w:rPr>
          <w:rFonts w:ascii="Arial" w:cs="Arial" w:eastAsia="Arial" w:hAnsi="Arial"/>
          <w:sz w:val="18"/>
          <w:szCs w:val="18"/>
          <w:color w:val="auto"/>
        </w:rPr>
      </w:pPr>
    </w:p>
    <w:p>
      <w:pPr>
        <w:ind w:left="1300" w:right="180" w:hanging="535"/>
        <w:spacing w:after="0" w:line="286" w:lineRule="auto"/>
        <w:tabs>
          <w:tab w:leader="none" w:pos="1300" w:val="left"/>
        </w:tabs>
        <w:numPr>
          <w:ilvl w:val="0"/>
          <w:numId w:val="1063"/>
        </w:numPr>
        <w:rPr>
          <w:rFonts w:ascii="Arial" w:cs="Arial" w:eastAsia="Arial" w:hAnsi="Arial"/>
          <w:sz w:val="17"/>
          <w:szCs w:val="17"/>
          <w:color w:val="auto"/>
        </w:rPr>
      </w:pPr>
      <w:r>
        <w:rPr>
          <w:rFonts w:ascii="Arial" w:cs="Arial" w:eastAsia="Arial" w:hAnsi="Arial"/>
          <w:sz w:val="17"/>
          <w:szCs w:val="17"/>
          <w:color w:val="auto"/>
        </w:rPr>
        <w:t>The Agent may engage, pay for and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98"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14" w:name="page715"/>
    <w:bookmarkEnd w:id="714"/>
    <w:p>
      <w:pPr>
        <w:jc w:val="both"/>
        <w:ind w:left="1300" w:right="120" w:hanging="535"/>
        <w:spacing w:after="0" w:line="263" w:lineRule="auto"/>
        <w:tabs>
          <w:tab w:leader="none" w:pos="1300" w:val="left"/>
        </w:tabs>
        <w:numPr>
          <w:ilvl w:val="0"/>
          <w:numId w:val="10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prejudice to the generality of paragraph (c) above, the Agent may at any time engage and pay for the services of any lawyers to act as independent counsel to the Agent (and so separate from any lawyers instructed by the Lenders) if the Agent in its reasonable opinion deems this to be desirable.</w:t>
      </w:r>
    </w:p>
    <w:p>
      <w:pPr>
        <w:spacing w:after="0" w:line="89" w:lineRule="exact"/>
        <w:rPr>
          <w:rFonts w:ascii="Arial" w:cs="Arial" w:eastAsia="Arial" w:hAnsi="Arial"/>
          <w:sz w:val="18"/>
          <w:szCs w:val="18"/>
          <w:color w:val="auto"/>
        </w:rPr>
      </w:pPr>
    </w:p>
    <w:p>
      <w:pPr>
        <w:ind w:left="1300" w:hanging="535"/>
        <w:spacing w:after="0"/>
        <w:tabs>
          <w:tab w:leader="none" w:pos="1300" w:val="left"/>
        </w:tabs>
        <w:numPr>
          <w:ilvl w:val="0"/>
          <w:numId w:val="1064"/>
        </w:numPr>
        <w:rPr>
          <w:rFonts w:ascii="Arial" w:cs="Arial" w:eastAsia="Arial" w:hAnsi="Arial"/>
          <w:sz w:val="17"/>
          <w:szCs w:val="17"/>
          <w:color w:val="auto"/>
        </w:rPr>
      </w:pPr>
      <w:r>
        <w:rPr>
          <w:rFonts w:ascii="Arial" w:cs="Arial" w:eastAsia="Arial" w:hAnsi="Arial"/>
          <w:sz w:val="17"/>
          <w:szCs w:val="17"/>
          <w:color w:val="auto"/>
        </w:rPr>
        <w:t>The Agent may act in relation to the Finance Documents through its officers, employees and agents and the Agent shall not:</w:t>
      </w:r>
    </w:p>
    <w:p>
      <w:pPr>
        <w:spacing w:after="0" w:line="142" w:lineRule="exact"/>
        <w:rPr>
          <w:rFonts w:ascii="Arial" w:cs="Arial" w:eastAsia="Arial" w:hAnsi="Arial"/>
          <w:sz w:val="17"/>
          <w:szCs w:val="17"/>
          <w:color w:val="auto"/>
        </w:rPr>
      </w:pPr>
    </w:p>
    <w:p>
      <w:pPr>
        <w:ind w:left="1960" w:hanging="655"/>
        <w:spacing w:after="0"/>
        <w:tabs>
          <w:tab w:leader="none" w:pos="1960" w:val="left"/>
        </w:tabs>
        <w:numPr>
          <w:ilvl w:val="1"/>
          <w:numId w:val="1064"/>
        </w:numPr>
        <w:rPr>
          <w:rFonts w:ascii="Arial" w:cs="Arial" w:eastAsia="Arial" w:hAnsi="Arial"/>
          <w:sz w:val="18"/>
          <w:szCs w:val="18"/>
          <w:color w:val="auto"/>
        </w:rPr>
      </w:pPr>
      <w:r>
        <w:rPr>
          <w:rFonts w:ascii="Arial" w:cs="Arial" w:eastAsia="Arial" w:hAnsi="Arial"/>
          <w:sz w:val="18"/>
          <w:szCs w:val="18"/>
          <w:color w:val="auto"/>
        </w:rPr>
        <w:t>be liable for any error of judgment made by any such person; or</w:t>
      </w:r>
    </w:p>
    <w:p>
      <w:pPr>
        <w:spacing w:after="0" w:line="130" w:lineRule="exact"/>
        <w:rPr>
          <w:rFonts w:ascii="Arial" w:cs="Arial" w:eastAsia="Arial" w:hAnsi="Arial"/>
          <w:sz w:val="18"/>
          <w:szCs w:val="18"/>
          <w:color w:val="auto"/>
        </w:rPr>
      </w:pPr>
    </w:p>
    <w:p>
      <w:pPr>
        <w:ind w:left="1960" w:right="260" w:hanging="655"/>
        <w:spacing w:after="0" w:line="277" w:lineRule="auto"/>
        <w:tabs>
          <w:tab w:leader="none" w:pos="1960" w:val="left"/>
        </w:tabs>
        <w:numPr>
          <w:ilvl w:val="1"/>
          <w:numId w:val="1064"/>
        </w:numPr>
        <w:rPr>
          <w:rFonts w:ascii="Arial" w:cs="Arial" w:eastAsia="Arial" w:hAnsi="Arial"/>
          <w:sz w:val="18"/>
          <w:szCs w:val="18"/>
          <w:color w:val="auto"/>
        </w:rPr>
      </w:pPr>
      <w:r>
        <w:rPr>
          <w:rFonts w:ascii="Arial" w:cs="Arial" w:eastAsia="Arial" w:hAnsi="Arial"/>
          <w:sz w:val="18"/>
          <w:szCs w:val="18"/>
          <w:color w:val="auto"/>
        </w:rPr>
        <w:t>be bound to supervise, or be in any way responsible for, any loss incurred by reason of misconduct, omission or default on the part of any such person,</w:t>
      </w:r>
    </w:p>
    <w:p>
      <w:pPr>
        <w:spacing w:after="0" w:line="6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unless such error or such loss was directly caused by the Agent’s gross negligence or wilful misconduct.</w:t>
      </w:r>
    </w:p>
    <w:p>
      <w:pPr>
        <w:spacing w:after="0" w:line="131" w:lineRule="exact"/>
        <w:rPr>
          <w:sz w:val="20"/>
          <w:szCs w:val="20"/>
          <w:color w:val="auto"/>
        </w:rPr>
      </w:pPr>
    </w:p>
    <w:p>
      <w:pPr>
        <w:ind w:left="1300" w:right="280" w:hanging="535"/>
        <w:spacing w:after="0" w:line="277" w:lineRule="auto"/>
        <w:tabs>
          <w:tab w:leader="none" w:pos="1300"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Without prejudice to the generality of paragraph (f) above, the Agent:</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65"/>
        </w:numPr>
        <w:rPr>
          <w:rFonts w:ascii="Arial" w:cs="Arial" w:eastAsia="Arial" w:hAnsi="Arial"/>
          <w:sz w:val="18"/>
          <w:szCs w:val="18"/>
          <w:color w:val="auto"/>
        </w:rPr>
      </w:pPr>
      <w:r>
        <w:rPr>
          <w:rFonts w:ascii="Arial" w:cs="Arial" w:eastAsia="Arial" w:hAnsi="Arial"/>
          <w:sz w:val="18"/>
          <w:szCs w:val="18"/>
          <w:color w:val="auto"/>
        </w:rPr>
        <w:t>may disclose; and</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65"/>
        </w:numPr>
        <w:rPr>
          <w:rFonts w:ascii="Arial" w:cs="Arial" w:eastAsia="Arial" w:hAnsi="Arial"/>
          <w:sz w:val="18"/>
          <w:szCs w:val="18"/>
          <w:color w:val="auto"/>
        </w:rPr>
      </w:pPr>
      <w:r>
        <w:rPr>
          <w:rFonts w:ascii="Arial" w:cs="Arial" w:eastAsia="Arial" w:hAnsi="Arial"/>
          <w:sz w:val="18"/>
          <w:szCs w:val="18"/>
          <w:color w:val="auto"/>
        </w:rPr>
        <w:t>on the written request of the Borrower or the Majority Lenders shall, as soon as reasonably practicable, disclose,</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identity of a Defaulting Lender to the Borrower and the other Finance Parties.</w:t>
      </w:r>
    </w:p>
    <w:p>
      <w:pPr>
        <w:spacing w:after="0" w:line="131" w:lineRule="exact"/>
        <w:rPr>
          <w:sz w:val="20"/>
          <w:szCs w:val="20"/>
          <w:color w:val="auto"/>
        </w:rPr>
      </w:pPr>
    </w:p>
    <w:p>
      <w:pPr>
        <w:ind w:left="1300" w:right="40" w:hanging="535"/>
        <w:spacing w:after="0" w:line="263" w:lineRule="auto"/>
        <w:tabs>
          <w:tab w:leader="none" w:pos="1300"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the Agent is not obliged to do or omit to do anything if it would or might in its reasonable opinion constitute a breach of any law or regulation or a breach of a fiduciary duty or duty of confidentiality.</w:t>
      </w:r>
    </w:p>
    <w:p>
      <w:pPr>
        <w:spacing w:after="0" w:line="89" w:lineRule="exact"/>
        <w:rPr>
          <w:rFonts w:ascii="Arial" w:cs="Arial" w:eastAsia="Arial" w:hAnsi="Arial"/>
          <w:sz w:val="18"/>
          <w:szCs w:val="18"/>
          <w:color w:val="auto"/>
        </w:rPr>
      </w:pPr>
    </w:p>
    <w:p>
      <w:pPr>
        <w:ind w:left="1300" w:right="80" w:hanging="535"/>
        <w:spacing w:after="0" w:line="263" w:lineRule="auto"/>
        <w:tabs>
          <w:tab w:leader="none" w:pos="1300"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the Agent may not disclose to any Finance Party any details of the rate notified to the Agent by any Lender or the identity of any such Lender for the purpose of paragraph (a)(ii) of Clause 13.2 (</w:t>
      </w:r>
      <w:r>
        <w:rPr>
          <w:rFonts w:ascii="Arial" w:cs="Arial" w:eastAsia="Arial" w:hAnsi="Arial"/>
          <w:sz w:val="18"/>
          <w:szCs w:val="18"/>
          <w:i w:val="1"/>
          <w:iCs w:val="1"/>
          <w:color w:val="auto"/>
        </w:rPr>
        <w:t>Market disruption</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300" w:right="200" w:hanging="535"/>
        <w:spacing w:after="0" w:line="259" w:lineRule="auto"/>
        <w:tabs>
          <w:tab w:leader="none" w:pos="1300"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3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Responsibility for documentation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Agent is and shall not be responsible for:</w:t>
      </w:r>
    </w:p>
    <w:p>
      <w:pPr>
        <w:spacing w:after="0" w:line="131" w:lineRule="exact"/>
        <w:rPr>
          <w:sz w:val="20"/>
          <w:szCs w:val="20"/>
          <w:color w:val="auto"/>
        </w:rPr>
      </w:pPr>
    </w:p>
    <w:p>
      <w:pPr>
        <w:ind w:left="1300" w:right="220" w:hanging="535"/>
        <w:spacing w:after="0" w:line="259" w:lineRule="auto"/>
        <w:tabs>
          <w:tab w:leader="none" w:pos="1300" w:val="left"/>
        </w:tabs>
        <w:numPr>
          <w:ilvl w:val="0"/>
          <w:numId w:val="1067"/>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(whether oral or written) supplied by the Agent, an Obligor or any other person given in or in connection with any Finance Document or the transactions contemplated in the Finance Documents or the transactions contemplated in the Finance Documents or any other agreement, arrangement or document entered into, made or executed in anticipation of, under or in connection with any Finance Document;</w:t>
      </w:r>
    </w:p>
    <w:p>
      <w:pPr>
        <w:spacing w:after="0" w:line="92" w:lineRule="exact"/>
        <w:rPr>
          <w:rFonts w:ascii="Arial" w:cs="Arial" w:eastAsia="Arial" w:hAnsi="Arial"/>
          <w:sz w:val="18"/>
          <w:szCs w:val="18"/>
          <w:color w:val="auto"/>
        </w:rPr>
      </w:pPr>
    </w:p>
    <w:p>
      <w:pPr>
        <w:jc w:val="both"/>
        <w:ind w:left="1300" w:right="440" w:hanging="535"/>
        <w:spacing w:after="0" w:line="263" w:lineRule="auto"/>
        <w:tabs>
          <w:tab w:leader="none" w:pos="1300" w:val="left"/>
        </w:tabs>
        <w:numPr>
          <w:ilvl w:val="0"/>
          <w:numId w:val="1067"/>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or the Transaction Security or any other agreement, arrangement or document entered into, made or executed in anticipation of, under or in connection with any Finance Document or the Transaction Security; or</w:t>
      </w:r>
    </w:p>
    <w:p>
      <w:pPr>
        <w:spacing w:after="0" w:line="116" w:lineRule="exact"/>
        <w:rPr>
          <w:sz w:val="20"/>
          <w:szCs w:val="20"/>
          <w:color w:val="auto"/>
        </w:rPr>
      </w:pPr>
    </w:p>
    <w:p>
      <w:pPr>
        <w:jc w:val="both"/>
        <w:ind w:left="5480"/>
        <w:spacing w:after="0"/>
        <w:tabs>
          <w:tab w:leader="none" w:pos="88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15" w:name="page716"/>
    <w:bookmarkEnd w:id="715"/>
    <w:p>
      <w:pPr>
        <w:ind w:left="1300" w:right="80" w:hanging="535"/>
        <w:spacing w:after="0" w:line="308" w:lineRule="auto"/>
        <w:tabs>
          <w:tab w:leader="none" w:pos="1300" w:val="left"/>
        </w:tabs>
        <w:numPr>
          <w:ilvl w:val="0"/>
          <w:numId w:val="10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29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b w:val="1"/>
          <w:bCs w:val="1"/>
          <w:color w:val="auto"/>
        </w:rPr>
        <w:t>No duty to monitor</w:t>
      </w:r>
    </w:p>
    <w:p>
      <w:pPr>
        <w:spacing w:after="0" w:line="135" w:lineRule="exact"/>
        <w:rPr>
          <w:sz w:val="20"/>
          <w:szCs w:val="20"/>
          <w:color w:val="auto"/>
        </w:rPr>
      </w:pPr>
    </w:p>
    <w:p>
      <w:pPr>
        <w:ind w:left="1300" w:hanging="535"/>
        <w:spacing w:after="0"/>
        <w:tabs>
          <w:tab w:leader="none" w:pos="1300" w:val="left"/>
        </w:tabs>
        <w:numPr>
          <w:ilvl w:val="0"/>
          <w:numId w:val="1069"/>
        </w:numPr>
        <w:rPr>
          <w:rFonts w:ascii="Arial" w:cs="Arial" w:eastAsia="Arial" w:hAnsi="Arial"/>
          <w:sz w:val="18"/>
          <w:szCs w:val="18"/>
          <w:color w:val="auto"/>
        </w:rPr>
      </w:pPr>
      <w:r>
        <w:rPr>
          <w:rFonts w:ascii="Arial" w:cs="Arial" w:eastAsia="Arial" w:hAnsi="Arial"/>
          <w:sz w:val="18"/>
          <w:szCs w:val="18"/>
          <w:color w:val="auto"/>
        </w:rPr>
        <w:t>The Agent shall not be bound to enquire:</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69"/>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69"/>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69"/>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6"/>
          <w:szCs w:val="16"/>
          <w:b w:val="1"/>
          <w:bCs w:val="1"/>
          <w:color w:val="auto"/>
        </w:rPr>
        <w:t>Exclusion of liability</w:t>
      </w:r>
    </w:p>
    <w:p>
      <w:pPr>
        <w:spacing w:after="0" w:line="135" w:lineRule="exact"/>
        <w:rPr>
          <w:sz w:val="20"/>
          <w:szCs w:val="20"/>
          <w:color w:val="auto"/>
        </w:rPr>
      </w:pPr>
    </w:p>
    <w:p>
      <w:pPr>
        <w:ind w:left="1300" w:right="160" w:hanging="535"/>
        <w:spacing w:after="0" w:line="263" w:lineRule="auto"/>
        <w:tabs>
          <w:tab w:leader="none" w:pos="1300" w:val="left"/>
        </w:tabs>
        <w:numPr>
          <w:ilvl w:val="0"/>
          <w:numId w:val="1070"/>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Finance Document excluding or limiting the liability of the Agent), the Agent will not be liable (including, without limitation, for negligence or any other category of liability whatsoever) for:</w:t>
      </w:r>
    </w:p>
    <w:p>
      <w:pPr>
        <w:spacing w:after="0" w:line="89" w:lineRule="exact"/>
        <w:rPr>
          <w:rFonts w:ascii="Arial" w:cs="Arial" w:eastAsia="Arial" w:hAnsi="Arial"/>
          <w:sz w:val="18"/>
          <w:szCs w:val="18"/>
          <w:color w:val="auto"/>
        </w:rPr>
      </w:pPr>
    </w:p>
    <w:p>
      <w:pPr>
        <w:ind w:left="1960" w:right="200" w:hanging="655"/>
        <w:spacing w:after="0" w:line="263" w:lineRule="auto"/>
        <w:tabs>
          <w:tab w:leader="none" w:pos="1960" w:val="left"/>
        </w:tabs>
        <w:numPr>
          <w:ilvl w:val="1"/>
          <w:numId w:val="1070"/>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or the Transaction Security, unless directly caused by its gross negligence or wilful misconduct;</w:t>
      </w:r>
    </w:p>
    <w:p>
      <w:pPr>
        <w:spacing w:after="0" w:line="89" w:lineRule="exact"/>
        <w:rPr>
          <w:rFonts w:ascii="Arial" w:cs="Arial" w:eastAsia="Arial" w:hAnsi="Arial"/>
          <w:sz w:val="18"/>
          <w:szCs w:val="18"/>
          <w:color w:val="auto"/>
        </w:rPr>
      </w:pPr>
    </w:p>
    <w:p>
      <w:pPr>
        <w:ind w:left="1960" w:right="380" w:hanging="655"/>
        <w:spacing w:after="0" w:line="311" w:lineRule="auto"/>
        <w:tabs>
          <w:tab w:leader="none" w:pos="1960" w:val="left"/>
        </w:tabs>
        <w:numPr>
          <w:ilvl w:val="1"/>
          <w:numId w:val="1070"/>
        </w:numPr>
        <w:rPr>
          <w:rFonts w:ascii="Arial" w:cs="Arial" w:eastAsia="Arial" w:hAnsi="Arial"/>
          <w:sz w:val="16"/>
          <w:szCs w:val="16"/>
          <w:color w:val="auto"/>
        </w:rPr>
      </w:pPr>
      <w:r>
        <w:rPr>
          <w:rFonts w:ascii="Arial" w:cs="Arial" w:eastAsia="Arial" w:hAnsi="Arial"/>
          <w:sz w:val="16"/>
          <w:szCs w:val="16"/>
          <w:color w:val="auto"/>
        </w:rPr>
        <w:t>exercising, or not exercising, any right, power, authority or discretion given to it by, or in connection with, any Finance Document, the Transaction Security or any other agreement, arrangement or document entered into, made or executed in anticipation of, under or in connection with, any Finance Document or the Transaction Security; or</w:t>
      </w:r>
    </w:p>
    <w:p>
      <w:pPr>
        <w:spacing w:after="0" w:line="54" w:lineRule="exact"/>
        <w:rPr>
          <w:rFonts w:ascii="Arial" w:cs="Arial" w:eastAsia="Arial" w:hAnsi="Arial"/>
          <w:sz w:val="16"/>
          <w:szCs w:val="16"/>
          <w:color w:val="auto"/>
        </w:rPr>
      </w:pPr>
    </w:p>
    <w:p>
      <w:pPr>
        <w:ind w:left="1960" w:right="800" w:hanging="655"/>
        <w:spacing w:after="0" w:line="277" w:lineRule="auto"/>
        <w:tabs>
          <w:tab w:leader="none" w:pos="1960" w:val="left"/>
        </w:tabs>
        <w:numPr>
          <w:ilvl w:val="1"/>
          <w:numId w:val="1070"/>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arising as a result of:</w:t>
      </w:r>
    </w:p>
    <w:p>
      <w:pPr>
        <w:spacing w:after="0" w:line="75" w:lineRule="exact"/>
        <w:rPr>
          <w:rFonts w:ascii="Arial" w:cs="Arial" w:eastAsia="Arial" w:hAnsi="Arial"/>
          <w:sz w:val="18"/>
          <w:szCs w:val="18"/>
          <w:color w:val="auto"/>
        </w:rPr>
      </w:pPr>
    </w:p>
    <w:p>
      <w:pPr>
        <w:ind w:left="2500" w:hanging="533"/>
        <w:spacing w:after="0"/>
        <w:tabs>
          <w:tab w:leader="none" w:pos="2500" w:val="left"/>
        </w:tabs>
        <w:numPr>
          <w:ilvl w:val="2"/>
          <w:numId w:val="1070"/>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30" w:lineRule="exact"/>
        <w:rPr>
          <w:rFonts w:ascii="Arial" w:cs="Arial" w:eastAsia="Arial" w:hAnsi="Arial"/>
          <w:sz w:val="18"/>
          <w:szCs w:val="18"/>
          <w:color w:val="auto"/>
        </w:rPr>
      </w:pPr>
    </w:p>
    <w:p>
      <w:pPr>
        <w:ind w:left="2500" w:hanging="533"/>
        <w:spacing w:after="0"/>
        <w:tabs>
          <w:tab w:leader="none" w:pos="2500" w:val="left"/>
        </w:tabs>
        <w:numPr>
          <w:ilvl w:val="2"/>
          <w:numId w:val="1070"/>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117" w:lineRule="exact"/>
        <w:rPr>
          <w:sz w:val="20"/>
          <w:szCs w:val="20"/>
          <w:color w:val="auto"/>
        </w:rPr>
      </w:pPr>
    </w:p>
    <w:p>
      <w:pPr>
        <w:ind w:left="1980" w:right="60"/>
        <w:spacing w:after="0" w:line="296" w:lineRule="auto"/>
        <w:rPr>
          <w:sz w:val="20"/>
          <w:szCs w:val="20"/>
          <w:color w:val="auto"/>
        </w:rPr>
      </w:pPr>
      <w:r>
        <w:rPr>
          <w:rFonts w:ascii="Arial" w:cs="Arial" w:eastAsia="Arial" w:hAnsi="Arial"/>
          <w:sz w:val="16"/>
          <w:szCs w:val="16"/>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67" w:lineRule="exact"/>
        <w:rPr>
          <w:sz w:val="20"/>
          <w:szCs w:val="20"/>
          <w:color w:val="auto"/>
        </w:rPr>
      </w:pPr>
    </w:p>
    <w:p>
      <w:pPr>
        <w:ind w:left="1300" w:right="100" w:hanging="535"/>
        <w:spacing w:after="0" w:line="259" w:lineRule="auto"/>
        <w:tabs>
          <w:tab w:leader="none" w:pos="1300" w:val="left"/>
        </w:tabs>
        <w:numPr>
          <w:ilvl w:val="0"/>
          <w:numId w:val="1071"/>
        </w:numPr>
        <w:rPr>
          <w:rFonts w:ascii="Arial" w:cs="Arial" w:eastAsia="Arial" w:hAnsi="Arial"/>
          <w:sz w:val="18"/>
          <w:szCs w:val="18"/>
          <w:color w:val="auto"/>
        </w:rPr>
      </w:pPr>
      <w:r>
        <w:rPr>
          <w:rFonts w:ascii="Arial" w:cs="Arial" w:eastAsia="Arial" w:hAnsi="Arial"/>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or any Transaction Document and any officer, employee or agent of the Agent may rely on this Clause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19"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16" w:name="page717"/>
    <w:bookmarkEnd w:id="716"/>
    <w:p>
      <w:pPr>
        <w:jc w:val="both"/>
        <w:ind w:left="1300" w:right="300" w:hanging="535"/>
        <w:spacing w:after="0" w:line="311" w:lineRule="auto"/>
        <w:tabs>
          <w:tab w:leader="none" w:pos="1300" w:val="left"/>
        </w:tabs>
        <w:numPr>
          <w:ilvl w:val="0"/>
          <w:numId w:val="10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54" w:lineRule="exact"/>
        <w:rPr>
          <w:rFonts w:ascii="Arial" w:cs="Arial" w:eastAsia="Arial" w:hAnsi="Arial"/>
          <w:sz w:val="16"/>
          <w:szCs w:val="16"/>
          <w:color w:val="auto"/>
        </w:rPr>
      </w:pPr>
    </w:p>
    <w:p>
      <w:pPr>
        <w:ind w:left="1300" w:right="120" w:hanging="535"/>
        <w:spacing w:after="0" w:line="259" w:lineRule="auto"/>
        <w:tabs>
          <w:tab w:leader="none" w:pos="1300" w:val="left"/>
        </w:tabs>
        <w:numPr>
          <w:ilvl w:val="0"/>
          <w:numId w:val="1072"/>
        </w:numPr>
        <w:rPr>
          <w:rFonts w:ascii="Arial" w:cs="Arial" w:eastAsia="Arial" w:hAnsi="Arial"/>
          <w:sz w:val="18"/>
          <w:szCs w:val="18"/>
          <w:color w:val="auto"/>
        </w:rPr>
      </w:pPr>
      <w:r>
        <w:rPr>
          <w:rFonts w:ascii="Arial" w:cs="Arial" w:eastAsia="Arial" w:hAnsi="Arial"/>
          <w:sz w:val="18"/>
          <w:szCs w:val="18"/>
          <w:color w:val="auto"/>
        </w:rPr>
        <w:t>Nothing in this Agreement shall oblige the Agent to carry out (i) any “know your customer” or other checks in relation to any person or (ii) any check on the extent to which any transaction contemplated by this Agreement might be unlawful for any Lender, on behalf of any Lender and each Lender confirms to the Agent that it is solely responsible for any such checks it is required to carry out and that it may not rely on any statement in relation to such checks made by the Agent.</w:t>
      </w:r>
    </w:p>
    <w:p>
      <w:pPr>
        <w:spacing w:after="0" w:line="92" w:lineRule="exact"/>
        <w:rPr>
          <w:rFonts w:ascii="Arial" w:cs="Arial" w:eastAsia="Arial" w:hAnsi="Arial"/>
          <w:sz w:val="18"/>
          <w:szCs w:val="18"/>
          <w:color w:val="auto"/>
        </w:rPr>
      </w:pPr>
    </w:p>
    <w:p>
      <w:pPr>
        <w:ind w:left="1300" w:right="20" w:hanging="535"/>
        <w:spacing w:after="0" w:line="272" w:lineRule="auto"/>
        <w:tabs>
          <w:tab w:leader="none" w:pos="1300" w:val="left"/>
        </w:tabs>
        <w:numPr>
          <w:ilvl w:val="0"/>
          <w:numId w:val="1072"/>
        </w:numPr>
        <w:rPr>
          <w:rFonts w:ascii="Arial" w:cs="Arial" w:eastAsia="Arial" w:hAnsi="Arial"/>
          <w:sz w:val="17"/>
          <w:szCs w:val="17"/>
          <w:color w:val="auto"/>
        </w:rPr>
      </w:pPr>
      <w:r>
        <w:rPr>
          <w:rFonts w:ascii="Arial" w:cs="Arial" w:eastAsia="Arial" w:hAnsi="Arial"/>
          <w:sz w:val="17"/>
          <w:szCs w:val="17"/>
          <w:color w:val="auto"/>
        </w:rPr>
        <w:t>Without prejudice to any provision of any Finance Document excluding or limiting the Agent’s liability, any liability of the Agent arising under or in connection with any Finance Document or the Transaction Security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32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b w:val="1"/>
          <w:bCs w:val="1"/>
          <w:color w:val="auto"/>
        </w:rPr>
        <w:t>Lenders’ indemnity to the Agent</w:t>
      </w:r>
    </w:p>
    <w:p>
      <w:pPr>
        <w:spacing w:after="0" w:line="135" w:lineRule="exact"/>
        <w:rPr>
          <w:sz w:val="20"/>
          <w:szCs w:val="20"/>
          <w:color w:val="auto"/>
        </w:rPr>
      </w:pPr>
    </w:p>
    <w:p>
      <w:pPr>
        <w:ind w:left="1300" w:right="20" w:hanging="535"/>
        <w:spacing w:after="0" w:line="254" w:lineRule="auto"/>
        <w:tabs>
          <w:tab w:leader="none" w:pos="1300" w:val="left"/>
        </w:tabs>
        <w:numPr>
          <w:ilvl w:val="0"/>
          <w:numId w:val="1073"/>
        </w:numPr>
        <w:rPr>
          <w:rFonts w:ascii="Arial" w:cs="Arial" w:eastAsia="Arial" w:hAnsi="Arial"/>
          <w:sz w:val="18"/>
          <w:szCs w:val="18"/>
          <w:color w:val="auto"/>
        </w:rPr>
      </w:pPr>
      <w:r>
        <w:rPr>
          <w:rFonts w:ascii="Arial" w:cs="Arial" w:eastAsia="Arial" w:hAnsi="Arial"/>
          <w:sz w:val="18"/>
          <w:szCs w:val="18"/>
          <w:color w:val="auto"/>
        </w:rPr>
        <w:t>Each Lender shall (in the proportion that the Liabilities due to it bear to the aggregate of the Liabilities due to all the Lenders for the time being (or, if the Liabilities due to the Lenders are zero, immediately prior to their being reduced to zero)), indemnify the Agent, within three (3)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31.11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w:t>
      </w:r>
    </w:p>
    <w:p>
      <w:pPr>
        <w:spacing w:after="0" w:line="97" w:lineRule="exact"/>
        <w:rPr>
          <w:rFonts w:ascii="Arial" w:cs="Arial" w:eastAsia="Arial" w:hAnsi="Arial"/>
          <w:sz w:val="18"/>
          <w:szCs w:val="18"/>
          <w:color w:val="auto"/>
        </w:rPr>
      </w:pPr>
    </w:p>
    <w:p>
      <w:pPr>
        <w:ind w:left="1300" w:right="40" w:hanging="535"/>
        <w:spacing w:after="0" w:line="311" w:lineRule="auto"/>
        <w:tabs>
          <w:tab w:leader="none" w:pos="1300" w:val="left"/>
        </w:tabs>
        <w:numPr>
          <w:ilvl w:val="0"/>
          <w:numId w:val="1073"/>
        </w:numPr>
        <w:rPr>
          <w:rFonts w:ascii="Arial" w:cs="Arial" w:eastAsia="Arial" w:hAnsi="Arial"/>
          <w:sz w:val="16"/>
          <w:szCs w:val="16"/>
          <w:color w:val="auto"/>
        </w:rPr>
      </w:pPr>
      <w:r>
        <w:rPr>
          <w:rFonts w:ascii="Arial" w:cs="Arial" w:eastAsia="Arial" w:hAnsi="Arial"/>
          <w:sz w:val="16"/>
          <w:szCs w:val="16"/>
          <w:color w:val="auto"/>
        </w:rPr>
        <w:t>If the Borrower is required to reimburse or indemnify any Lender for any payment that Lender makes to the Agent pursuant to paragraph (a) above in accordance with the Finance Documents, the Borrower shall, within 10 Business Days of demand in writing by the relevant Lender, indemnify such Lender for the amount of such payment actually made pursuant to paragraph (a) above.</w:t>
      </w:r>
    </w:p>
    <w:p>
      <w:pPr>
        <w:spacing w:after="0" w:line="54" w:lineRule="exact"/>
        <w:rPr>
          <w:rFonts w:ascii="Arial" w:cs="Arial" w:eastAsia="Arial" w:hAnsi="Arial"/>
          <w:sz w:val="16"/>
          <w:szCs w:val="16"/>
          <w:color w:val="auto"/>
        </w:rPr>
      </w:pPr>
    </w:p>
    <w:p>
      <w:pPr>
        <w:ind w:left="1300" w:right="320" w:hanging="535"/>
        <w:spacing w:after="0" w:line="277" w:lineRule="auto"/>
        <w:tabs>
          <w:tab w:leader="none" w:pos="1300" w:val="left"/>
        </w:tabs>
        <w:numPr>
          <w:ilvl w:val="0"/>
          <w:numId w:val="1073"/>
        </w:numPr>
        <w:rPr>
          <w:rFonts w:ascii="Arial" w:cs="Arial" w:eastAsia="Arial" w:hAnsi="Arial"/>
          <w:sz w:val="18"/>
          <w:szCs w:val="18"/>
          <w:color w:val="auto"/>
        </w:rPr>
      </w:pPr>
      <w:r>
        <w:rPr>
          <w:rFonts w:ascii="Arial" w:cs="Arial" w:eastAsia="Arial" w:hAnsi="Arial"/>
          <w:sz w:val="18"/>
          <w:szCs w:val="18"/>
          <w:color w:val="auto"/>
        </w:rPr>
        <w:t>Paragraph (b) above shall not apply to the extent that the indemnity payment in respect of which the Lender claims reimbursement relates to a liability of the Agent to an Obligor.</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28.11</w:t>
      </w:r>
      <w:r>
        <w:rPr>
          <w:sz w:val="20"/>
          <w:szCs w:val="20"/>
          <w:color w:val="auto"/>
        </w:rPr>
        <w:tab/>
      </w:r>
      <w:r>
        <w:rPr>
          <w:rFonts w:ascii="Arial" w:cs="Arial" w:eastAsia="Arial" w:hAnsi="Arial"/>
          <w:sz w:val="16"/>
          <w:szCs w:val="16"/>
          <w:b w:val="1"/>
          <w:bCs w:val="1"/>
          <w:color w:val="auto"/>
        </w:rPr>
        <w:t>Resignation of the Agent</w:t>
      </w:r>
    </w:p>
    <w:p>
      <w:pPr>
        <w:spacing w:after="0" w:line="135" w:lineRule="exact"/>
        <w:rPr>
          <w:sz w:val="20"/>
          <w:szCs w:val="20"/>
          <w:color w:val="auto"/>
        </w:rPr>
      </w:pPr>
    </w:p>
    <w:p>
      <w:pPr>
        <w:ind w:left="1300" w:right="80" w:hanging="535"/>
        <w:spacing w:after="0" w:line="277" w:lineRule="auto"/>
        <w:tabs>
          <w:tab w:leader="none" w:pos="1300" w:val="left"/>
        </w:tabs>
        <w:numPr>
          <w:ilvl w:val="0"/>
          <w:numId w:val="1074"/>
        </w:numPr>
        <w:rPr>
          <w:rFonts w:ascii="Arial" w:cs="Arial" w:eastAsia="Arial" w:hAnsi="Arial"/>
          <w:sz w:val="18"/>
          <w:szCs w:val="18"/>
          <w:color w:val="auto"/>
        </w:rPr>
      </w:pPr>
      <w:r>
        <w:rPr>
          <w:rFonts w:ascii="Arial" w:cs="Arial" w:eastAsia="Arial" w:hAnsi="Arial"/>
          <w:sz w:val="18"/>
          <w:szCs w:val="18"/>
          <w:color w:val="auto"/>
        </w:rPr>
        <w:t>The Agent may resign and appoint one of its Affiliates acting through an office in Hong Kong or Macau as successor by giving notice to the Lenders and the Borrower.</w:t>
      </w:r>
    </w:p>
    <w:p>
      <w:pPr>
        <w:spacing w:after="0" w:line="103"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17" w:name="page718"/>
    <w:bookmarkEnd w:id="717"/>
    <w:p>
      <w:pPr>
        <w:ind w:left="540" w:right="520" w:hanging="535"/>
        <w:spacing w:after="0" w:line="277" w:lineRule="auto"/>
        <w:tabs>
          <w:tab w:leader="none" w:pos="540" w:val="left"/>
        </w:tabs>
        <w:numPr>
          <w:ilvl w:val="0"/>
          <w:numId w:val="10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Alternatively the Agent may resign by giving notice to the Lenders and the Borrower, in which case the Majority Lenders (after consultation with the Borrower) may appoint a successor Agent.</w:t>
      </w:r>
    </w:p>
    <w:p>
      <w:pPr>
        <w:spacing w:after="0" w:line="75" w:lineRule="exact"/>
        <w:rPr>
          <w:rFonts w:ascii="Arial" w:cs="Arial" w:eastAsia="Arial" w:hAnsi="Arial"/>
          <w:sz w:val="18"/>
          <w:szCs w:val="18"/>
          <w:color w:val="auto"/>
        </w:rPr>
      </w:pPr>
    </w:p>
    <w:p>
      <w:pPr>
        <w:jc w:val="both"/>
        <w:ind w:left="540" w:right="220" w:hanging="535"/>
        <w:spacing w:after="0" w:line="263" w:lineRule="auto"/>
        <w:tabs>
          <w:tab w:leader="none" w:pos="540" w:val="left"/>
        </w:tabs>
        <w:numPr>
          <w:ilvl w:val="0"/>
          <w:numId w:val="1075"/>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paragraph (b) above within 30 days after notice of resignation was given, the Agent (after consultation with the Borrower) may appoint a successor Agent (acting through an office in Hong Kong or Macau).</w:t>
      </w:r>
    </w:p>
    <w:p>
      <w:pPr>
        <w:spacing w:after="0" w:line="89" w:lineRule="exact"/>
        <w:rPr>
          <w:rFonts w:ascii="Arial" w:cs="Arial" w:eastAsia="Arial" w:hAnsi="Arial"/>
          <w:sz w:val="18"/>
          <w:szCs w:val="18"/>
          <w:color w:val="auto"/>
        </w:rPr>
      </w:pPr>
    </w:p>
    <w:p>
      <w:pPr>
        <w:ind w:left="540" w:right="40" w:hanging="535"/>
        <w:spacing w:after="0" w:line="296" w:lineRule="auto"/>
        <w:tabs>
          <w:tab w:leader="none" w:pos="540" w:val="left"/>
        </w:tabs>
        <w:numPr>
          <w:ilvl w:val="0"/>
          <w:numId w:val="1075"/>
        </w:numPr>
        <w:rPr>
          <w:rFonts w:ascii="Arial" w:cs="Arial" w:eastAsia="Arial" w:hAnsi="Arial"/>
          <w:sz w:val="16"/>
          <w:szCs w:val="16"/>
          <w:color w:val="auto"/>
        </w:rPr>
      </w:pPr>
      <w:r>
        <w:rPr>
          <w:rFonts w:ascii="Arial" w:cs="Arial" w:eastAsia="Arial" w:hAnsi="Arial"/>
          <w:sz w:val="16"/>
          <w:szCs w:val="16"/>
          <w:color w:val="auto"/>
        </w:rPr>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28 and any other term of this Agreement dealing with the rights or obligations of the Agent consistent with then current market practice for the appointment and protection of corporate trustees</w:t>
      </w:r>
    </w:p>
    <w:p>
      <w:pPr>
        <w:spacing w:after="0" w:line="66" w:lineRule="exact"/>
        <w:rPr>
          <w:rFonts w:ascii="Arial" w:cs="Arial" w:eastAsia="Arial" w:hAnsi="Arial"/>
          <w:sz w:val="16"/>
          <w:szCs w:val="16"/>
          <w:color w:val="auto"/>
        </w:rPr>
      </w:pPr>
    </w:p>
    <w:p>
      <w:pPr>
        <w:ind w:left="540" w:right="380" w:hanging="535"/>
        <w:spacing w:after="0" w:line="263" w:lineRule="auto"/>
        <w:tabs>
          <w:tab w:leader="none" w:pos="540" w:val="left"/>
        </w:tabs>
        <w:numPr>
          <w:ilvl w:val="0"/>
          <w:numId w:val="1075"/>
        </w:numPr>
        <w:rPr>
          <w:rFonts w:ascii="Arial" w:cs="Arial" w:eastAsia="Arial" w:hAnsi="Arial"/>
          <w:sz w:val="18"/>
          <w:szCs w:val="18"/>
          <w:color w:val="auto"/>
        </w:rPr>
      </w:pPr>
      <w:r>
        <w:rPr>
          <w:rFonts w:ascii="Arial" w:cs="Arial" w:eastAsia="Arial" w:hAnsi="Arial"/>
          <w:sz w:val="18"/>
          <w:szCs w:val="18"/>
          <w:color w:val="auto"/>
        </w:rPr>
        <w:t>The retiring Agent shall, at its own cost, make available to the successor Agent such documents and records and provide such assistance as the successor Agent may reasonably request for the purposes of performing its functions as Agent under the Finance Documents.</w:t>
      </w:r>
    </w:p>
    <w:p>
      <w:pPr>
        <w:spacing w:after="0" w:line="89" w:lineRule="exact"/>
        <w:rPr>
          <w:rFonts w:ascii="Arial" w:cs="Arial" w:eastAsia="Arial" w:hAnsi="Arial"/>
          <w:sz w:val="18"/>
          <w:szCs w:val="18"/>
          <w:color w:val="auto"/>
        </w:rPr>
      </w:pPr>
    </w:p>
    <w:p>
      <w:pPr>
        <w:ind w:left="540" w:right="140" w:hanging="535"/>
        <w:spacing w:after="0" w:line="277" w:lineRule="auto"/>
        <w:tabs>
          <w:tab w:leader="none" w:pos="540" w:val="left"/>
        </w:tabs>
        <w:numPr>
          <w:ilvl w:val="0"/>
          <w:numId w:val="1075"/>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 in accordance with the Finance Documents (including such successor’s accession to the Intercreditor Agreement in the capacity as Agent).</w:t>
      </w:r>
    </w:p>
    <w:p>
      <w:pPr>
        <w:spacing w:after="0" w:line="75" w:lineRule="exact"/>
        <w:rPr>
          <w:rFonts w:ascii="Arial" w:cs="Arial" w:eastAsia="Arial" w:hAnsi="Arial"/>
          <w:sz w:val="18"/>
          <w:szCs w:val="18"/>
          <w:color w:val="auto"/>
        </w:rPr>
      </w:pPr>
    </w:p>
    <w:p>
      <w:pPr>
        <w:ind w:left="540" w:right="120" w:hanging="535"/>
        <w:spacing w:after="0" w:line="257" w:lineRule="auto"/>
        <w:tabs>
          <w:tab w:leader="none" w:pos="540" w:val="left"/>
        </w:tabs>
        <w:numPr>
          <w:ilvl w:val="0"/>
          <w:numId w:val="1075"/>
        </w:numPr>
        <w:rPr>
          <w:rFonts w:ascii="Arial" w:cs="Arial" w:eastAsia="Arial" w:hAnsi="Arial"/>
          <w:sz w:val="18"/>
          <w:szCs w:val="18"/>
          <w:color w:val="auto"/>
        </w:rPr>
      </w:pPr>
      <w:r>
        <w:rPr>
          <w:rFonts w:ascii="Arial" w:cs="Arial" w:eastAsia="Arial" w:hAnsi="Arial"/>
          <w:sz w:val="18"/>
          <w:szCs w:val="18"/>
          <w:color w:val="auto"/>
        </w:rPr>
        <w:t>Upon the appointment of a successor, the retiring Agent shall be discharged from any further obligation in respect of the Finance Documents (other than its obligations under paragraph (e) above) but shall remain entitled to the benefit of Clause 17.3 (</w:t>
      </w:r>
      <w:r>
        <w:rPr>
          <w:rFonts w:ascii="Arial" w:cs="Arial" w:eastAsia="Arial" w:hAnsi="Arial"/>
          <w:sz w:val="18"/>
          <w:szCs w:val="18"/>
          <w:i w:val="1"/>
          <w:iCs w:val="1"/>
          <w:color w:val="auto"/>
        </w:rPr>
        <w:t>Indemnity to</w:t>
      </w:r>
      <w:r>
        <w:rPr>
          <w:rFonts w:ascii="Arial" w:cs="Arial" w:eastAsia="Arial" w:hAnsi="Arial"/>
          <w:sz w:val="18"/>
          <w:szCs w:val="18"/>
          <w:color w:val="auto"/>
        </w:rPr>
        <w:t xml:space="preserve"> </w:t>
      </w:r>
      <w:r>
        <w:rPr>
          <w:rFonts w:ascii="Arial" w:cs="Arial" w:eastAsia="Arial" w:hAnsi="Arial"/>
          <w:sz w:val="18"/>
          <w:szCs w:val="18"/>
          <w:i w:val="1"/>
          <w:iCs w:val="1"/>
          <w:color w:val="auto"/>
        </w:rPr>
        <w:t>the Agent</w:t>
      </w:r>
      <w:r>
        <w:rPr>
          <w:rFonts w:ascii="Arial" w:cs="Arial" w:eastAsia="Arial" w:hAnsi="Arial"/>
          <w:sz w:val="18"/>
          <w:szCs w:val="18"/>
          <w:color w:val="auto"/>
        </w:rPr>
        <w:t>) and this Clause 28 (and any agency fees for the account of the retiring Agent shall cease to accrue from (and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on) that date). Its successor and each of the other Parties shall have the same rights and obligations amongst themselves as they would have had if such successor had been an original Party.</w:t>
      </w:r>
    </w:p>
    <w:p>
      <w:pPr>
        <w:spacing w:after="0" w:line="93" w:lineRule="exact"/>
        <w:rPr>
          <w:rFonts w:ascii="Arial" w:cs="Arial" w:eastAsia="Arial" w:hAnsi="Arial"/>
          <w:sz w:val="18"/>
          <w:szCs w:val="18"/>
          <w:color w:val="auto"/>
        </w:rPr>
      </w:pPr>
    </w:p>
    <w:p>
      <w:pPr>
        <w:ind w:left="540" w:right="300" w:hanging="535"/>
        <w:spacing w:after="0" w:line="286" w:lineRule="auto"/>
        <w:tabs>
          <w:tab w:leader="none" w:pos="540" w:val="left"/>
        </w:tabs>
        <w:numPr>
          <w:ilvl w:val="0"/>
          <w:numId w:val="1075"/>
        </w:numPr>
        <w:rPr>
          <w:rFonts w:ascii="Arial" w:cs="Arial" w:eastAsia="Arial" w:hAnsi="Arial"/>
          <w:sz w:val="17"/>
          <w:szCs w:val="17"/>
          <w:color w:val="auto"/>
        </w:rPr>
      </w:pPr>
      <w:r>
        <w:rPr>
          <w:rFonts w:ascii="Arial" w:cs="Arial" w:eastAsia="Arial" w:hAnsi="Arial"/>
          <w:sz w:val="17"/>
          <w:szCs w:val="17"/>
          <w:color w:val="auto"/>
        </w:rPr>
        <w:t>The Agent shall resign in accordance with paragraph (b) above (and, to the extent applicable, shall use reasonable endeavours to appoint a successor Agent pursuant to paragraph (b) above) if on or after the date which is three months before the earliest FATCA Application Date relating to any payment to the Agent under the Finance Documents, either:</w:t>
      </w:r>
    </w:p>
    <w:p>
      <w:pPr>
        <w:spacing w:after="0" w:line="70" w:lineRule="exact"/>
        <w:rPr>
          <w:rFonts w:ascii="Arial" w:cs="Arial" w:eastAsia="Arial" w:hAnsi="Arial"/>
          <w:sz w:val="17"/>
          <w:szCs w:val="17"/>
          <w:color w:val="auto"/>
        </w:rPr>
      </w:pPr>
    </w:p>
    <w:p>
      <w:pPr>
        <w:ind w:left="1200" w:right="280" w:hanging="655"/>
        <w:spacing w:after="0" w:line="263" w:lineRule="auto"/>
        <w:tabs>
          <w:tab w:leader="none" w:pos="1200" w:val="left"/>
        </w:tabs>
        <w:numPr>
          <w:ilvl w:val="1"/>
          <w:numId w:val="1075"/>
        </w:numPr>
        <w:rPr>
          <w:rFonts w:ascii="Arial" w:cs="Arial" w:eastAsia="Arial" w:hAnsi="Arial"/>
          <w:sz w:val="18"/>
          <w:szCs w:val="18"/>
          <w:color w:val="auto"/>
        </w:rPr>
      </w:pPr>
      <w:r>
        <w:rPr>
          <w:rFonts w:ascii="Arial" w:cs="Arial" w:eastAsia="Arial" w:hAnsi="Arial"/>
          <w:sz w:val="18"/>
          <w:szCs w:val="18"/>
          <w:color w:val="auto"/>
        </w:rPr>
        <w:t>the Agent fails to respond to a request under Clause 15.8 (</w:t>
      </w:r>
      <w:r>
        <w:rPr>
          <w:rFonts w:ascii="Arial" w:cs="Arial" w:eastAsia="Arial" w:hAnsi="Arial"/>
          <w:sz w:val="18"/>
          <w:szCs w:val="18"/>
          <w:i w:val="1"/>
          <w:iCs w:val="1"/>
          <w:color w:val="auto"/>
        </w:rPr>
        <w:t>FATCA Information</w:t>
      </w:r>
      <w:r>
        <w:rPr>
          <w:rFonts w:ascii="Arial" w:cs="Arial" w:eastAsia="Arial" w:hAnsi="Arial"/>
          <w:sz w:val="18"/>
          <w:szCs w:val="18"/>
          <w:color w:val="auto"/>
        </w:rPr>
        <w:t>) and the Borrower or a Lender reasonably believes that the Agent will not be (or will have ceased to be) a FATCA Exempt Party on or after that FATCA Application Date;</w:t>
      </w:r>
    </w:p>
    <w:p>
      <w:pPr>
        <w:spacing w:after="0" w:line="89" w:lineRule="exact"/>
        <w:rPr>
          <w:rFonts w:ascii="Arial" w:cs="Arial" w:eastAsia="Arial" w:hAnsi="Arial"/>
          <w:sz w:val="18"/>
          <w:szCs w:val="18"/>
          <w:color w:val="auto"/>
        </w:rPr>
      </w:pPr>
    </w:p>
    <w:p>
      <w:pPr>
        <w:ind w:left="1200" w:right="180" w:hanging="655"/>
        <w:spacing w:after="0" w:line="277" w:lineRule="auto"/>
        <w:tabs>
          <w:tab w:leader="none" w:pos="1200" w:val="left"/>
        </w:tabs>
        <w:numPr>
          <w:ilvl w:val="1"/>
          <w:numId w:val="1075"/>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15.8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75" w:lineRule="exact"/>
        <w:rPr>
          <w:rFonts w:ascii="Arial" w:cs="Arial" w:eastAsia="Arial" w:hAnsi="Arial"/>
          <w:sz w:val="18"/>
          <w:szCs w:val="18"/>
          <w:color w:val="auto"/>
        </w:rPr>
      </w:pPr>
    </w:p>
    <w:p>
      <w:pPr>
        <w:ind w:left="1200" w:right="440" w:hanging="655"/>
        <w:spacing w:after="0" w:line="277" w:lineRule="auto"/>
        <w:tabs>
          <w:tab w:leader="none" w:pos="1200" w:val="left"/>
        </w:tabs>
        <w:numPr>
          <w:ilvl w:val="1"/>
          <w:numId w:val="1075"/>
        </w:numPr>
        <w:rPr>
          <w:rFonts w:ascii="Arial" w:cs="Arial" w:eastAsia="Arial" w:hAnsi="Arial"/>
          <w:sz w:val="18"/>
          <w:szCs w:val="18"/>
          <w:color w:val="auto"/>
        </w:rPr>
      </w:pPr>
      <w:r>
        <w:rPr>
          <w:rFonts w:ascii="Arial" w:cs="Arial" w:eastAsia="Arial" w:hAnsi="Arial"/>
          <w:sz w:val="18"/>
          <w:szCs w:val="18"/>
          <w:color w:val="auto"/>
        </w:rPr>
        <w:t>the Agent notifies the Borrower and the Lenders that the Agent will not be (or will have ceased to be) a FATCA Exempt Party on or after that FATCA Application Date;</w:t>
      </w:r>
    </w:p>
    <w:p>
      <w:pPr>
        <w:spacing w:after="0" w:line="62"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and (in each case) the Borrower or a Lender reasonably believes that a Party will be required to make a FATCA Deduction that would not be required if the Agent were a FATCA Exempt Party, and the Borrower or that Lender, by notice to the Agent, requires it to resign.</w:t>
      </w:r>
    </w:p>
    <w:p>
      <w:pPr>
        <w:spacing w:after="0" w:line="116" w:lineRule="exact"/>
        <w:rPr>
          <w:sz w:val="20"/>
          <w:szCs w:val="20"/>
          <w:color w:val="auto"/>
        </w:rPr>
      </w:pPr>
    </w:p>
    <w:p>
      <w:pPr>
        <w:jc w:val="both"/>
        <w:ind w:left="4660"/>
        <w:spacing w:after="0"/>
        <w:tabs>
          <w:tab w:leader="none" w:pos="80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18" w:name="page719"/>
    <w:bookmarkEnd w:id="718"/>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28.12</w:t>
      </w:r>
      <w:r>
        <w:rPr>
          <w:sz w:val="20"/>
          <w:szCs w:val="20"/>
          <w:color w:val="auto"/>
        </w:rPr>
        <w:tab/>
      </w:r>
      <w:r>
        <w:rPr>
          <w:rFonts w:ascii="Arial" w:cs="Arial" w:eastAsia="Arial" w:hAnsi="Arial"/>
          <w:sz w:val="16"/>
          <w:szCs w:val="16"/>
          <w:b w:val="1"/>
          <w:bCs w:val="1"/>
          <w:color w:val="auto"/>
        </w:rPr>
        <w:t>Replacement of the Agent</w:t>
      </w:r>
    </w:p>
    <w:p>
      <w:pPr>
        <w:spacing w:after="0" w:line="135" w:lineRule="exact"/>
        <w:rPr>
          <w:sz w:val="20"/>
          <w:szCs w:val="20"/>
          <w:color w:val="auto"/>
        </w:rPr>
      </w:pPr>
    </w:p>
    <w:p>
      <w:pPr>
        <w:ind w:left="1300" w:right="200" w:hanging="535"/>
        <w:spacing w:after="0" w:line="263" w:lineRule="auto"/>
        <w:tabs>
          <w:tab w:leader="none" w:pos="1300" w:val="left"/>
        </w:tabs>
        <w:numPr>
          <w:ilvl w:val="0"/>
          <w:numId w:val="1076"/>
        </w:numPr>
        <w:rPr>
          <w:rFonts w:ascii="Arial" w:cs="Arial" w:eastAsia="Arial" w:hAnsi="Arial"/>
          <w:sz w:val="18"/>
          <w:szCs w:val="18"/>
          <w:color w:val="auto"/>
        </w:rPr>
      </w:pPr>
      <w:r>
        <w:rPr>
          <w:rFonts w:ascii="Arial" w:cs="Arial" w:eastAsia="Arial" w:hAnsi="Arial"/>
          <w:sz w:val="18"/>
          <w:szCs w:val="18"/>
          <w:color w:val="auto"/>
        </w:rPr>
        <w:t>After consultation with the Borrower, the Majority Lenders may, by giving 30 days’ notice to the Agent (or, at any time the Agent is an Impaired Agent, by giving any shorter notice determined by the Majority Lenders) replace the Agent by appointing a successor Agent (acting through an office in Hong Kong or Macau).</w:t>
      </w:r>
    </w:p>
    <w:p>
      <w:pPr>
        <w:spacing w:after="0" w:line="89" w:lineRule="exact"/>
        <w:rPr>
          <w:rFonts w:ascii="Arial" w:cs="Arial" w:eastAsia="Arial" w:hAnsi="Arial"/>
          <w:sz w:val="18"/>
          <w:szCs w:val="18"/>
          <w:color w:val="auto"/>
        </w:rPr>
      </w:pPr>
    </w:p>
    <w:p>
      <w:pPr>
        <w:ind w:left="1300" w:right="160" w:hanging="535"/>
        <w:spacing w:after="0" w:line="263" w:lineRule="auto"/>
        <w:tabs>
          <w:tab w:leader="none" w:pos="1300" w:val="left"/>
        </w:tabs>
        <w:numPr>
          <w:ilvl w:val="0"/>
          <w:numId w:val="1076"/>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89" w:lineRule="exact"/>
        <w:rPr>
          <w:rFonts w:ascii="Arial" w:cs="Arial" w:eastAsia="Arial" w:hAnsi="Arial"/>
          <w:sz w:val="18"/>
          <w:szCs w:val="18"/>
          <w:color w:val="auto"/>
        </w:rPr>
      </w:pPr>
    </w:p>
    <w:p>
      <w:pPr>
        <w:ind w:left="1300" w:right="40" w:hanging="535"/>
        <w:spacing w:after="0" w:line="275" w:lineRule="auto"/>
        <w:tabs>
          <w:tab w:leader="none" w:pos="1300" w:val="left"/>
        </w:tabs>
        <w:numPr>
          <w:ilvl w:val="0"/>
          <w:numId w:val="1076"/>
        </w:numPr>
        <w:rPr>
          <w:rFonts w:ascii="Arial" w:cs="Arial" w:eastAsia="Arial" w:hAnsi="Arial"/>
          <w:sz w:val="17"/>
          <w:szCs w:val="17"/>
          <w:color w:val="auto"/>
        </w:rPr>
      </w:pPr>
      <w:r>
        <w:rPr>
          <w:rFonts w:ascii="Arial" w:cs="Arial" w:eastAsia="Arial" w:hAnsi="Arial"/>
          <w:sz w:val="17"/>
          <w:szCs w:val="17"/>
          <w:color w:val="auto"/>
        </w:rPr>
        <w:t>The appointment of the successor Agent shall take effect on the date specified in the notice from the Majority Lenders to the retiring Agent (or, if later, on its accession to the Intercreditor Agreement in the capacity as Agent). As from this date, the retiring Agent shall be discharged from any further obligation in respect of the Finance Documents (other than its obligations under paragraph (b) above) but shall remain entitled to the benefit of Clause 17.3 (</w:t>
      </w:r>
      <w:r>
        <w:rPr>
          <w:rFonts w:ascii="Arial" w:cs="Arial" w:eastAsia="Arial" w:hAnsi="Arial"/>
          <w:sz w:val="17"/>
          <w:szCs w:val="17"/>
          <w:i w:val="1"/>
          <w:iCs w:val="1"/>
          <w:color w:val="auto"/>
        </w:rPr>
        <w:t>Indemnity to the Agent</w:t>
      </w:r>
      <w:r>
        <w:rPr>
          <w:rFonts w:ascii="Arial" w:cs="Arial" w:eastAsia="Arial" w:hAnsi="Arial"/>
          <w:sz w:val="17"/>
          <w:szCs w:val="17"/>
          <w:color w:val="auto"/>
        </w:rPr>
        <w:t>) and this Clause 28 (and any agency fees for the account of the retiring Agent shall cease to accrue from (and shall be payable on) that date).</w:t>
      </w:r>
    </w:p>
    <w:p>
      <w:pPr>
        <w:spacing w:after="0" w:line="81" w:lineRule="exact"/>
        <w:rPr>
          <w:rFonts w:ascii="Arial" w:cs="Arial" w:eastAsia="Arial" w:hAnsi="Arial"/>
          <w:sz w:val="17"/>
          <w:szCs w:val="17"/>
          <w:color w:val="auto"/>
        </w:rPr>
      </w:pPr>
    </w:p>
    <w:p>
      <w:pPr>
        <w:ind w:left="1300" w:right="120" w:hanging="535"/>
        <w:spacing w:after="0" w:line="277" w:lineRule="auto"/>
        <w:tabs>
          <w:tab w:leader="none" w:pos="1300" w:val="left"/>
        </w:tabs>
        <w:numPr>
          <w:ilvl w:val="0"/>
          <w:numId w:val="1076"/>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28.13</w:t>
      </w:r>
      <w:r>
        <w:rPr>
          <w:sz w:val="20"/>
          <w:szCs w:val="20"/>
          <w:color w:val="auto"/>
        </w:rPr>
        <w:tab/>
      </w:r>
      <w:r>
        <w:rPr>
          <w:rFonts w:ascii="Arial" w:cs="Arial" w:eastAsia="Arial" w:hAnsi="Arial"/>
          <w:sz w:val="16"/>
          <w:szCs w:val="16"/>
          <w:b w:val="1"/>
          <w:bCs w:val="1"/>
          <w:color w:val="auto"/>
        </w:rPr>
        <w:t>Confidentiality</w:t>
      </w:r>
    </w:p>
    <w:p>
      <w:pPr>
        <w:spacing w:after="0" w:line="135" w:lineRule="exact"/>
        <w:rPr>
          <w:sz w:val="20"/>
          <w:szCs w:val="20"/>
          <w:color w:val="auto"/>
        </w:rPr>
      </w:pPr>
    </w:p>
    <w:p>
      <w:pPr>
        <w:ind w:left="1300" w:right="100" w:hanging="535"/>
        <w:spacing w:after="0" w:line="277" w:lineRule="auto"/>
        <w:tabs>
          <w:tab w:leader="none" w:pos="1300" w:val="left"/>
        </w:tabs>
        <w:numPr>
          <w:ilvl w:val="0"/>
          <w:numId w:val="1077"/>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75" w:lineRule="exact"/>
        <w:rPr>
          <w:rFonts w:ascii="Arial" w:cs="Arial" w:eastAsia="Arial" w:hAnsi="Arial"/>
          <w:sz w:val="18"/>
          <w:szCs w:val="18"/>
          <w:color w:val="auto"/>
        </w:rPr>
      </w:pPr>
    </w:p>
    <w:p>
      <w:pPr>
        <w:ind w:left="1300" w:right="740" w:hanging="535"/>
        <w:spacing w:after="0" w:line="277" w:lineRule="auto"/>
        <w:tabs>
          <w:tab w:leader="none" w:pos="1300" w:val="left"/>
        </w:tabs>
        <w:numPr>
          <w:ilvl w:val="0"/>
          <w:numId w:val="1077"/>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75" w:lineRule="exact"/>
        <w:rPr>
          <w:rFonts w:ascii="Arial" w:cs="Arial" w:eastAsia="Arial" w:hAnsi="Arial"/>
          <w:sz w:val="18"/>
          <w:szCs w:val="18"/>
          <w:color w:val="auto"/>
        </w:rPr>
      </w:pPr>
    </w:p>
    <w:p>
      <w:pPr>
        <w:ind w:left="1300" w:right="120" w:hanging="535"/>
        <w:spacing w:after="0" w:line="263" w:lineRule="auto"/>
        <w:tabs>
          <w:tab w:leader="none" w:pos="1300" w:val="left"/>
        </w:tabs>
        <w:numPr>
          <w:ilvl w:val="0"/>
          <w:numId w:val="1077"/>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the Agent shall not be obliged to disclose to any other person (i) any confidential information or (ii) any other information if the disclosure would or might in its reasonable opinion constitute a breach of any law or a breach of a fiduciary duty.</w:t>
      </w:r>
    </w:p>
    <w:p>
      <w:pPr>
        <w:spacing w:after="0" w:line="89" w:lineRule="exact"/>
        <w:rPr>
          <w:rFonts w:ascii="Arial" w:cs="Arial" w:eastAsia="Arial" w:hAnsi="Arial"/>
          <w:sz w:val="18"/>
          <w:szCs w:val="18"/>
          <w:color w:val="auto"/>
        </w:rPr>
      </w:pPr>
    </w:p>
    <w:p>
      <w:pPr>
        <w:ind w:left="1300" w:right="60" w:hanging="535"/>
        <w:spacing w:after="0" w:line="263" w:lineRule="auto"/>
        <w:tabs>
          <w:tab w:leader="none" w:pos="1300" w:val="left"/>
        </w:tabs>
        <w:numPr>
          <w:ilvl w:val="0"/>
          <w:numId w:val="1077"/>
        </w:numPr>
        <w:rPr>
          <w:rFonts w:ascii="Arial" w:cs="Arial" w:eastAsia="Arial" w:hAnsi="Arial"/>
          <w:sz w:val="18"/>
          <w:szCs w:val="18"/>
          <w:color w:val="auto"/>
        </w:rPr>
      </w:pPr>
      <w:r>
        <w:rPr>
          <w:rFonts w:ascii="Arial" w:cs="Arial" w:eastAsia="Arial" w:hAnsi="Arial"/>
          <w:sz w:val="18"/>
          <w:szCs w:val="18"/>
          <w:color w:val="auto"/>
        </w:rPr>
        <w:t>The Agent shall not be obliged to disclose to any Finance Party any information supplied to it by the Borrower or any Affiliates of the Borrower on a confidential basis and for the purpose of evaluating whether any waiver or amendment is or may be required or desirable in relation to any Finance Document.</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28.14</w:t>
      </w:r>
      <w:r>
        <w:rPr>
          <w:sz w:val="20"/>
          <w:szCs w:val="20"/>
          <w:color w:val="auto"/>
        </w:rPr>
        <w:tab/>
      </w:r>
      <w:r>
        <w:rPr>
          <w:rFonts w:ascii="Arial" w:cs="Arial" w:eastAsia="Arial" w:hAnsi="Arial"/>
          <w:sz w:val="16"/>
          <w:szCs w:val="16"/>
          <w:b w:val="1"/>
          <w:bCs w:val="1"/>
          <w:color w:val="auto"/>
        </w:rPr>
        <w:t>Relationship with the Lenders</w:t>
      </w:r>
    </w:p>
    <w:p>
      <w:pPr>
        <w:spacing w:after="0" w:line="135" w:lineRule="exact"/>
        <w:rPr>
          <w:sz w:val="20"/>
          <w:szCs w:val="20"/>
          <w:color w:val="auto"/>
        </w:rPr>
      </w:pPr>
    </w:p>
    <w:p>
      <w:pPr>
        <w:ind w:left="1300" w:right="380" w:hanging="535"/>
        <w:spacing w:after="0" w:line="308" w:lineRule="auto"/>
        <w:tabs>
          <w:tab w:leader="none" w:pos="1300" w:val="left"/>
        </w:tabs>
        <w:numPr>
          <w:ilvl w:val="0"/>
          <w:numId w:val="1078"/>
        </w:numPr>
        <w:rPr>
          <w:rFonts w:ascii="Arial" w:cs="Arial" w:eastAsia="Arial" w:hAnsi="Arial"/>
          <w:sz w:val="17"/>
          <w:szCs w:val="17"/>
          <w:color w:val="auto"/>
        </w:rPr>
      </w:pPr>
      <w:r>
        <w:rPr>
          <w:rFonts w:ascii="Arial" w:cs="Arial" w:eastAsia="Arial" w:hAnsi="Arial"/>
          <w:sz w:val="17"/>
          <w:szCs w:val="17"/>
          <w:color w:val="auto"/>
        </w:rPr>
        <w:t>The Agent may treat each person shown in its records as a Lender at the opening of business (in the place of the Agent’s principal office as notified to the Finance Parties from time to time) as the Lender acting through its Facility Office:</w:t>
      </w:r>
    </w:p>
    <w:p>
      <w:pPr>
        <w:spacing w:after="0" w:line="51" w:lineRule="exact"/>
        <w:rPr>
          <w:rFonts w:ascii="Arial" w:cs="Arial" w:eastAsia="Arial" w:hAnsi="Arial"/>
          <w:sz w:val="17"/>
          <w:szCs w:val="17"/>
          <w:color w:val="auto"/>
        </w:rPr>
      </w:pPr>
    </w:p>
    <w:p>
      <w:pPr>
        <w:ind w:left="1960" w:hanging="655"/>
        <w:spacing w:after="0"/>
        <w:tabs>
          <w:tab w:leader="none" w:pos="1960" w:val="left"/>
        </w:tabs>
        <w:numPr>
          <w:ilvl w:val="1"/>
          <w:numId w:val="1078"/>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158"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19" w:name="page720"/>
    <w:bookmarkEnd w:id="719"/>
    <w:p>
      <w:pPr>
        <w:ind w:left="1960" w:right="440" w:hanging="655"/>
        <w:spacing w:after="0" w:line="277" w:lineRule="auto"/>
        <w:tabs>
          <w:tab w:leader="none" w:pos="1960" w:val="left"/>
        </w:tabs>
        <w:numPr>
          <w:ilvl w:val="0"/>
          <w:numId w:val="10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entitled to receive and act upon any notice, request, document or communication or make any decision or determination under any Finance Document made or delivered on that day,</w:t>
      </w:r>
    </w:p>
    <w:p>
      <w:pPr>
        <w:spacing w:after="0" w:line="62" w:lineRule="exact"/>
        <w:rPr>
          <w:sz w:val="20"/>
          <w:szCs w:val="20"/>
          <w:color w:val="auto"/>
        </w:rPr>
      </w:pPr>
    </w:p>
    <w:p>
      <w:pPr>
        <w:ind w:left="1320" w:right="200"/>
        <w:spacing w:after="0" w:line="277" w:lineRule="auto"/>
        <w:rPr>
          <w:sz w:val="20"/>
          <w:szCs w:val="20"/>
          <w:color w:val="auto"/>
        </w:rPr>
      </w:pPr>
      <w:r>
        <w:rPr>
          <w:rFonts w:ascii="Arial" w:cs="Arial" w:eastAsia="Arial" w:hAnsi="Arial"/>
          <w:sz w:val="18"/>
          <w:szCs w:val="18"/>
          <w:color w:val="auto"/>
        </w:rPr>
        <w:t>unless it has received not less than five (5) Business Days prior notice from that Lender to the contrary in accordance with the terms of this Agreement.</w:t>
      </w:r>
    </w:p>
    <w:p>
      <w:pPr>
        <w:spacing w:after="0" w:line="76" w:lineRule="exact"/>
        <w:rPr>
          <w:sz w:val="20"/>
          <w:szCs w:val="20"/>
          <w:color w:val="auto"/>
        </w:rPr>
      </w:pPr>
    </w:p>
    <w:p>
      <w:pPr>
        <w:ind w:left="1300" w:right="60" w:hanging="535"/>
        <w:spacing w:after="0" w:line="257" w:lineRule="auto"/>
        <w:tabs>
          <w:tab w:leader="none" w:pos="1300" w:val="left"/>
        </w:tabs>
        <w:numPr>
          <w:ilvl w:val="0"/>
          <w:numId w:val="1080"/>
        </w:numPr>
        <w:rPr>
          <w:rFonts w:ascii="Arial" w:cs="Arial" w:eastAsia="Arial" w:hAnsi="Arial"/>
          <w:sz w:val="18"/>
          <w:szCs w:val="18"/>
          <w:color w:val="auto"/>
        </w:rPr>
      </w:pPr>
      <w:r>
        <w:rPr>
          <w:rFonts w:ascii="Arial" w:cs="Arial" w:eastAsia="Arial" w:hAnsi="Arial"/>
          <w:sz w:val="18"/>
          <w:szCs w:val="18"/>
          <w:color w:val="auto"/>
        </w:rPr>
        <w:t>Each Lender shall supply the Agent with any information that the Intercreditor Agent or Common Security Agent may reasonably specify (through the Agent) as being necessary or desirable to enable the Intercreditor Agent or Common Security Agent (as applicable) to perform its functions as Intercreditor Agent or Common Security Agent (as applicable). Each Lender shall deal with the Intercreditor Agent and the Common Security Agent exclusively through the Agent and shall not deal directly with the Intercreditor Agent or the Common Security Agent.</w:t>
      </w:r>
    </w:p>
    <w:p>
      <w:pPr>
        <w:spacing w:after="0" w:line="93" w:lineRule="exact"/>
        <w:rPr>
          <w:rFonts w:ascii="Arial" w:cs="Arial" w:eastAsia="Arial" w:hAnsi="Arial"/>
          <w:sz w:val="18"/>
          <w:szCs w:val="18"/>
          <w:color w:val="auto"/>
        </w:rPr>
      </w:pPr>
    </w:p>
    <w:p>
      <w:pPr>
        <w:ind w:left="1300" w:right="40" w:hanging="535"/>
        <w:spacing w:after="0" w:line="290" w:lineRule="auto"/>
        <w:tabs>
          <w:tab w:leader="none" w:pos="1300" w:val="left"/>
        </w:tabs>
        <w:numPr>
          <w:ilvl w:val="0"/>
          <w:numId w:val="1080"/>
        </w:numPr>
        <w:rPr>
          <w:rFonts w:ascii="Arial" w:cs="Arial" w:eastAsia="Arial" w:hAnsi="Arial"/>
          <w:sz w:val="16"/>
          <w:szCs w:val="16"/>
          <w:color w:val="auto"/>
        </w:rPr>
      </w:pPr>
      <w:r>
        <w:rPr>
          <w:rFonts w:ascii="Arial" w:cs="Arial" w:eastAsia="Arial" w:hAnsi="Arial"/>
          <w:sz w:val="16"/>
          <w:szCs w:val="16"/>
          <w:color w:val="auto"/>
        </w:rPr>
        <w:t>Each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33.6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fax number, electronic mail address, department and officer by that Lender for the purposes of Clause 33.2 (</w:t>
      </w:r>
      <w:r>
        <w:rPr>
          <w:rFonts w:ascii="Arial" w:cs="Arial" w:eastAsia="Arial" w:hAnsi="Arial"/>
          <w:sz w:val="16"/>
          <w:szCs w:val="16"/>
          <w:i w:val="1"/>
          <w:iCs w:val="1"/>
          <w:color w:val="auto"/>
        </w:rPr>
        <w:t>Addresses</w:t>
      </w:r>
      <w:r>
        <w:rPr>
          <w:rFonts w:ascii="Arial" w:cs="Arial" w:eastAsia="Arial" w:hAnsi="Arial"/>
          <w:sz w:val="16"/>
          <w:szCs w:val="16"/>
          <w:color w:val="auto"/>
        </w:rPr>
        <w:t>) and paragraph (a)(ii) of Clause 33.6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and the Agent shall be entitled to treat such person as the person entitled to receive all such notices, communications, information and documents as though that person were that Lender.</w:t>
      </w:r>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28.15</w:t>
      </w:r>
      <w:r>
        <w:rPr>
          <w:sz w:val="20"/>
          <w:szCs w:val="20"/>
          <w:color w:val="auto"/>
        </w:rPr>
        <w:tab/>
      </w:r>
      <w:r>
        <w:rPr>
          <w:rFonts w:ascii="Arial" w:cs="Arial" w:eastAsia="Arial" w:hAnsi="Arial"/>
          <w:sz w:val="16"/>
          <w:szCs w:val="16"/>
          <w:b w:val="1"/>
          <w:bCs w:val="1"/>
          <w:color w:val="auto"/>
        </w:rPr>
        <w:t>Credit appraisal by the Lenders</w:t>
      </w:r>
    </w:p>
    <w:p>
      <w:pPr>
        <w:spacing w:after="0" w:line="121" w:lineRule="exact"/>
        <w:rPr>
          <w:sz w:val="20"/>
          <w:szCs w:val="20"/>
          <w:color w:val="auto"/>
        </w:rPr>
      </w:pPr>
    </w:p>
    <w:p>
      <w:pPr>
        <w:jc w:val="both"/>
        <w:ind w:left="760" w:right="140"/>
        <w:spacing w:after="0" w:line="311" w:lineRule="auto"/>
        <w:rPr>
          <w:sz w:val="20"/>
          <w:szCs w:val="20"/>
          <w:color w:val="auto"/>
        </w:rPr>
      </w:pPr>
      <w:r>
        <w:rPr>
          <w:rFonts w:ascii="Arial" w:cs="Arial" w:eastAsia="Arial" w:hAnsi="Arial"/>
          <w:sz w:val="16"/>
          <w:szCs w:val="16"/>
          <w:color w:val="auto"/>
        </w:rPr>
        <w:t>Without affecting the responsibility of any Obligor for information supplied by it or on its behalf in connection with any Finance Document, each Lender confirms to the Agent that it has been, and will continue to be, solely responsible for making its own independent appraisal and investigation of all risks arising under or in connection with any Finance Document including but not limited to:</w:t>
      </w:r>
    </w:p>
    <w:p>
      <w:pPr>
        <w:spacing w:after="0" w:line="54" w:lineRule="exact"/>
        <w:rPr>
          <w:sz w:val="20"/>
          <w:szCs w:val="20"/>
          <w:color w:val="auto"/>
        </w:rPr>
      </w:pPr>
    </w:p>
    <w:p>
      <w:pPr>
        <w:ind w:left="1300" w:hanging="535"/>
        <w:spacing w:after="0"/>
        <w:tabs>
          <w:tab w:leader="none" w:pos="1300" w:val="left"/>
        </w:tabs>
        <w:numPr>
          <w:ilvl w:val="0"/>
          <w:numId w:val="1081"/>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member of the Group;</w:t>
      </w:r>
    </w:p>
    <w:p>
      <w:pPr>
        <w:spacing w:after="0" w:line="130" w:lineRule="exact"/>
        <w:rPr>
          <w:rFonts w:ascii="Arial" w:cs="Arial" w:eastAsia="Arial" w:hAnsi="Arial"/>
          <w:sz w:val="18"/>
          <w:szCs w:val="18"/>
          <w:color w:val="auto"/>
        </w:rPr>
      </w:pPr>
    </w:p>
    <w:p>
      <w:pPr>
        <w:ind w:left="1300" w:right="220" w:hanging="535"/>
        <w:spacing w:after="0" w:line="263" w:lineRule="auto"/>
        <w:tabs>
          <w:tab w:leader="none" w:pos="1300" w:val="left"/>
        </w:tabs>
        <w:numPr>
          <w:ilvl w:val="0"/>
          <w:numId w:val="1081"/>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and the Transaction Security and any other agreement, arrangement or document entered into, made or executed in anticipation of, under or in connection with any Finance Document or the Transaction Security;</w:t>
      </w:r>
    </w:p>
    <w:p>
      <w:pPr>
        <w:spacing w:after="0" w:line="89" w:lineRule="exact"/>
        <w:rPr>
          <w:rFonts w:ascii="Arial" w:cs="Arial" w:eastAsia="Arial" w:hAnsi="Arial"/>
          <w:sz w:val="18"/>
          <w:szCs w:val="18"/>
          <w:color w:val="auto"/>
        </w:rPr>
      </w:pPr>
    </w:p>
    <w:p>
      <w:pPr>
        <w:ind w:left="1300" w:right="300" w:hanging="535"/>
        <w:spacing w:after="0" w:line="259" w:lineRule="auto"/>
        <w:tabs>
          <w:tab w:leader="none" w:pos="1300" w:val="left"/>
        </w:tabs>
        <w:numPr>
          <w:ilvl w:val="0"/>
          <w:numId w:val="1081"/>
        </w:numPr>
        <w:rPr>
          <w:rFonts w:ascii="Arial" w:cs="Arial" w:eastAsia="Arial" w:hAnsi="Arial"/>
          <w:sz w:val="18"/>
          <w:szCs w:val="18"/>
          <w:color w:val="auto"/>
        </w:rPr>
      </w:pPr>
      <w:r>
        <w:rPr>
          <w:rFonts w:ascii="Arial" w:cs="Arial" w:eastAsia="Arial" w:hAnsi="Arial"/>
          <w:sz w:val="18"/>
          <w:szCs w:val="18"/>
          <w:color w:val="auto"/>
        </w:rPr>
        <w:t>whether that Secured Party has recourse, and the nature and extent of that recourse, against any Party or any of its respective assets under or in connection with any Finance Document, the Transaction Security or the transactions contemplated by the Finance Documents or any other agreement, arrangement or document entered into, made or executed in anticipation of, under or in connection with any Finance Document or the Transaction Security;</w:t>
      </w:r>
    </w:p>
    <w:p>
      <w:pPr>
        <w:spacing w:after="0" w:line="92" w:lineRule="exact"/>
        <w:rPr>
          <w:rFonts w:ascii="Arial" w:cs="Arial" w:eastAsia="Arial" w:hAnsi="Arial"/>
          <w:sz w:val="18"/>
          <w:szCs w:val="18"/>
          <w:color w:val="auto"/>
        </w:rPr>
      </w:pPr>
    </w:p>
    <w:p>
      <w:pPr>
        <w:ind w:left="1300" w:right="20" w:hanging="535"/>
        <w:spacing w:after="0" w:line="259" w:lineRule="auto"/>
        <w:tabs>
          <w:tab w:leader="none" w:pos="1300" w:val="left"/>
        </w:tabs>
        <w:numPr>
          <w:ilvl w:val="0"/>
          <w:numId w:val="1081"/>
        </w:numPr>
        <w:rPr>
          <w:rFonts w:ascii="Arial" w:cs="Arial" w:eastAsia="Arial" w:hAnsi="Arial"/>
          <w:sz w:val="18"/>
          <w:szCs w:val="18"/>
          <w:color w:val="auto"/>
        </w:rPr>
      </w:pPr>
      <w:r>
        <w:rPr>
          <w:rFonts w:ascii="Arial" w:cs="Arial" w:eastAsia="Arial" w:hAnsi="Arial"/>
          <w:sz w:val="18"/>
          <w:szCs w:val="18"/>
          <w:color w:val="auto"/>
        </w:rPr>
        <w:t>the adequacy, accuracy and/or completeness any information provided by the Agent, the Common Security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 and</w:t>
      </w:r>
    </w:p>
    <w:p>
      <w:pPr>
        <w:spacing w:after="0" w:line="119"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20" w:name="page721"/>
    <w:bookmarkEnd w:id="720"/>
    <w:p>
      <w:pPr>
        <w:ind w:left="1300" w:right="580" w:hanging="535"/>
        <w:spacing w:after="0" w:line="277" w:lineRule="auto"/>
        <w:tabs>
          <w:tab w:leader="none" w:pos="1300" w:val="left"/>
        </w:tabs>
        <w:numPr>
          <w:ilvl w:val="0"/>
          <w:numId w:val="10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 or title of any person in or to, or the value or sufficiency of any part of the Charged Property, the priority of any of the Transaction Security or the existence of any Security affecting the Charged Property.</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28.16</w:t>
      </w:r>
      <w:r>
        <w:rPr>
          <w:sz w:val="20"/>
          <w:szCs w:val="20"/>
          <w:color w:val="auto"/>
        </w:rPr>
        <w:tab/>
      </w:r>
      <w:r>
        <w:rPr>
          <w:rFonts w:ascii="Arial" w:cs="Arial" w:eastAsia="Arial" w:hAnsi="Arial"/>
          <w:sz w:val="16"/>
          <w:szCs w:val="16"/>
          <w:b w:val="1"/>
          <w:bCs w:val="1"/>
          <w:color w:val="auto"/>
        </w:rPr>
        <w:t>Reference Banks</w:t>
      </w:r>
    </w:p>
    <w:p>
      <w:pPr>
        <w:spacing w:after="0" w:line="121" w:lineRule="exact"/>
        <w:rPr>
          <w:sz w:val="20"/>
          <w:szCs w:val="20"/>
          <w:color w:val="auto"/>
        </w:rPr>
      </w:pPr>
    </w:p>
    <w:p>
      <w:pPr>
        <w:ind w:left="760" w:right="520"/>
        <w:spacing w:after="0" w:line="277" w:lineRule="auto"/>
        <w:rPr>
          <w:sz w:val="20"/>
          <w:szCs w:val="20"/>
          <w:color w:val="auto"/>
        </w:rPr>
      </w:pPr>
      <w:r>
        <w:rPr>
          <w:rFonts w:ascii="Arial" w:cs="Arial" w:eastAsia="Arial" w:hAnsi="Arial"/>
          <w:sz w:val="18"/>
          <w:szCs w:val="18"/>
          <w:color w:val="auto"/>
        </w:rPr>
        <w:t>The Agent may at any time and from time to time (in consultation with the Borrower) appoint any Lender or an Affiliate of a Lender to replace any Reference Bank that is not (or which is not an Affiliate of) a Lender.</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28.17</w:t>
      </w:r>
      <w:r>
        <w:rPr>
          <w:sz w:val="20"/>
          <w:szCs w:val="20"/>
          <w:color w:val="auto"/>
        </w:rPr>
        <w:tab/>
      </w:r>
      <w:r>
        <w:rPr>
          <w:rFonts w:ascii="Arial" w:cs="Arial" w:eastAsia="Arial" w:hAnsi="Arial"/>
          <w:sz w:val="16"/>
          <w:szCs w:val="16"/>
          <w:b w:val="1"/>
          <w:bCs w:val="1"/>
          <w:color w:val="auto"/>
        </w:rPr>
        <w:t>Agent’s management time</w:t>
      </w:r>
    </w:p>
    <w:p>
      <w:pPr>
        <w:spacing w:after="0" w:line="135" w:lineRule="exact"/>
        <w:rPr>
          <w:sz w:val="20"/>
          <w:szCs w:val="20"/>
          <w:color w:val="auto"/>
        </w:rPr>
      </w:pPr>
    </w:p>
    <w:p>
      <w:pPr>
        <w:ind w:left="1300" w:right="360" w:hanging="535"/>
        <w:spacing w:after="0" w:line="259" w:lineRule="auto"/>
        <w:tabs>
          <w:tab w:leader="none" w:pos="1300" w:val="left"/>
        </w:tabs>
        <w:numPr>
          <w:ilvl w:val="0"/>
          <w:numId w:val="1083"/>
        </w:numPr>
        <w:rPr>
          <w:rFonts w:ascii="Arial" w:cs="Arial" w:eastAsia="Arial" w:hAnsi="Arial"/>
          <w:sz w:val="18"/>
          <w:szCs w:val="18"/>
          <w:color w:val="auto"/>
        </w:rPr>
      </w:pPr>
      <w:r>
        <w:rPr>
          <w:rFonts w:ascii="Arial" w:cs="Arial" w:eastAsia="Arial" w:hAnsi="Arial"/>
          <w:sz w:val="18"/>
          <w:szCs w:val="18"/>
          <w:color w:val="auto"/>
        </w:rPr>
        <w:t>Any amount payable to the Agent under Clause 17.3 (</w:t>
      </w:r>
      <w:r>
        <w:rPr>
          <w:rFonts w:ascii="Arial" w:cs="Arial" w:eastAsia="Arial" w:hAnsi="Arial"/>
          <w:sz w:val="18"/>
          <w:szCs w:val="18"/>
          <w:i w:val="1"/>
          <w:iCs w:val="1"/>
          <w:color w:val="auto"/>
        </w:rPr>
        <w:t>Indemnity to the Agent</w:t>
      </w:r>
      <w:r>
        <w:rPr>
          <w:rFonts w:ascii="Arial" w:cs="Arial" w:eastAsia="Arial" w:hAnsi="Arial"/>
          <w:sz w:val="18"/>
          <w:szCs w:val="18"/>
          <w:color w:val="auto"/>
        </w:rPr>
        <w:t>), Clause 19 (</w:t>
      </w:r>
      <w:r>
        <w:rPr>
          <w:rFonts w:ascii="Arial" w:cs="Arial" w:eastAsia="Arial" w:hAnsi="Arial"/>
          <w:sz w:val="18"/>
          <w:szCs w:val="18"/>
          <w:i w:val="1"/>
          <w:iCs w:val="1"/>
          <w:color w:val="auto"/>
        </w:rPr>
        <w:t>Costs and expenses</w:t>
      </w:r>
      <w:r>
        <w:rPr>
          <w:rFonts w:ascii="Arial" w:cs="Arial" w:eastAsia="Arial" w:hAnsi="Arial"/>
          <w:sz w:val="18"/>
          <w:szCs w:val="18"/>
          <w:color w:val="auto"/>
        </w:rPr>
        <w:t>) and Clause 28.10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shall include the cost of utilising the Agent’s management time or other resources and will be calculated on the basis of such reasonable daily or hourly rates as the Agent may notify to the Borrower and the Lenders, and is in addition to any fee paid or payable to the Agent under Clause 14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300" w:right="220" w:hanging="535"/>
        <w:spacing w:after="0" w:line="277" w:lineRule="auto"/>
        <w:tabs>
          <w:tab w:leader="none" w:pos="1300" w:val="left"/>
        </w:tabs>
        <w:numPr>
          <w:ilvl w:val="0"/>
          <w:numId w:val="1083"/>
        </w:numPr>
        <w:rPr>
          <w:rFonts w:ascii="Arial" w:cs="Arial" w:eastAsia="Arial" w:hAnsi="Arial"/>
          <w:sz w:val="18"/>
          <w:szCs w:val="18"/>
          <w:color w:val="auto"/>
        </w:rPr>
      </w:pPr>
      <w:r>
        <w:rPr>
          <w:rFonts w:ascii="Arial" w:cs="Arial" w:eastAsia="Arial" w:hAnsi="Arial"/>
          <w:sz w:val="18"/>
          <w:szCs w:val="18"/>
          <w:color w:val="auto"/>
        </w:rPr>
        <w:t>Any cost of utilising the Agent’s management time or other resources shall include, without limitation, any such costs in connection with Clause 26.2 (</w:t>
      </w:r>
      <w:r>
        <w:rPr>
          <w:rFonts w:ascii="Arial" w:cs="Arial" w:eastAsia="Arial" w:hAnsi="Arial"/>
          <w:sz w:val="18"/>
          <w:szCs w:val="18"/>
          <w:i w:val="1"/>
          <w:iCs w:val="1"/>
          <w:color w:val="auto"/>
        </w:rPr>
        <w:t>Disenfranchisement on Debt Purchase Transactions entered into by Sponsor Affiliates</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28.18</w:t>
      </w:r>
      <w:r>
        <w:rPr>
          <w:sz w:val="20"/>
          <w:szCs w:val="20"/>
          <w:color w:val="auto"/>
        </w:rPr>
        <w:tab/>
      </w:r>
      <w:r>
        <w:rPr>
          <w:rFonts w:ascii="Arial" w:cs="Arial" w:eastAsia="Arial" w:hAnsi="Arial"/>
          <w:sz w:val="16"/>
          <w:szCs w:val="16"/>
          <w:b w:val="1"/>
          <w:bCs w:val="1"/>
          <w:color w:val="auto"/>
        </w:rPr>
        <w:t>Deduction from amounts payable by the Agent</w:t>
      </w:r>
    </w:p>
    <w:p>
      <w:pPr>
        <w:spacing w:after="0" w:line="121" w:lineRule="exact"/>
        <w:rPr>
          <w:sz w:val="20"/>
          <w:szCs w:val="20"/>
          <w:color w:val="auto"/>
        </w:rPr>
      </w:pPr>
    </w:p>
    <w:p>
      <w:pPr>
        <w:ind w:left="760" w:right="260"/>
        <w:spacing w:after="0" w:line="25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3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28.19</w:t>
      </w:r>
      <w:r>
        <w:rPr>
          <w:sz w:val="20"/>
          <w:szCs w:val="20"/>
          <w:color w:val="auto"/>
        </w:rPr>
        <w:tab/>
      </w:r>
      <w:r>
        <w:rPr>
          <w:rFonts w:ascii="Arial" w:cs="Arial" w:eastAsia="Arial" w:hAnsi="Arial"/>
          <w:sz w:val="15"/>
          <w:szCs w:val="15"/>
          <w:b w:val="1"/>
          <w:bCs w:val="1"/>
          <w:color w:val="auto"/>
        </w:rPr>
        <w:t>Reliance and engagement letters</w:t>
      </w:r>
    </w:p>
    <w:p>
      <w:pPr>
        <w:spacing w:after="0" w:line="121" w:lineRule="exact"/>
        <w:rPr>
          <w:sz w:val="20"/>
          <w:szCs w:val="20"/>
          <w:color w:val="auto"/>
        </w:rPr>
      </w:pPr>
    </w:p>
    <w:p>
      <w:pPr>
        <w:ind w:left="760" w:right="20"/>
        <w:spacing w:after="0" w:line="257" w:lineRule="auto"/>
        <w:rPr>
          <w:sz w:val="20"/>
          <w:szCs w:val="20"/>
          <w:color w:val="auto"/>
        </w:rPr>
      </w:pPr>
      <w:r>
        <w:rPr>
          <w:rFonts w:ascii="Arial" w:cs="Arial" w:eastAsia="Arial" w:hAnsi="Arial"/>
          <w:sz w:val="18"/>
          <w:szCs w:val="18"/>
          <w:color w:val="auto"/>
        </w:rPr>
        <w:t>Each Finance Party and Secured Party confirms that the Agent has authority to accept on its behalf and ratifies the acceptance on its behalf of any letters or reports already accepted by the Agent, the terms of any reliance letter or engagement letters relating to any reports or letters provided by any advisers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3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28.20</w:t>
      </w:r>
      <w:r>
        <w:rPr>
          <w:sz w:val="20"/>
          <w:szCs w:val="20"/>
          <w:color w:val="auto"/>
        </w:rPr>
        <w:tab/>
      </w:r>
      <w:r>
        <w:rPr>
          <w:rFonts w:ascii="Arial" w:cs="Arial" w:eastAsia="Arial" w:hAnsi="Arial"/>
          <w:sz w:val="15"/>
          <w:szCs w:val="15"/>
          <w:b w:val="1"/>
          <w:bCs w:val="1"/>
          <w:color w:val="auto"/>
        </w:rPr>
        <w:t>Saving provision</w:t>
      </w:r>
    </w:p>
    <w:p>
      <w:pPr>
        <w:spacing w:after="0" w:line="121" w:lineRule="exact"/>
        <w:rPr>
          <w:sz w:val="20"/>
          <w:szCs w:val="20"/>
          <w:color w:val="auto"/>
        </w:rPr>
      </w:pPr>
    </w:p>
    <w:p>
      <w:pPr>
        <w:ind w:left="760" w:right="60"/>
        <w:spacing w:after="0" w:line="293" w:lineRule="auto"/>
        <w:rPr>
          <w:sz w:val="20"/>
          <w:szCs w:val="20"/>
          <w:color w:val="auto"/>
        </w:rPr>
      </w:pPr>
      <w:r>
        <w:rPr>
          <w:rFonts w:ascii="Arial" w:cs="Arial" w:eastAsia="Arial" w:hAnsi="Arial"/>
          <w:sz w:val="16"/>
          <w:szCs w:val="16"/>
          <w:color w:val="auto"/>
        </w:rPr>
        <w:t>Notwithstanding anything expressly stated in or omitted from this Agreement, all residual rights and obligations (including in respect of any contingent liabilities) under any Finance Document of any person that was a Party to this Agreement in its capacity as Bookrunner Mandated Lead Arranger, Mandated Lead Arranger, Arranger, Senior Manager or Manager and which rights were not terminated, released, relinquished or otherwise did not expire on or before the 2016 Amendment and Restatement Effective Date (whether pursuant to the transactions contemplated in connection with the 2016 Amendment and Restatement Agreement or otherwise) continue and, as may be necessary, such person may rely on this Clause 28.20 subject to Clause 1.3 (</w:t>
      </w:r>
      <w:r>
        <w:rPr>
          <w:rFonts w:ascii="Arial" w:cs="Arial" w:eastAsia="Arial" w:hAnsi="Arial"/>
          <w:sz w:val="16"/>
          <w:szCs w:val="16"/>
          <w:i w:val="1"/>
          <w:iCs w:val="1"/>
          <w:color w:val="auto"/>
        </w:rPr>
        <w:t>Third party rights</w:t>
      </w:r>
      <w:r>
        <w:rPr>
          <w:rFonts w:ascii="Arial" w:cs="Arial" w:eastAsia="Arial" w:hAnsi="Arial"/>
          <w:sz w:val="16"/>
          <w:szCs w:val="16"/>
          <w:color w:val="auto"/>
        </w:rPr>
        <w:t>) and the provisions of the Third Parties Act.</w:t>
      </w:r>
    </w:p>
    <w:p>
      <w:pPr>
        <w:spacing w:after="0" w:line="97"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21" w:name="page722"/>
    <w:bookmarkEnd w:id="721"/>
    <w:p>
      <w:pPr>
        <w:ind w:left="764" w:right="6960" w:hanging="764"/>
        <w:spacing w:after="0" w:line="408" w:lineRule="auto"/>
        <w:tabs>
          <w:tab w:leader="none" w:pos="762" w:val="left"/>
        </w:tabs>
        <w:numPr>
          <w:ilvl w:val="0"/>
          <w:numId w:val="108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Conduct of business by the Finance Parties </w:t>
      </w:r>
      <w:r>
        <w:rPr>
          <w:rFonts w:ascii="Arial" w:cs="Arial" w:eastAsia="Arial" w:hAnsi="Arial"/>
          <w:sz w:val="17"/>
          <w:szCs w:val="17"/>
          <w:color w:val="auto"/>
        </w:rPr>
        <w:t>No provision of this Agreement will:</w:t>
      </w:r>
    </w:p>
    <w:p>
      <w:pPr>
        <w:ind w:left="1304" w:hanging="535"/>
        <w:spacing w:after="0"/>
        <w:tabs>
          <w:tab w:leader="none" w:pos="1304" w:val="left"/>
        </w:tabs>
        <w:numPr>
          <w:ilvl w:val="1"/>
          <w:numId w:val="1084"/>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130" w:lineRule="exact"/>
        <w:rPr>
          <w:rFonts w:ascii="Arial" w:cs="Arial" w:eastAsia="Arial" w:hAnsi="Arial"/>
          <w:sz w:val="18"/>
          <w:szCs w:val="18"/>
          <w:color w:val="auto"/>
        </w:rPr>
      </w:pPr>
    </w:p>
    <w:p>
      <w:pPr>
        <w:ind w:left="1304" w:right="520" w:hanging="535"/>
        <w:spacing w:after="0" w:line="277" w:lineRule="auto"/>
        <w:tabs>
          <w:tab w:leader="none" w:pos="1304" w:val="left"/>
        </w:tabs>
        <w:numPr>
          <w:ilvl w:val="1"/>
          <w:numId w:val="1084"/>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w:t>
      </w:r>
    </w:p>
    <w:p>
      <w:pPr>
        <w:spacing w:after="0" w:line="75" w:lineRule="exact"/>
        <w:rPr>
          <w:rFonts w:ascii="Arial" w:cs="Arial" w:eastAsia="Arial" w:hAnsi="Arial"/>
          <w:sz w:val="18"/>
          <w:szCs w:val="18"/>
          <w:color w:val="auto"/>
        </w:rPr>
      </w:pPr>
    </w:p>
    <w:p>
      <w:pPr>
        <w:ind w:left="1304" w:hanging="535"/>
        <w:spacing w:after="0"/>
        <w:tabs>
          <w:tab w:leader="none" w:pos="1304" w:val="left"/>
        </w:tabs>
        <w:numPr>
          <w:ilvl w:val="1"/>
          <w:numId w:val="1084"/>
        </w:numPr>
        <w:rPr>
          <w:rFonts w:ascii="Arial" w:cs="Arial" w:eastAsia="Arial" w:hAnsi="Arial"/>
          <w:sz w:val="16"/>
          <w:szCs w:val="16"/>
          <w:color w:val="auto"/>
        </w:rPr>
      </w:pPr>
      <w:r>
        <w:rPr>
          <w:rFonts w:ascii="Arial" w:cs="Arial" w:eastAsia="Arial" w:hAnsi="Arial"/>
          <w:sz w:val="16"/>
          <w:szCs w:val="16"/>
          <w:color w:val="auto"/>
        </w:rPr>
        <w:t>oblige any Finance Party to disclose any information relating to its affairs (tax or otherwise) or any computations in respect of Tax; or</w:t>
      </w:r>
    </w:p>
    <w:p>
      <w:pPr>
        <w:spacing w:after="0" w:line="153" w:lineRule="exact"/>
        <w:rPr>
          <w:rFonts w:ascii="Arial" w:cs="Arial" w:eastAsia="Arial" w:hAnsi="Arial"/>
          <w:sz w:val="16"/>
          <w:szCs w:val="16"/>
          <w:color w:val="auto"/>
        </w:rPr>
      </w:pPr>
    </w:p>
    <w:p>
      <w:pPr>
        <w:ind w:left="1304" w:right="600" w:hanging="535"/>
        <w:spacing w:after="0" w:line="277" w:lineRule="auto"/>
        <w:tabs>
          <w:tab w:leader="none" w:pos="1304" w:val="left"/>
        </w:tabs>
        <w:numPr>
          <w:ilvl w:val="1"/>
          <w:numId w:val="1084"/>
        </w:numPr>
        <w:rPr>
          <w:rFonts w:ascii="Arial" w:cs="Arial" w:eastAsia="Arial" w:hAnsi="Arial"/>
          <w:sz w:val="18"/>
          <w:szCs w:val="18"/>
          <w:color w:val="auto"/>
        </w:rPr>
      </w:pPr>
      <w:r>
        <w:rPr>
          <w:rFonts w:ascii="Arial" w:cs="Arial" w:eastAsia="Arial" w:hAnsi="Arial"/>
          <w:sz w:val="18"/>
          <w:szCs w:val="18"/>
          <w:color w:val="auto"/>
        </w:rPr>
        <w:t>oblige any Finance Party to do or omit to do anything if it would, or might in its reasonable opinion, constitute a breach of any applicable anti-money laundering, economic or trade sanctions laws or regulations.</w:t>
      </w:r>
    </w:p>
    <w:p>
      <w:pPr>
        <w:spacing w:after="0" w:line="314" w:lineRule="exact"/>
        <w:rPr>
          <w:rFonts w:ascii="Arial" w:cs="Arial" w:eastAsia="Arial" w:hAnsi="Arial"/>
          <w:sz w:val="18"/>
          <w:szCs w:val="18"/>
          <w:color w:val="auto"/>
        </w:rPr>
      </w:pPr>
    </w:p>
    <w:p>
      <w:pPr>
        <w:ind w:left="764" w:hanging="764"/>
        <w:spacing w:after="0"/>
        <w:tabs>
          <w:tab w:leader="none" w:pos="764" w:val="left"/>
        </w:tabs>
        <w:numPr>
          <w:ilvl w:val="0"/>
          <w:numId w:val="1084"/>
        </w:numPr>
        <w:rPr>
          <w:rFonts w:ascii="Arial" w:cs="Arial" w:eastAsia="Arial" w:hAnsi="Arial"/>
          <w:sz w:val="18"/>
          <w:szCs w:val="18"/>
          <w:b w:val="1"/>
          <w:bCs w:val="1"/>
          <w:color w:val="auto"/>
        </w:rPr>
      </w:pPr>
      <w:r>
        <w:rPr>
          <w:rFonts w:ascii="Arial" w:cs="Arial" w:eastAsia="Arial" w:hAnsi="Arial"/>
          <w:sz w:val="18"/>
          <w:szCs w:val="18"/>
          <w:b w:val="1"/>
          <w:bCs w:val="1"/>
          <w:color w:val="auto"/>
        </w:rPr>
        <w:t>Sharing among the Finance Parties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color w:val="auto"/>
        </w:rPr>
        <w:t>Payments to Finance Parties</w:t>
      </w:r>
    </w:p>
    <w:p>
      <w:pPr>
        <w:spacing w:after="0" w:line="117" w:lineRule="exact"/>
        <w:rPr>
          <w:sz w:val="20"/>
          <w:szCs w:val="20"/>
          <w:color w:val="auto"/>
        </w:rPr>
      </w:pPr>
    </w:p>
    <w:p>
      <w:pPr>
        <w:ind w:left="764" w:right="220"/>
        <w:spacing w:after="0" w:line="312" w:lineRule="auto"/>
        <w:rPr>
          <w:sz w:val="20"/>
          <w:szCs w:val="20"/>
          <w:color w:val="auto"/>
        </w:rPr>
      </w:pPr>
      <w:r>
        <w:rPr>
          <w:rFonts w:ascii="Arial" w:cs="Arial" w:eastAsia="Arial" w:hAnsi="Arial"/>
          <w:sz w:val="17"/>
          <w:szCs w:val="17"/>
          <w:color w:val="auto"/>
        </w:rPr>
        <w:t>If a Finance Party (a “</w:t>
      </w:r>
      <w:r>
        <w:rPr>
          <w:rFonts w:ascii="Arial" w:cs="Arial" w:eastAsia="Arial" w:hAnsi="Arial"/>
          <w:sz w:val="17"/>
          <w:szCs w:val="17"/>
          <w:b w:val="1"/>
          <w:bCs w:val="1"/>
          <w:color w:val="auto"/>
        </w:rPr>
        <w:t>Recovering Finance Party</w:t>
      </w:r>
      <w:r>
        <w:rPr>
          <w:rFonts w:ascii="Arial" w:cs="Arial" w:eastAsia="Arial" w:hAnsi="Arial"/>
          <w:sz w:val="17"/>
          <w:szCs w:val="17"/>
          <w:color w:val="auto"/>
        </w:rPr>
        <w:t>”) receives or recovers any amount from an Obligor other than in accordance with Clause 31 (</w:t>
      </w:r>
      <w:r>
        <w:rPr>
          <w:rFonts w:ascii="Arial" w:cs="Arial" w:eastAsia="Arial" w:hAnsi="Arial"/>
          <w:sz w:val="17"/>
          <w:szCs w:val="17"/>
          <w:i w:val="1"/>
          <w:iCs w:val="1"/>
          <w:color w:val="auto"/>
        </w:rPr>
        <w:t>Payment mechanics</w:t>
      </w:r>
      <w:r>
        <w:rPr>
          <w:rFonts w:ascii="Arial" w:cs="Arial" w:eastAsia="Arial" w:hAnsi="Arial"/>
          <w:sz w:val="17"/>
          <w:szCs w:val="17"/>
          <w:color w:val="auto"/>
        </w:rPr>
        <w:t>) and applies that amount to a payment due under the Finance Documents then:</w:t>
      </w:r>
    </w:p>
    <w:p>
      <w:pPr>
        <w:spacing w:after="0" w:line="49" w:lineRule="exact"/>
        <w:rPr>
          <w:sz w:val="20"/>
          <w:szCs w:val="20"/>
          <w:color w:val="auto"/>
        </w:rPr>
      </w:pPr>
    </w:p>
    <w:p>
      <w:pPr>
        <w:ind w:left="1304" w:hanging="535"/>
        <w:spacing w:after="0"/>
        <w:tabs>
          <w:tab w:leader="none" w:pos="1304" w:val="left"/>
        </w:tabs>
        <w:numPr>
          <w:ilvl w:val="0"/>
          <w:numId w:val="1085"/>
        </w:numPr>
        <w:rPr>
          <w:rFonts w:ascii="Arial" w:cs="Arial" w:eastAsia="Arial" w:hAnsi="Arial"/>
          <w:sz w:val="18"/>
          <w:szCs w:val="18"/>
          <w:color w:val="auto"/>
        </w:rPr>
      </w:pPr>
      <w:r>
        <w:rPr>
          <w:rFonts w:ascii="Arial" w:cs="Arial" w:eastAsia="Arial" w:hAnsi="Arial"/>
          <w:sz w:val="18"/>
          <w:szCs w:val="18"/>
          <w:color w:val="auto"/>
        </w:rPr>
        <w:t>the Recovering Finance Party shall, within three (3) Business Days, notify details of the receipt or recovery, to the Agent;</w:t>
      </w:r>
    </w:p>
    <w:p>
      <w:pPr>
        <w:spacing w:after="0" w:line="130" w:lineRule="exact"/>
        <w:rPr>
          <w:rFonts w:ascii="Arial" w:cs="Arial" w:eastAsia="Arial" w:hAnsi="Arial"/>
          <w:sz w:val="18"/>
          <w:szCs w:val="18"/>
          <w:color w:val="auto"/>
        </w:rPr>
      </w:pPr>
    </w:p>
    <w:p>
      <w:pPr>
        <w:ind w:left="1304" w:right="220" w:hanging="535"/>
        <w:spacing w:after="0" w:line="259" w:lineRule="auto"/>
        <w:tabs>
          <w:tab w:leader="none" w:pos="1304" w:val="left"/>
        </w:tabs>
        <w:numPr>
          <w:ilvl w:val="0"/>
          <w:numId w:val="1085"/>
        </w:numPr>
        <w:rPr>
          <w:rFonts w:ascii="Arial" w:cs="Arial" w:eastAsia="Arial" w:hAnsi="Arial"/>
          <w:sz w:val="18"/>
          <w:szCs w:val="18"/>
          <w:color w:val="auto"/>
        </w:rPr>
      </w:pPr>
      <w:r>
        <w:rPr>
          <w:rFonts w:ascii="Arial" w:cs="Arial" w:eastAsia="Arial" w:hAnsi="Arial"/>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31 (</w:t>
      </w:r>
      <w:r>
        <w:rPr>
          <w:rFonts w:ascii="Arial" w:cs="Arial" w:eastAsia="Arial" w:hAnsi="Arial"/>
          <w:sz w:val="18"/>
          <w:szCs w:val="18"/>
          <w:i w:val="1"/>
          <w:iCs w:val="1"/>
          <w:color w:val="auto"/>
        </w:rPr>
        <w:t>Payment</w:t>
      </w:r>
      <w:r>
        <w:rPr>
          <w:rFonts w:ascii="Arial" w:cs="Arial" w:eastAsia="Arial" w:hAnsi="Arial"/>
          <w:sz w:val="18"/>
          <w:szCs w:val="18"/>
          <w:color w:val="auto"/>
        </w:rPr>
        <w:t xml:space="preserve"> </w:t>
      </w:r>
      <w:r>
        <w:rPr>
          <w:rFonts w:ascii="Arial" w:cs="Arial" w:eastAsia="Arial" w:hAnsi="Arial"/>
          <w:sz w:val="18"/>
          <w:szCs w:val="18"/>
          <w:i w:val="1"/>
          <w:iCs w:val="1"/>
          <w:color w:val="auto"/>
        </w:rPr>
        <w:t>mechanics</w:t>
      </w:r>
      <w:r>
        <w:rPr>
          <w:rFonts w:ascii="Arial" w:cs="Arial" w:eastAsia="Arial" w:hAnsi="Arial"/>
          <w:sz w:val="18"/>
          <w:szCs w:val="18"/>
          <w:color w:val="auto"/>
        </w:rPr>
        <w:t>), without taking account of any Tax which would be imposed on the Agent in relation to the receipt, recovery 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w:t>
      </w:r>
    </w:p>
    <w:p>
      <w:pPr>
        <w:spacing w:after="0" w:line="92" w:lineRule="exact"/>
        <w:rPr>
          <w:rFonts w:ascii="Arial" w:cs="Arial" w:eastAsia="Arial" w:hAnsi="Arial"/>
          <w:sz w:val="18"/>
          <w:szCs w:val="18"/>
          <w:color w:val="auto"/>
        </w:rPr>
      </w:pPr>
    </w:p>
    <w:p>
      <w:pPr>
        <w:ind w:left="1304" w:right="700" w:hanging="535"/>
        <w:spacing w:after="0" w:line="311" w:lineRule="auto"/>
        <w:tabs>
          <w:tab w:leader="none" w:pos="1304" w:val="left"/>
        </w:tabs>
        <w:numPr>
          <w:ilvl w:val="0"/>
          <w:numId w:val="1085"/>
        </w:numPr>
        <w:rPr>
          <w:rFonts w:ascii="Arial" w:cs="Arial" w:eastAsia="Arial" w:hAnsi="Arial"/>
          <w:sz w:val="16"/>
          <w:szCs w:val="16"/>
          <w:color w:val="auto"/>
        </w:rPr>
      </w:pPr>
      <w:r>
        <w:rPr>
          <w:rFonts w:ascii="Arial" w:cs="Arial" w:eastAsia="Arial" w:hAnsi="Arial"/>
          <w:sz w:val="16"/>
          <w:szCs w:val="16"/>
          <w:color w:val="auto"/>
        </w:rPr>
        <w:t>the Recovering Finance Party shall, within three (3) Business Days of demand by the Agent, pay to the Agent an amount (the “</w:t>
      </w:r>
      <w:r>
        <w:rPr>
          <w:rFonts w:ascii="Arial" w:cs="Arial" w:eastAsia="Arial" w:hAnsi="Arial"/>
          <w:sz w:val="16"/>
          <w:szCs w:val="16"/>
          <w:b w:val="1"/>
          <w:bCs w:val="1"/>
          <w:color w:val="auto"/>
        </w:rPr>
        <w:t>Sharing Payment</w:t>
      </w:r>
      <w:r>
        <w:rPr>
          <w:rFonts w:ascii="Arial" w:cs="Arial" w:eastAsia="Arial" w:hAnsi="Arial"/>
          <w:sz w:val="16"/>
          <w:szCs w:val="16"/>
          <w:color w:val="auto"/>
        </w:rPr>
        <w:t>”) equal to such receipt or recovery less any amount which the Agent determines may be retained by the Recovering Finance Party as its share of any payment to be made, in accordance with Clause 31.6 (</w:t>
      </w:r>
      <w:r>
        <w:rPr>
          <w:rFonts w:ascii="Arial" w:cs="Arial" w:eastAsia="Arial" w:hAnsi="Arial"/>
          <w:sz w:val="16"/>
          <w:szCs w:val="16"/>
          <w:i w:val="1"/>
          <w:iCs w:val="1"/>
          <w:color w:val="auto"/>
        </w:rPr>
        <w:t>Partial payments</w:t>
      </w:r>
      <w:r>
        <w:rPr>
          <w:rFonts w:ascii="Arial" w:cs="Arial" w:eastAsia="Arial" w:hAnsi="Arial"/>
          <w:sz w:val="16"/>
          <w:szCs w:val="16"/>
          <w:color w:val="auto"/>
        </w:rPr>
        <w:t>).</w:t>
      </w:r>
    </w:p>
    <w:p>
      <w:pPr>
        <w:spacing w:after="0" w:line="293"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Redistribution of payments</w:t>
      </w:r>
    </w:p>
    <w:p>
      <w:pPr>
        <w:spacing w:after="0" w:line="121" w:lineRule="exact"/>
        <w:rPr>
          <w:sz w:val="20"/>
          <w:szCs w:val="20"/>
          <w:color w:val="auto"/>
        </w:rPr>
      </w:pPr>
    </w:p>
    <w:p>
      <w:pPr>
        <w:ind w:left="764" w:right="220"/>
        <w:spacing w:after="0" w:line="263" w:lineRule="auto"/>
        <w:rPr>
          <w:sz w:val="20"/>
          <w:szCs w:val="20"/>
          <w:color w:val="auto"/>
        </w:rPr>
      </w:pPr>
      <w:r>
        <w:rPr>
          <w:rFonts w:ascii="Arial" w:cs="Arial" w:eastAsia="Arial" w:hAnsi="Arial"/>
          <w:sz w:val="18"/>
          <w:szCs w:val="18"/>
          <w:color w:val="auto"/>
        </w:rPr>
        <w:t>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31.6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Recovering Finance Party’s rights</w:t>
      </w:r>
    </w:p>
    <w:p>
      <w:pPr>
        <w:spacing w:after="0" w:line="135" w:lineRule="exact"/>
        <w:rPr>
          <w:sz w:val="20"/>
          <w:szCs w:val="20"/>
          <w:color w:val="auto"/>
        </w:rPr>
      </w:pPr>
    </w:p>
    <w:p>
      <w:pPr>
        <w:ind w:left="1304" w:right="20" w:hanging="535"/>
        <w:spacing w:after="0" w:line="277" w:lineRule="auto"/>
        <w:tabs>
          <w:tab w:leader="none" w:pos="1304" w:val="left"/>
        </w:tabs>
        <w:numPr>
          <w:ilvl w:val="0"/>
          <w:numId w:val="1086"/>
        </w:numPr>
        <w:rPr>
          <w:rFonts w:ascii="Arial" w:cs="Arial" w:eastAsia="Arial" w:hAnsi="Arial"/>
          <w:sz w:val="18"/>
          <w:szCs w:val="18"/>
          <w:color w:val="auto"/>
        </w:rPr>
      </w:pPr>
      <w:r>
        <w:rPr>
          <w:rFonts w:ascii="Arial" w:cs="Arial" w:eastAsia="Arial" w:hAnsi="Arial"/>
          <w:sz w:val="18"/>
          <w:szCs w:val="18"/>
          <w:color w:val="auto"/>
        </w:rPr>
        <w:t>On a distribution by the Agent under Clause 30.2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the Recovering Finance Party will be subrogated to the rights of the Finance Parties which have shared in the redistribution.</w:t>
      </w:r>
    </w:p>
    <w:p>
      <w:pPr>
        <w:spacing w:after="0" w:line="75" w:lineRule="exact"/>
        <w:rPr>
          <w:rFonts w:ascii="Arial" w:cs="Arial" w:eastAsia="Arial" w:hAnsi="Arial"/>
          <w:sz w:val="18"/>
          <w:szCs w:val="18"/>
          <w:color w:val="auto"/>
        </w:rPr>
      </w:pPr>
    </w:p>
    <w:p>
      <w:pPr>
        <w:ind w:left="1304" w:right="200" w:hanging="535"/>
        <w:spacing w:after="0" w:line="342" w:lineRule="auto"/>
        <w:tabs>
          <w:tab w:leader="none" w:pos="1304" w:val="left"/>
        </w:tabs>
        <w:numPr>
          <w:ilvl w:val="0"/>
          <w:numId w:val="1086"/>
        </w:numPr>
        <w:rPr>
          <w:rFonts w:ascii="Arial" w:cs="Arial" w:eastAsia="Arial" w:hAnsi="Arial"/>
          <w:sz w:val="16"/>
          <w:szCs w:val="16"/>
          <w:color w:val="auto"/>
        </w:rPr>
      </w:pPr>
      <w:r>
        <w:rPr>
          <w:rFonts w:ascii="Arial" w:cs="Arial" w:eastAsia="Arial" w:hAnsi="Arial"/>
          <w:sz w:val="16"/>
          <w:szCs w:val="16"/>
          <w:color w:val="auto"/>
        </w:rPr>
        <w:t>If and to the extent that the Recovering Finance Party is not able to rely on its rights under paragraph (a) above, the relevant Obligor shall be liable to the Recovering Finance Party for a debt equal to the Sharing Payment which is immediately due and payable.</w:t>
      </w:r>
    </w:p>
    <w:p>
      <w:pPr>
        <w:spacing w:after="0" w:line="56"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22" w:name="page723"/>
    <w:bookmarkEnd w:id="722"/>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30.4</w:t>
      </w:r>
      <w:r>
        <w:rPr>
          <w:sz w:val="20"/>
          <w:szCs w:val="20"/>
          <w:color w:val="auto"/>
        </w:rPr>
        <w:tab/>
      </w:r>
      <w:r>
        <w:rPr>
          <w:rFonts w:ascii="Arial" w:cs="Arial" w:eastAsia="Arial" w:hAnsi="Arial"/>
          <w:sz w:val="16"/>
          <w:szCs w:val="16"/>
          <w:b w:val="1"/>
          <w:bCs w:val="1"/>
          <w:color w:val="auto"/>
        </w:rPr>
        <w:t>Reversal of redistribution</w:t>
      </w:r>
    </w:p>
    <w:p>
      <w:pPr>
        <w:spacing w:after="0" w:line="121" w:lineRule="exact"/>
        <w:rPr>
          <w:sz w:val="20"/>
          <w:szCs w:val="20"/>
          <w:color w:val="auto"/>
        </w:rPr>
      </w:pPr>
    </w:p>
    <w:p>
      <w:pPr>
        <w:ind w:left="760" w:right="100"/>
        <w:spacing w:after="0" w:line="277"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76" w:lineRule="exact"/>
        <w:rPr>
          <w:sz w:val="20"/>
          <w:szCs w:val="20"/>
          <w:color w:val="auto"/>
        </w:rPr>
      </w:pPr>
    </w:p>
    <w:p>
      <w:pPr>
        <w:ind w:left="1300" w:right="160" w:hanging="535"/>
        <w:spacing w:after="0" w:line="301" w:lineRule="auto"/>
        <w:tabs>
          <w:tab w:leader="none" w:pos="1300" w:val="left"/>
        </w:tabs>
        <w:numPr>
          <w:ilvl w:val="0"/>
          <w:numId w:val="1087"/>
        </w:numPr>
        <w:rPr>
          <w:rFonts w:ascii="Arial" w:cs="Arial" w:eastAsia="Arial" w:hAnsi="Arial"/>
          <w:sz w:val="16"/>
          <w:szCs w:val="16"/>
          <w:color w:val="auto"/>
        </w:rPr>
      </w:pPr>
      <w:r>
        <w:rPr>
          <w:rFonts w:ascii="Arial" w:cs="Arial" w:eastAsia="Arial" w:hAnsi="Arial"/>
          <w:sz w:val="16"/>
          <w:szCs w:val="16"/>
          <w:color w:val="auto"/>
        </w:rPr>
        <w:t>each Finance Party which has received a share of the relevant Sharing Payment pursuant to Clause 30.2 (</w:t>
      </w:r>
      <w:r>
        <w:rPr>
          <w:rFonts w:ascii="Arial" w:cs="Arial" w:eastAsia="Arial" w:hAnsi="Arial"/>
          <w:sz w:val="16"/>
          <w:szCs w:val="16"/>
          <w:i w:val="1"/>
          <w:iCs w:val="1"/>
          <w:color w:val="auto"/>
        </w:rPr>
        <w:t>Redistribution of payments</w:t>
      </w:r>
      <w:r>
        <w:rPr>
          <w:rFonts w:ascii="Arial" w:cs="Arial" w:eastAsia="Arial" w:hAnsi="Arial"/>
          <w:sz w:val="16"/>
          <w:szCs w:val="16"/>
          <w:color w:val="auto"/>
        </w:rPr>
        <w:t>) shall, upon request of the Agent, pay to the Agent for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and</w:t>
      </w:r>
    </w:p>
    <w:p>
      <w:pPr>
        <w:spacing w:after="0" w:line="62" w:lineRule="exact"/>
        <w:rPr>
          <w:rFonts w:ascii="Arial" w:cs="Arial" w:eastAsia="Arial" w:hAnsi="Arial"/>
          <w:sz w:val="16"/>
          <w:szCs w:val="16"/>
          <w:color w:val="auto"/>
        </w:rPr>
      </w:pPr>
    </w:p>
    <w:p>
      <w:pPr>
        <w:ind w:left="1300" w:right="60" w:hanging="535"/>
        <w:spacing w:after="0" w:line="277" w:lineRule="auto"/>
        <w:tabs>
          <w:tab w:leader="none" w:pos="1300" w:val="left"/>
        </w:tabs>
        <w:numPr>
          <w:ilvl w:val="0"/>
          <w:numId w:val="1087"/>
        </w:numPr>
        <w:rPr>
          <w:rFonts w:ascii="Arial" w:cs="Arial" w:eastAsia="Arial" w:hAnsi="Arial"/>
          <w:sz w:val="18"/>
          <w:szCs w:val="18"/>
          <w:color w:val="auto"/>
        </w:rPr>
      </w:pPr>
      <w:r>
        <w:rPr>
          <w:rFonts w:ascii="Arial" w:cs="Arial" w:eastAsia="Arial" w:hAnsi="Arial"/>
          <w:sz w:val="18"/>
          <w:szCs w:val="18"/>
          <w:color w:val="auto"/>
        </w:rPr>
        <w:t>that Recovering Finance Party’s rights of subrogation in respect of any reimbursement shall be cancelled and the relevant Obligor will be liable to the reimbursing Finance Party for the amount so reimbursed.</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300" w:right="200" w:hanging="535"/>
        <w:spacing w:after="0" w:line="277" w:lineRule="auto"/>
        <w:tabs>
          <w:tab w:leader="none" w:pos="1300" w:val="left"/>
        </w:tabs>
        <w:numPr>
          <w:ilvl w:val="0"/>
          <w:numId w:val="1088"/>
        </w:numPr>
        <w:rPr>
          <w:rFonts w:ascii="Arial" w:cs="Arial" w:eastAsia="Arial" w:hAnsi="Arial"/>
          <w:sz w:val="18"/>
          <w:szCs w:val="18"/>
          <w:color w:val="auto"/>
        </w:rPr>
      </w:pPr>
      <w:r>
        <w:rPr>
          <w:rFonts w:ascii="Arial" w:cs="Arial" w:eastAsia="Arial" w:hAnsi="Arial"/>
          <w:sz w:val="18"/>
          <w:szCs w:val="18"/>
          <w:color w:val="auto"/>
        </w:rPr>
        <w:t>This Clause 30 shall not apply to the extent that the Recovering Finance Party would not, after making any payment pursuant to this Clause, have a valid and enforceable claim against the relevant Obligor.</w:t>
      </w:r>
    </w:p>
    <w:p>
      <w:pPr>
        <w:spacing w:after="0" w:line="75" w:lineRule="exact"/>
        <w:rPr>
          <w:rFonts w:ascii="Arial" w:cs="Arial" w:eastAsia="Arial" w:hAnsi="Arial"/>
          <w:sz w:val="18"/>
          <w:szCs w:val="18"/>
          <w:color w:val="auto"/>
        </w:rPr>
      </w:pPr>
    </w:p>
    <w:p>
      <w:pPr>
        <w:ind w:left="1300" w:right="80" w:hanging="535"/>
        <w:spacing w:after="0" w:line="277" w:lineRule="auto"/>
        <w:tabs>
          <w:tab w:leader="none" w:pos="1300" w:val="left"/>
        </w:tabs>
        <w:numPr>
          <w:ilvl w:val="0"/>
          <w:numId w:val="1088"/>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1088"/>
        </w:numPr>
        <w:rPr>
          <w:rFonts w:ascii="Arial" w:cs="Arial" w:eastAsia="Arial" w:hAnsi="Arial"/>
          <w:sz w:val="18"/>
          <w:szCs w:val="18"/>
          <w:color w:val="auto"/>
        </w:rPr>
      </w:pPr>
      <w:r>
        <w:rPr>
          <w:rFonts w:ascii="Arial" w:cs="Arial" w:eastAsia="Arial" w:hAnsi="Arial"/>
          <w:sz w:val="18"/>
          <w:szCs w:val="18"/>
          <w:color w:val="auto"/>
        </w:rPr>
        <w:t>it notified the other Finance Party of the legal or arbitration proceedings; and</w:t>
      </w:r>
    </w:p>
    <w:p>
      <w:pPr>
        <w:spacing w:after="0" w:line="130" w:lineRule="exact"/>
        <w:rPr>
          <w:rFonts w:ascii="Arial" w:cs="Arial" w:eastAsia="Arial" w:hAnsi="Arial"/>
          <w:sz w:val="18"/>
          <w:szCs w:val="18"/>
          <w:color w:val="auto"/>
        </w:rPr>
      </w:pPr>
    </w:p>
    <w:p>
      <w:pPr>
        <w:ind w:left="1960" w:right="60" w:hanging="655"/>
        <w:spacing w:after="0" w:line="308" w:lineRule="auto"/>
        <w:tabs>
          <w:tab w:leader="none" w:pos="1960" w:val="left"/>
        </w:tabs>
        <w:numPr>
          <w:ilvl w:val="1"/>
          <w:numId w:val="1088"/>
        </w:numPr>
        <w:rPr>
          <w:rFonts w:ascii="Arial" w:cs="Arial" w:eastAsia="Arial" w:hAnsi="Arial"/>
          <w:sz w:val="17"/>
          <w:szCs w:val="17"/>
          <w:color w:val="auto"/>
        </w:rPr>
      </w:pPr>
      <w:r>
        <w:rPr>
          <w:rFonts w:ascii="Arial" w:cs="Arial" w:eastAsia="Arial" w:hAnsi="Arial"/>
          <w:sz w:val="17"/>
          <w:szCs w:val="17"/>
          <w:color w:val="auto"/>
        </w:rPr>
        <w:t>the other Finance Party had an opportunity to participate in those legal or arbitration proceedings but did not do so as soon as reasonably practicable having received notice and did not take separate legal or arbitration proceedings.</w:t>
      </w:r>
    </w:p>
    <w:p>
      <w:pPr>
        <w:spacing w:after="0" w:line="79"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23" w:name="page724"/>
    <w:bookmarkEnd w:id="7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ADMINISTRATION</w:t>
      </w:r>
    </w:p>
    <w:p>
      <w:pPr>
        <w:spacing w:after="0" w:line="234" w:lineRule="exact"/>
        <w:rPr>
          <w:sz w:val="20"/>
          <w:szCs w:val="20"/>
          <w:color w:val="auto"/>
        </w:rPr>
      </w:pPr>
    </w:p>
    <w:p>
      <w:pPr>
        <w:ind w:left="764" w:hanging="764"/>
        <w:spacing w:after="0"/>
        <w:tabs>
          <w:tab w:leader="none" w:pos="764" w:val="left"/>
        </w:tabs>
        <w:numPr>
          <w:ilvl w:val="0"/>
          <w:numId w:val="1089"/>
        </w:numPr>
        <w:rPr>
          <w:rFonts w:ascii="Arial" w:cs="Arial" w:eastAsia="Arial" w:hAnsi="Arial"/>
          <w:sz w:val="18"/>
          <w:szCs w:val="18"/>
          <w:b w:val="1"/>
          <w:bCs w:val="1"/>
          <w:color w:val="auto"/>
        </w:rPr>
      </w:pPr>
      <w:r>
        <w:rPr>
          <w:rFonts w:ascii="Arial" w:cs="Arial" w:eastAsia="Arial" w:hAnsi="Arial"/>
          <w:sz w:val="18"/>
          <w:szCs w:val="18"/>
          <w:b w:val="1"/>
          <w:bCs w:val="1"/>
          <w:color w:val="auto"/>
        </w:rPr>
        <w:t>Payment mechanics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31.1</w:t>
      </w:r>
      <w:r>
        <w:rPr>
          <w:rFonts w:ascii="Arial" w:cs="Arial" w:eastAsia="Arial" w:hAnsi="Arial"/>
          <w:sz w:val="16"/>
          <w:szCs w:val="16"/>
          <w:b w:val="1"/>
          <w:bCs w:val="1"/>
          <w:color w:val="auto"/>
        </w:rPr>
        <w:t>Payments to the Agent</w:t>
      </w:r>
    </w:p>
    <w:p>
      <w:pPr>
        <w:spacing w:after="0" w:line="134" w:lineRule="exact"/>
        <w:rPr>
          <w:rFonts w:ascii="Arial" w:cs="Arial" w:eastAsia="Arial" w:hAnsi="Arial"/>
          <w:sz w:val="18"/>
          <w:szCs w:val="18"/>
          <w:b w:val="1"/>
          <w:bCs w:val="1"/>
          <w:color w:val="auto"/>
        </w:rPr>
      </w:pPr>
    </w:p>
    <w:p>
      <w:pPr>
        <w:ind w:left="1304" w:right="120" w:hanging="535"/>
        <w:spacing w:after="0" w:line="259" w:lineRule="auto"/>
        <w:tabs>
          <w:tab w:leader="none" w:pos="1304" w:val="left"/>
        </w:tabs>
        <w:numPr>
          <w:ilvl w:val="1"/>
          <w:numId w:val="1089"/>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or such other date at the time and in such funds specified by the Agent as being customary at the time for settlement of transactions in the relevant currency in the place of payment.</w:t>
      </w:r>
    </w:p>
    <w:p>
      <w:pPr>
        <w:spacing w:after="0" w:line="92" w:lineRule="exact"/>
        <w:rPr>
          <w:rFonts w:ascii="Arial" w:cs="Arial" w:eastAsia="Arial" w:hAnsi="Arial"/>
          <w:sz w:val="18"/>
          <w:szCs w:val="18"/>
          <w:color w:val="auto"/>
        </w:rPr>
      </w:pPr>
    </w:p>
    <w:p>
      <w:pPr>
        <w:ind w:left="1304" w:right="40" w:hanging="535"/>
        <w:spacing w:after="0" w:line="286" w:lineRule="auto"/>
        <w:tabs>
          <w:tab w:leader="none" w:pos="1304" w:val="left"/>
        </w:tabs>
        <w:numPr>
          <w:ilvl w:val="1"/>
          <w:numId w:val="1089"/>
        </w:numPr>
        <w:rPr>
          <w:rFonts w:ascii="Arial" w:cs="Arial" w:eastAsia="Arial" w:hAnsi="Arial"/>
          <w:sz w:val="17"/>
          <w:szCs w:val="17"/>
          <w:color w:val="auto"/>
        </w:rPr>
      </w:pPr>
      <w:r>
        <w:rPr>
          <w:rFonts w:ascii="Arial" w:cs="Arial" w:eastAsia="Arial" w:hAnsi="Arial"/>
          <w:sz w:val="17"/>
          <w:szCs w:val="17"/>
          <w:color w:val="auto"/>
        </w:rPr>
        <w:t>In the case of payments to be made in Patacas, Hong Kong dollars or US dollars, payment shall be made to such account in the Macau SAR (or, if specified by way of written notice to the Parent and the Lenders by any successor to the Agent on or about the time of its becoming Agent, such other location as it shall select (acting reasonably)) with such bank as the Agent specifies.</w:t>
      </w:r>
    </w:p>
    <w:p>
      <w:pPr>
        <w:spacing w:after="0" w:line="70" w:lineRule="exact"/>
        <w:rPr>
          <w:rFonts w:ascii="Arial" w:cs="Arial" w:eastAsia="Arial" w:hAnsi="Arial"/>
          <w:sz w:val="17"/>
          <w:szCs w:val="17"/>
          <w:color w:val="auto"/>
        </w:rPr>
      </w:pPr>
    </w:p>
    <w:p>
      <w:pPr>
        <w:ind w:left="1304" w:right="200" w:hanging="535"/>
        <w:spacing w:after="0" w:line="259" w:lineRule="auto"/>
        <w:tabs>
          <w:tab w:leader="none" w:pos="1304" w:val="left"/>
        </w:tabs>
        <w:numPr>
          <w:ilvl w:val="1"/>
          <w:numId w:val="1089"/>
        </w:numPr>
        <w:rPr>
          <w:rFonts w:ascii="Arial" w:cs="Arial" w:eastAsia="Arial" w:hAnsi="Arial"/>
          <w:sz w:val="18"/>
          <w:szCs w:val="18"/>
          <w:color w:val="auto"/>
        </w:rPr>
      </w:pPr>
      <w:r>
        <w:rPr>
          <w:rFonts w:ascii="Arial" w:cs="Arial" w:eastAsia="Arial" w:hAnsi="Arial"/>
          <w:sz w:val="18"/>
          <w:szCs w:val="18"/>
          <w:color w:val="auto"/>
        </w:rPr>
        <w:t>In the case of payments to be made in any other currency, payment shall be made to such account in the principal financial centre of the country of that currency (or, if specified by way of written notice to the Parent and the Lenders by any successor to the Agent on or about the time of its becoming Agent, such other location as it shall select (acting reasonably)) with such bank as the Agent specifies.</w:t>
      </w:r>
    </w:p>
    <w:p>
      <w:pPr>
        <w:spacing w:after="0" w:line="3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Distributions by the Agent</w:t>
      </w:r>
    </w:p>
    <w:p>
      <w:pPr>
        <w:spacing w:after="0" w:line="135" w:lineRule="exact"/>
        <w:rPr>
          <w:sz w:val="20"/>
          <w:szCs w:val="20"/>
          <w:color w:val="auto"/>
        </w:rPr>
      </w:pPr>
    </w:p>
    <w:p>
      <w:pPr>
        <w:ind w:left="1304" w:right="80" w:hanging="535"/>
        <w:spacing w:after="0" w:line="275" w:lineRule="auto"/>
        <w:tabs>
          <w:tab w:leader="none" w:pos="1304" w:val="left"/>
        </w:tabs>
        <w:numPr>
          <w:ilvl w:val="0"/>
          <w:numId w:val="1090"/>
        </w:numPr>
        <w:rPr>
          <w:rFonts w:ascii="Arial" w:cs="Arial" w:eastAsia="Arial" w:hAnsi="Arial"/>
          <w:sz w:val="17"/>
          <w:szCs w:val="17"/>
          <w:color w:val="auto"/>
        </w:rPr>
      </w:pPr>
      <w:r>
        <w:rPr>
          <w:rFonts w:ascii="Arial" w:cs="Arial" w:eastAsia="Arial" w:hAnsi="Arial"/>
          <w:sz w:val="17"/>
          <w:szCs w:val="17"/>
          <w:color w:val="auto"/>
        </w:rPr>
        <w:t>Each payment received by the Agent under the Finance Documents for another Party shall, subject to Clause 31.3 (</w:t>
      </w:r>
      <w:r>
        <w:rPr>
          <w:rFonts w:ascii="Arial" w:cs="Arial" w:eastAsia="Arial" w:hAnsi="Arial"/>
          <w:sz w:val="17"/>
          <w:szCs w:val="17"/>
          <w:i w:val="1"/>
          <w:iCs w:val="1"/>
          <w:color w:val="auto"/>
        </w:rPr>
        <w:t>Distributions to an</w:t>
      </w:r>
      <w:r>
        <w:rPr>
          <w:rFonts w:ascii="Arial" w:cs="Arial" w:eastAsia="Arial" w:hAnsi="Arial"/>
          <w:sz w:val="17"/>
          <w:szCs w:val="17"/>
          <w:color w:val="auto"/>
        </w:rPr>
        <w:t xml:space="preserve"> </w:t>
      </w:r>
      <w:r>
        <w:rPr>
          <w:rFonts w:ascii="Arial" w:cs="Arial" w:eastAsia="Arial" w:hAnsi="Arial"/>
          <w:sz w:val="17"/>
          <w:szCs w:val="17"/>
          <w:i w:val="1"/>
          <w:iCs w:val="1"/>
          <w:color w:val="auto"/>
        </w:rPr>
        <w:t>Obligor</w:t>
      </w:r>
      <w:r>
        <w:rPr>
          <w:rFonts w:ascii="Arial" w:cs="Arial" w:eastAsia="Arial" w:hAnsi="Arial"/>
          <w:sz w:val="17"/>
          <w:szCs w:val="17"/>
          <w:color w:val="auto"/>
        </w:rPr>
        <w:t>) and Clause 31.4 (</w:t>
      </w:r>
      <w:r>
        <w:rPr>
          <w:rFonts w:ascii="Arial" w:cs="Arial" w:eastAsia="Arial" w:hAnsi="Arial"/>
          <w:sz w:val="17"/>
          <w:szCs w:val="17"/>
          <w:i w:val="1"/>
          <w:iCs w:val="1"/>
          <w:color w:val="auto"/>
        </w:rPr>
        <w:t>Clawback</w:t>
      </w:r>
      <w:r>
        <w:rPr>
          <w:rFonts w:ascii="Arial" w:cs="Arial" w:eastAsia="Arial" w:hAnsi="Arial"/>
          <w:sz w:val="17"/>
          <w:szCs w:val="17"/>
          <w:color w:val="auto"/>
        </w:rPr>
        <w:t>) be made available by the Agent as soon as practicable after receipt to the Party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payment in accordance with this Agreement (in the case of a Lender, for the account of its Facility Office), to such account as that Party may notify to the Agent by not less than five (5) Business Days’ notice with a bank specified by that Party in the principal financial centre of the country of that currency (which, in the case of Hong Kong dollars is Hong Kong).</w:t>
      </w:r>
    </w:p>
    <w:p>
      <w:pPr>
        <w:spacing w:after="0" w:line="81" w:lineRule="exact"/>
        <w:rPr>
          <w:rFonts w:ascii="Arial" w:cs="Arial" w:eastAsia="Arial" w:hAnsi="Arial"/>
          <w:sz w:val="17"/>
          <w:szCs w:val="17"/>
          <w:color w:val="auto"/>
        </w:rPr>
      </w:pPr>
    </w:p>
    <w:p>
      <w:pPr>
        <w:ind w:left="1304" w:right="140" w:hanging="535"/>
        <w:spacing w:after="0" w:line="259" w:lineRule="auto"/>
        <w:tabs>
          <w:tab w:leader="none" w:pos="1304" w:val="left"/>
        </w:tabs>
        <w:numPr>
          <w:ilvl w:val="0"/>
          <w:numId w:val="1090"/>
        </w:numPr>
        <w:rPr>
          <w:rFonts w:ascii="Arial" w:cs="Arial" w:eastAsia="Arial" w:hAnsi="Arial"/>
          <w:sz w:val="18"/>
          <w:szCs w:val="18"/>
          <w:color w:val="auto"/>
        </w:rPr>
      </w:pPr>
      <w:r>
        <w:rPr>
          <w:rFonts w:ascii="Arial" w:cs="Arial" w:eastAsia="Arial" w:hAnsi="Arial"/>
          <w:sz w:val="18"/>
          <w:szCs w:val="18"/>
          <w:color w:val="auto"/>
        </w:rPr>
        <w:t xml:space="preserve">The Agent shall distribute payments received by it in relation to all or any part of a Loan to the Lender indicated in the records of the Agent as being so entitled on that date,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Agent is authorised to distribute payments to be made on the date on which any transfer becomes effective pursuant to Clause 25 (</w:t>
      </w:r>
      <w:r>
        <w:rPr>
          <w:rFonts w:ascii="Arial" w:cs="Arial" w:eastAsia="Arial" w:hAnsi="Arial"/>
          <w:sz w:val="18"/>
          <w:szCs w:val="18"/>
          <w:i w:val="1"/>
          <w:iCs w:val="1"/>
          <w:color w:val="auto"/>
        </w:rPr>
        <w:t>Changes to the Lenders</w:t>
      </w:r>
      <w:r>
        <w:rPr>
          <w:rFonts w:ascii="Arial" w:cs="Arial" w:eastAsia="Arial" w:hAnsi="Arial"/>
          <w:sz w:val="18"/>
          <w:szCs w:val="18"/>
          <w:color w:val="auto"/>
        </w:rPr>
        <w:t>) to the Lender so entitled immediately before such transfer took place regardless of the period to which such sums relate.</w:t>
      </w:r>
    </w:p>
    <w:p>
      <w:pPr>
        <w:spacing w:after="0" w:line="3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Distributions to an Obligor</w:t>
      </w:r>
    </w:p>
    <w:p>
      <w:pPr>
        <w:spacing w:after="0" w:line="121" w:lineRule="exact"/>
        <w:rPr>
          <w:sz w:val="20"/>
          <w:szCs w:val="20"/>
          <w:color w:val="auto"/>
        </w:rPr>
      </w:pPr>
    </w:p>
    <w:p>
      <w:pPr>
        <w:jc w:val="both"/>
        <w:ind w:left="764" w:right="40"/>
        <w:spacing w:after="0" w:line="263" w:lineRule="auto"/>
        <w:rPr>
          <w:sz w:val="20"/>
          <w:szCs w:val="20"/>
          <w:color w:val="auto"/>
        </w:rPr>
      </w:pPr>
      <w:r>
        <w:rPr>
          <w:rFonts w:ascii="Arial" w:cs="Arial" w:eastAsia="Arial" w:hAnsi="Arial"/>
          <w:sz w:val="18"/>
          <w:szCs w:val="18"/>
          <w:color w:val="auto"/>
        </w:rPr>
        <w:t>The Agent may (with the consent of the Obligor or in accordance with Clause 32 (</w:t>
      </w:r>
      <w:r>
        <w:rPr>
          <w:rFonts w:ascii="Arial" w:cs="Arial" w:eastAsia="Arial" w:hAnsi="Arial"/>
          <w:sz w:val="18"/>
          <w:szCs w:val="18"/>
          <w:i w:val="1"/>
          <w:iCs w:val="1"/>
          <w:color w:val="auto"/>
        </w:rPr>
        <w:t>Set 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Clawback</w:t>
      </w:r>
    </w:p>
    <w:p>
      <w:pPr>
        <w:spacing w:after="0" w:line="135" w:lineRule="exact"/>
        <w:rPr>
          <w:sz w:val="20"/>
          <w:szCs w:val="20"/>
          <w:color w:val="auto"/>
        </w:rPr>
      </w:pPr>
    </w:p>
    <w:p>
      <w:pPr>
        <w:jc w:val="both"/>
        <w:ind w:left="1304" w:right="260" w:hanging="535"/>
        <w:spacing w:after="0" w:line="263" w:lineRule="auto"/>
        <w:tabs>
          <w:tab w:leader="none" w:pos="1304" w:val="left"/>
        </w:tabs>
        <w:numPr>
          <w:ilvl w:val="0"/>
          <w:numId w:val="1091"/>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16"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24" w:name="page725"/>
    <w:bookmarkEnd w:id="724"/>
    <w:p>
      <w:pPr>
        <w:ind w:left="1300" w:right="100" w:hanging="535"/>
        <w:spacing w:after="0" w:line="259" w:lineRule="auto"/>
        <w:tabs>
          <w:tab w:leader="none" w:pos="1300" w:val="left"/>
        </w:tabs>
        <w:numPr>
          <w:ilvl w:val="0"/>
          <w:numId w:val="10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92" w:lineRule="exact"/>
        <w:rPr>
          <w:rFonts w:ascii="Arial" w:cs="Arial" w:eastAsia="Arial" w:hAnsi="Arial"/>
          <w:sz w:val="18"/>
          <w:szCs w:val="18"/>
          <w:color w:val="auto"/>
        </w:rPr>
      </w:pPr>
    </w:p>
    <w:p>
      <w:pPr>
        <w:ind w:left="1300" w:right="200" w:hanging="535"/>
        <w:spacing w:after="0" w:line="263" w:lineRule="auto"/>
        <w:tabs>
          <w:tab w:leader="none" w:pos="1300" w:val="left"/>
        </w:tabs>
        <w:numPr>
          <w:ilvl w:val="0"/>
          <w:numId w:val="1092"/>
        </w:numPr>
        <w:rPr>
          <w:rFonts w:ascii="Arial" w:cs="Arial" w:eastAsia="Arial" w:hAnsi="Arial"/>
          <w:sz w:val="18"/>
          <w:szCs w:val="18"/>
          <w:color w:val="auto"/>
        </w:rPr>
      </w:pPr>
      <w:r>
        <w:rPr>
          <w:rFonts w:ascii="Arial" w:cs="Arial" w:eastAsia="Arial" w:hAnsi="Arial"/>
          <w:sz w:val="18"/>
          <w:szCs w:val="18"/>
          <w:color w:val="auto"/>
        </w:rPr>
        <w:t>If the Agent has notified the Lenders that it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89" w:lineRule="exact"/>
        <w:rPr>
          <w:rFonts w:ascii="Arial" w:cs="Arial" w:eastAsia="Arial" w:hAnsi="Arial"/>
          <w:sz w:val="18"/>
          <w:szCs w:val="18"/>
          <w:color w:val="auto"/>
        </w:rPr>
      </w:pPr>
    </w:p>
    <w:p>
      <w:pPr>
        <w:ind w:left="1960" w:hanging="655"/>
        <w:spacing w:after="0"/>
        <w:tabs>
          <w:tab w:leader="none" w:pos="1960" w:val="left"/>
        </w:tabs>
        <w:numPr>
          <w:ilvl w:val="1"/>
          <w:numId w:val="1092"/>
        </w:numPr>
        <w:rPr>
          <w:rFonts w:ascii="Arial" w:cs="Arial" w:eastAsia="Arial" w:hAnsi="Arial"/>
          <w:sz w:val="17"/>
          <w:szCs w:val="17"/>
          <w:color w:val="auto"/>
        </w:rPr>
      </w:pPr>
      <w:r>
        <w:rPr>
          <w:rFonts w:ascii="Arial" w:cs="Arial" w:eastAsia="Arial" w:hAnsi="Arial"/>
          <w:sz w:val="17"/>
          <w:szCs w:val="17"/>
          <w:color w:val="auto"/>
        </w:rPr>
        <w:t>the Agent shall notify the Borrower of that Lender’s identity and the Borrower shall on demand refund it to the Agent; and</w:t>
      </w:r>
    </w:p>
    <w:p>
      <w:pPr>
        <w:spacing w:after="0" w:line="142" w:lineRule="exact"/>
        <w:rPr>
          <w:rFonts w:ascii="Arial" w:cs="Arial" w:eastAsia="Arial" w:hAnsi="Arial"/>
          <w:sz w:val="17"/>
          <w:szCs w:val="17"/>
          <w:color w:val="auto"/>
        </w:rPr>
      </w:pPr>
    </w:p>
    <w:p>
      <w:pPr>
        <w:ind w:left="1960" w:right="60" w:hanging="655"/>
        <w:spacing w:after="0" w:line="257" w:lineRule="auto"/>
        <w:tabs>
          <w:tab w:leader="none" w:pos="1960" w:val="left"/>
        </w:tabs>
        <w:numPr>
          <w:ilvl w:val="1"/>
          <w:numId w:val="1092"/>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in circumstances where the Borrower had requested that the Agent make available amounts for the account of the Borrower before receiving funds from the Lenders only, the Borrower, shall on demand pay to the Agent the amount (as certified by the Agent) which will indemnify the Agent against any funding cost incurred by it as a result of paying out that sum before receiving those funds from that Lender.</w:t>
      </w:r>
    </w:p>
    <w:p>
      <w:pPr>
        <w:spacing w:after="0" w:line="3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b w:val="1"/>
          <w:bCs w:val="1"/>
          <w:color w:val="auto"/>
        </w:rPr>
        <w:t>Impaired Agent</w:t>
      </w:r>
    </w:p>
    <w:p>
      <w:pPr>
        <w:spacing w:after="0" w:line="135" w:lineRule="exact"/>
        <w:rPr>
          <w:sz w:val="20"/>
          <w:szCs w:val="20"/>
          <w:color w:val="auto"/>
        </w:rPr>
      </w:pPr>
    </w:p>
    <w:p>
      <w:pPr>
        <w:ind w:left="1300" w:right="60" w:hanging="535"/>
        <w:spacing w:after="0" w:line="277" w:lineRule="auto"/>
        <w:tabs>
          <w:tab w:leader="none" w:pos="1300" w:val="left"/>
        </w:tabs>
        <w:numPr>
          <w:ilvl w:val="0"/>
          <w:numId w:val="1093"/>
        </w:numPr>
        <w:rPr>
          <w:rFonts w:ascii="Arial" w:cs="Arial" w:eastAsia="Arial" w:hAnsi="Arial"/>
          <w:sz w:val="18"/>
          <w:szCs w:val="18"/>
          <w:color w:val="auto"/>
        </w:rPr>
      </w:pPr>
      <w:r>
        <w:rPr>
          <w:rFonts w:ascii="Arial" w:cs="Arial" w:eastAsia="Arial" w:hAnsi="Arial"/>
          <w:sz w:val="18"/>
          <w:szCs w:val="18"/>
          <w:color w:val="auto"/>
        </w:rPr>
        <w:t>If, at any time, the Agent becomes an Impaired Agent, an Obligor or a Lender which is required to make a payment under the Finance Documents to the Agent in accordance with Clause 31.1 (</w:t>
      </w:r>
      <w:r>
        <w:rPr>
          <w:rFonts w:ascii="Arial" w:cs="Arial" w:eastAsia="Arial" w:hAnsi="Arial"/>
          <w:sz w:val="18"/>
          <w:szCs w:val="18"/>
          <w:i w:val="1"/>
          <w:iCs w:val="1"/>
          <w:color w:val="auto"/>
        </w:rPr>
        <w:t>Payments to the Agent</w:t>
      </w:r>
      <w:r>
        <w:rPr>
          <w:rFonts w:ascii="Arial" w:cs="Arial" w:eastAsia="Arial" w:hAnsi="Arial"/>
          <w:sz w:val="18"/>
          <w:szCs w:val="18"/>
          <w:color w:val="auto"/>
        </w:rPr>
        <w:t>) may instead either:</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1093"/>
        </w:numPr>
        <w:rPr>
          <w:rFonts w:ascii="Arial" w:cs="Arial" w:eastAsia="Arial" w:hAnsi="Arial"/>
          <w:sz w:val="18"/>
          <w:szCs w:val="18"/>
          <w:color w:val="auto"/>
        </w:rPr>
      </w:pPr>
      <w:r>
        <w:rPr>
          <w:rFonts w:ascii="Arial" w:cs="Arial" w:eastAsia="Arial" w:hAnsi="Arial"/>
          <w:sz w:val="18"/>
          <w:szCs w:val="18"/>
          <w:color w:val="auto"/>
        </w:rPr>
        <w:t>pay that amount direct to the required recipient(s); or</w:t>
      </w:r>
    </w:p>
    <w:p>
      <w:pPr>
        <w:spacing w:after="0" w:line="130" w:lineRule="exact"/>
        <w:rPr>
          <w:rFonts w:ascii="Arial" w:cs="Arial" w:eastAsia="Arial" w:hAnsi="Arial"/>
          <w:sz w:val="18"/>
          <w:szCs w:val="18"/>
          <w:color w:val="auto"/>
        </w:rPr>
      </w:pPr>
    </w:p>
    <w:p>
      <w:pPr>
        <w:ind w:left="1960" w:right="80" w:hanging="655"/>
        <w:spacing w:after="0" w:line="273" w:lineRule="auto"/>
        <w:tabs>
          <w:tab w:leader="none" w:pos="1960" w:val="left"/>
        </w:tabs>
        <w:numPr>
          <w:ilvl w:val="1"/>
          <w:numId w:val="1093"/>
        </w:numPr>
        <w:rPr>
          <w:rFonts w:ascii="Arial" w:cs="Arial" w:eastAsia="Arial" w:hAnsi="Arial"/>
          <w:sz w:val="17"/>
          <w:szCs w:val="17"/>
          <w:color w:val="auto"/>
        </w:rPr>
      </w:pPr>
      <w:r>
        <w:rPr>
          <w:rFonts w:ascii="Arial" w:cs="Arial" w:eastAsia="Arial" w:hAnsi="Arial"/>
          <w:sz w:val="17"/>
          <w:szCs w:val="17"/>
          <w:color w:val="auto"/>
        </w:rPr>
        <w:t>if, in its absolute discretion, it considers that it is not reasonably practicable to pay that amount direct to the required recipient(s), pay that amount or the relevant part of that amount to an interest-bearing account held with an Acceptable Bank within the meaning of paragraph (a) of the definition of “Acceptable Bank” and in relation to which no Insolvency Event has occurred and is continuing, in the name of the Obligor or the Lender making the payment (the “</w:t>
      </w:r>
      <w:r>
        <w:rPr>
          <w:rFonts w:ascii="Arial" w:cs="Arial" w:eastAsia="Arial" w:hAnsi="Arial"/>
          <w:sz w:val="17"/>
          <w:szCs w:val="17"/>
          <w:b w:val="1"/>
          <w:bCs w:val="1"/>
          <w:color w:val="auto"/>
        </w:rPr>
        <w:t>Paying Party</w:t>
      </w:r>
      <w:r>
        <w:rPr>
          <w:rFonts w:ascii="Arial" w:cs="Arial" w:eastAsia="Arial" w:hAnsi="Arial"/>
          <w:sz w:val="17"/>
          <w:szCs w:val="17"/>
          <w:color w:val="auto"/>
        </w:rPr>
        <w:t>”) and designated as a trust account for the benefit of the Party or Parties beneficially entitled to that payment under the Finance Documents (the “</w:t>
      </w:r>
      <w:r>
        <w:rPr>
          <w:rFonts w:ascii="Arial" w:cs="Arial" w:eastAsia="Arial" w:hAnsi="Arial"/>
          <w:sz w:val="17"/>
          <w:szCs w:val="17"/>
          <w:b w:val="1"/>
          <w:bCs w:val="1"/>
          <w:color w:val="auto"/>
        </w:rPr>
        <w:t>Recipient Party</w:t>
      </w:r>
      <w:r>
        <w:rPr>
          <w:rFonts w:ascii="Arial" w:cs="Arial" w:eastAsia="Arial" w:hAnsi="Arial"/>
          <w:sz w:val="17"/>
          <w:szCs w:val="17"/>
          <w:color w:val="auto"/>
        </w:rPr>
        <w:t>” or “</w:t>
      </w:r>
      <w:r>
        <w:rPr>
          <w:rFonts w:ascii="Arial" w:cs="Arial" w:eastAsia="Arial" w:hAnsi="Arial"/>
          <w:sz w:val="17"/>
          <w:szCs w:val="17"/>
          <w:b w:val="1"/>
          <w:bCs w:val="1"/>
          <w:color w:val="auto"/>
        </w:rPr>
        <w:t>Recipient Parties</w:t>
      </w:r>
      <w:r>
        <w:rPr>
          <w:rFonts w:ascii="Arial" w:cs="Arial" w:eastAsia="Arial" w:hAnsi="Arial"/>
          <w:sz w:val="17"/>
          <w:szCs w:val="17"/>
          <w:color w:val="auto"/>
        </w:rPr>
        <w:t>”).</w:t>
      </w:r>
    </w:p>
    <w:p>
      <w:pPr>
        <w:spacing w:after="0" w:line="7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 each case such payments must be made on the due date for payment under the Finance Documents.</w:t>
      </w:r>
    </w:p>
    <w:p>
      <w:pPr>
        <w:spacing w:after="0" w:line="131" w:lineRule="exact"/>
        <w:rPr>
          <w:sz w:val="20"/>
          <w:szCs w:val="20"/>
          <w:color w:val="auto"/>
        </w:rPr>
      </w:pPr>
    </w:p>
    <w:p>
      <w:pPr>
        <w:ind w:left="1300" w:right="40" w:hanging="535"/>
        <w:spacing w:after="0" w:line="277" w:lineRule="auto"/>
        <w:tabs>
          <w:tab w:leader="none" w:pos="1300" w:val="left"/>
        </w:tabs>
        <w:numPr>
          <w:ilvl w:val="0"/>
          <w:numId w:val="1094"/>
        </w:numPr>
        <w:rPr>
          <w:rFonts w:ascii="Arial" w:cs="Arial" w:eastAsia="Arial" w:hAnsi="Arial"/>
          <w:sz w:val="18"/>
          <w:szCs w:val="18"/>
          <w:color w:val="auto"/>
        </w:rPr>
      </w:pPr>
      <w:r>
        <w:rPr>
          <w:rFonts w:ascii="Arial" w:cs="Arial" w:eastAsia="Arial" w:hAnsi="Arial"/>
          <w:sz w:val="18"/>
          <w:szCs w:val="18"/>
          <w:color w:val="auto"/>
        </w:rPr>
        <w:t xml:space="preserve">All interest accrued on the amount standing to the credit of the trust account shall be for the benefit of the Recipient Party or Recipient Parties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their respective entitlements.</w:t>
      </w:r>
    </w:p>
    <w:p>
      <w:pPr>
        <w:spacing w:after="0" w:line="75" w:lineRule="exact"/>
        <w:rPr>
          <w:rFonts w:ascii="Arial" w:cs="Arial" w:eastAsia="Arial" w:hAnsi="Arial"/>
          <w:sz w:val="18"/>
          <w:szCs w:val="18"/>
          <w:color w:val="auto"/>
        </w:rPr>
      </w:pPr>
    </w:p>
    <w:p>
      <w:pPr>
        <w:ind w:left="1300" w:right="160" w:hanging="535"/>
        <w:spacing w:after="0" w:line="342" w:lineRule="auto"/>
        <w:tabs>
          <w:tab w:leader="none" w:pos="1300" w:val="left"/>
        </w:tabs>
        <w:numPr>
          <w:ilvl w:val="0"/>
          <w:numId w:val="1094"/>
        </w:numPr>
        <w:rPr>
          <w:rFonts w:ascii="Arial" w:cs="Arial" w:eastAsia="Arial" w:hAnsi="Arial"/>
          <w:sz w:val="16"/>
          <w:szCs w:val="16"/>
          <w:color w:val="auto"/>
        </w:rPr>
      </w:pPr>
      <w:r>
        <w:rPr>
          <w:rFonts w:ascii="Arial" w:cs="Arial" w:eastAsia="Arial" w:hAnsi="Arial"/>
          <w:sz w:val="16"/>
          <w:szCs w:val="16"/>
          <w:color w:val="auto"/>
        </w:rPr>
        <w:t>A Party which has made a payment in accordance with this Clause 31.5 shall be discharged of the relevant payment obligation under the Finance Documents and shall not take any credit risk with respect to the amounts standing to the credit of the trust account.</w:t>
      </w:r>
    </w:p>
    <w:p>
      <w:pPr>
        <w:spacing w:after="0" w:line="29" w:lineRule="exact"/>
        <w:rPr>
          <w:rFonts w:ascii="Arial" w:cs="Arial" w:eastAsia="Arial" w:hAnsi="Arial"/>
          <w:sz w:val="16"/>
          <w:szCs w:val="16"/>
          <w:color w:val="auto"/>
        </w:rPr>
      </w:pPr>
    </w:p>
    <w:p>
      <w:pPr>
        <w:ind w:left="1300" w:right="80" w:hanging="535"/>
        <w:spacing w:after="0" w:line="301" w:lineRule="auto"/>
        <w:tabs>
          <w:tab w:leader="none" w:pos="1300" w:val="left"/>
        </w:tabs>
        <w:numPr>
          <w:ilvl w:val="0"/>
          <w:numId w:val="1094"/>
        </w:numPr>
        <w:rPr>
          <w:rFonts w:ascii="Arial" w:cs="Arial" w:eastAsia="Arial" w:hAnsi="Arial"/>
          <w:sz w:val="16"/>
          <w:szCs w:val="16"/>
          <w:color w:val="auto"/>
        </w:rPr>
      </w:pPr>
      <w:r>
        <w:rPr>
          <w:rFonts w:ascii="Arial" w:cs="Arial" w:eastAsia="Arial" w:hAnsi="Arial"/>
          <w:sz w:val="16"/>
          <w:szCs w:val="16"/>
          <w:color w:val="auto"/>
        </w:rPr>
        <w:t>Promptly upon the appointment of a successor Agent in accordance with Clause 28.12 (</w:t>
      </w:r>
      <w:r>
        <w:rPr>
          <w:rFonts w:ascii="Arial" w:cs="Arial" w:eastAsia="Arial" w:hAnsi="Arial"/>
          <w:sz w:val="16"/>
          <w:szCs w:val="16"/>
          <w:i w:val="1"/>
          <w:iCs w:val="1"/>
          <w:color w:val="auto"/>
        </w:rPr>
        <w:t>Replacement of the Agent</w:t>
      </w:r>
      <w:r>
        <w:rPr>
          <w:rFonts w:ascii="Arial" w:cs="Arial" w:eastAsia="Arial" w:hAnsi="Arial"/>
          <w:sz w:val="16"/>
          <w:szCs w:val="16"/>
          <w:color w:val="auto"/>
        </w:rPr>
        <w:t>),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Recipient Party or Recipient Parties in accordance with Clause 31.2 (</w:t>
      </w:r>
      <w:r>
        <w:rPr>
          <w:rFonts w:ascii="Arial" w:cs="Arial" w:eastAsia="Arial" w:hAnsi="Arial"/>
          <w:sz w:val="16"/>
          <w:szCs w:val="16"/>
          <w:i w:val="1"/>
          <w:iCs w:val="1"/>
          <w:color w:val="auto"/>
        </w:rPr>
        <w:t>Distributions by the Agent</w:t>
      </w:r>
      <w:r>
        <w:rPr>
          <w:rFonts w:ascii="Arial" w:cs="Arial" w:eastAsia="Arial" w:hAnsi="Arial"/>
          <w:sz w:val="16"/>
          <w:szCs w:val="16"/>
          <w:color w:val="auto"/>
        </w:rPr>
        <w:t>).</w:t>
      </w:r>
    </w:p>
    <w:p>
      <w:pPr>
        <w:spacing w:after="0" w:line="90"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25" w:name="page726"/>
    <w:bookmarkEnd w:id="725"/>
    <w:p>
      <w:pPr>
        <w:ind w:left="1300" w:hanging="535"/>
        <w:spacing w:after="0"/>
        <w:tabs>
          <w:tab w:leader="none" w:pos="1300" w:val="left"/>
        </w:tabs>
        <w:numPr>
          <w:ilvl w:val="0"/>
          <w:numId w:val="10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Paying Party shall, promptly upon request by a Recipient Party and to the extent that:</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95"/>
        </w:numPr>
        <w:rPr>
          <w:rFonts w:ascii="Arial" w:cs="Arial" w:eastAsia="Arial" w:hAnsi="Arial"/>
          <w:sz w:val="18"/>
          <w:szCs w:val="18"/>
          <w:color w:val="auto"/>
        </w:rPr>
      </w:pPr>
      <w:r>
        <w:rPr>
          <w:rFonts w:ascii="Arial" w:cs="Arial" w:eastAsia="Arial" w:hAnsi="Arial"/>
          <w:sz w:val="18"/>
          <w:szCs w:val="18"/>
          <w:color w:val="auto"/>
        </w:rPr>
        <w:t>that it has not given an instruction pursuant to paragraph (d) above; and</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95"/>
        </w:numPr>
        <w:rPr>
          <w:rFonts w:ascii="Arial" w:cs="Arial" w:eastAsia="Arial" w:hAnsi="Arial"/>
          <w:sz w:val="18"/>
          <w:szCs w:val="18"/>
          <w:color w:val="auto"/>
        </w:rPr>
      </w:pPr>
      <w:r>
        <w:rPr>
          <w:rFonts w:ascii="Arial" w:cs="Arial" w:eastAsia="Arial" w:hAnsi="Arial"/>
          <w:sz w:val="18"/>
          <w:szCs w:val="18"/>
          <w:color w:val="auto"/>
        </w:rPr>
        <w:t>that it has been provided with the necessary information by that Recipient Party,</w:t>
      </w:r>
    </w:p>
    <w:p>
      <w:pPr>
        <w:spacing w:after="0" w:line="117" w:lineRule="exact"/>
        <w:rPr>
          <w:sz w:val="20"/>
          <w:szCs w:val="20"/>
          <w:color w:val="auto"/>
        </w:rPr>
      </w:pPr>
    </w:p>
    <w:p>
      <w:pPr>
        <w:ind w:left="1320" w:right="540"/>
        <w:spacing w:after="0" w:line="277" w:lineRule="auto"/>
        <w:rPr>
          <w:sz w:val="20"/>
          <w:szCs w:val="20"/>
          <w:color w:val="auto"/>
        </w:rPr>
      </w:pPr>
      <w:r>
        <w:rPr>
          <w:rFonts w:ascii="Arial" w:cs="Arial" w:eastAsia="Arial" w:hAnsi="Arial"/>
          <w:sz w:val="18"/>
          <w:szCs w:val="18"/>
          <w:color w:val="auto"/>
        </w:rPr>
        <w:t>give all requisite instructions to the bank with whom the trust account is held to transfer the relevant amount (together with any accrued interest) to that Recipient Party.</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Partial payments</w:t>
      </w:r>
    </w:p>
    <w:p>
      <w:pPr>
        <w:spacing w:after="0" w:line="135" w:lineRule="exact"/>
        <w:rPr>
          <w:sz w:val="20"/>
          <w:szCs w:val="20"/>
          <w:color w:val="auto"/>
        </w:rPr>
      </w:pPr>
    </w:p>
    <w:p>
      <w:pPr>
        <w:ind w:left="1300" w:right="300" w:hanging="535"/>
        <w:spacing w:after="0" w:line="286" w:lineRule="auto"/>
        <w:tabs>
          <w:tab w:leader="none" w:pos="1300" w:val="left"/>
        </w:tabs>
        <w:numPr>
          <w:ilvl w:val="0"/>
          <w:numId w:val="1096"/>
        </w:numPr>
        <w:rPr>
          <w:rFonts w:ascii="Arial" w:cs="Arial" w:eastAsia="Arial" w:hAnsi="Arial"/>
          <w:sz w:val="17"/>
          <w:szCs w:val="17"/>
          <w:color w:val="auto"/>
        </w:rPr>
      </w:pPr>
      <w:r>
        <w:rPr>
          <w:rFonts w:ascii="Arial" w:cs="Arial" w:eastAsia="Arial" w:hAnsi="Arial"/>
          <w:sz w:val="17"/>
          <w:szCs w:val="17"/>
          <w:color w:val="auto"/>
        </w:rPr>
        <w:t>If the Agent receives a payment for application against amounts due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70" w:lineRule="exact"/>
        <w:rPr>
          <w:rFonts w:ascii="Arial" w:cs="Arial" w:eastAsia="Arial" w:hAnsi="Arial"/>
          <w:sz w:val="17"/>
          <w:szCs w:val="17"/>
          <w:color w:val="auto"/>
        </w:rPr>
      </w:pPr>
    </w:p>
    <w:p>
      <w:pPr>
        <w:ind w:left="1960" w:right="80" w:hanging="655"/>
        <w:spacing w:after="0" w:line="259" w:lineRule="auto"/>
        <w:tabs>
          <w:tab w:leader="none" w:pos="1960" w:val="left"/>
        </w:tabs>
        <w:numPr>
          <w:ilvl w:val="1"/>
          <w:numId w:val="1096"/>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following the delivery of an Enforcement Notice, in payment of all costs and expenses incurred by or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the Common Security Agent, the POA Agent or the Intercreditor Agent in connection with such enforcement or recovery and which have been certified, in writing, as having been incurred by the Agent, the Common Security Agent, the POA Agent or the Intercreditor Agent;</w:t>
      </w:r>
    </w:p>
    <w:p>
      <w:pPr>
        <w:spacing w:after="0" w:line="92" w:lineRule="exact"/>
        <w:rPr>
          <w:rFonts w:ascii="Arial" w:cs="Arial" w:eastAsia="Arial" w:hAnsi="Arial"/>
          <w:sz w:val="18"/>
          <w:szCs w:val="18"/>
          <w:color w:val="auto"/>
        </w:rPr>
      </w:pPr>
    </w:p>
    <w:p>
      <w:pPr>
        <w:ind w:left="1960" w:right="140" w:hanging="655"/>
        <w:spacing w:after="0" w:line="277" w:lineRule="auto"/>
        <w:tabs>
          <w:tab w:leader="none" w:pos="1960" w:val="left"/>
        </w:tabs>
        <w:numPr>
          <w:ilvl w:val="1"/>
          <w:numId w:val="1096"/>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in or towards payment</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 any unpaid fees, costs and expenses of the Agent, the Common Security Agent,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POA Agent and the Intercreditor Agent under those Finance Documents;</w:t>
      </w:r>
    </w:p>
    <w:p>
      <w:pPr>
        <w:spacing w:after="0" w:line="75" w:lineRule="exact"/>
        <w:rPr>
          <w:rFonts w:ascii="Arial" w:cs="Arial" w:eastAsia="Arial" w:hAnsi="Arial"/>
          <w:sz w:val="18"/>
          <w:szCs w:val="18"/>
          <w:color w:val="auto"/>
        </w:rPr>
      </w:pPr>
    </w:p>
    <w:p>
      <w:pPr>
        <w:ind w:left="1960" w:right="140" w:hanging="655"/>
        <w:spacing w:after="0" w:line="277" w:lineRule="auto"/>
        <w:tabs>
          <w:tab w:leader="none" w:pos="1960" w:val="left"/>
        </w:tabs>
        <w:numPr>
          <w:ilvl w:val="1"/>
          <w:numId w:val="1096"/>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 all amounts paid by any Secured Party under Clause 28.10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but which have not been reimbursed by the Borrower;</w:t>
      </w:r>
    </w:p>
    <w:p>
      <w:pPr>
        <w:spacing w:after="0" w:line="75" w:lineRule="exact"/>
        <w:rPr>
          <w:rFonts w:ascii="Arial" w:cs="Arial" w:eastAsia="Arial" w:hAnsi="Arial"/>
          <w:sz w:val="18"/>
          <w:szCs w:val="18"/>
          <w:color w:val="auto"/>
        </w:rPr>
      </w:pPr>
    </w:p>
    <w:p>
      <w:pPr>
        <w:ind w:left="1960" w:right="440" w:hanging="655"/>
        <w:spacing w:after="0" w:line="277" w:lineRule="auto"/>
        <w:tabs>
          <w:tab w:leader="none" w:pos="1960" w:val="left"/>
        </w:tabs>
        <w:numPr>
          <w:ilvl w:val="1"/>
          <w:numId w:val="1096"/>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or towards payment</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 all accrued interest, costs, fees and expenses due and payable to the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Finance Documents;</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1096"/>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or towards payment</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30" w:lineRule="exact"/>
        <w:rPr>
          <w:rFonts w:ascii="Arial" w:cs="Arial" w:eastAsia="Arial" w:hAnsi="Arial"/>
          <w:sz w:val="18"/>
          <w:szCs w:val="18"/>
          <w:color w:val="auto"/>
        </w:rPr>
      </w:pPr>
    </w:p>
    <w:p>
      <w:pPr>
        <w:ind w:left="2500" w:right="60" w:hanging="533"/>
        <w:spacing w:after="0" w:line="277" w:lineRule="auto"/>
        <w:tabs>
          <w:tab w:leader="none" w:pos="2500" w:val="left"/>
        </w:tabs>
        <w:numPr>
          <w:ilvl w:val="2"/>
          <w:numId w:val="1096"/>
        </w:numPr>
        <w:rPr>
          <w:rFonts w:ascii="Arial" w:cs="Arial" w:eastAsia="Arial" w:hAnsi="Arial"/>
          <w:sz w:val="18"/>
          <w:szCs w:val="18"/>
          <w:color w:val="auto"/>
        </w:rPr>
      </w:pPr>
      <w:r>
        <w:rPr>
          <w:rFonts w:ascii="Arial" w:cs="Arial" w:eastAsia="Arial" w:hAnsi="Arial"/>
          <w:sz w:val="18"/>
          <w:szCs w:val="18"/>
          <w:color w:val="auto"/>
        </w:rPr>
        <w:t>subject to clause 3.2 (</w:t>
      </w:r>
      <w:r>
        <w:rPr>
          <w:rFonts w:ascii="Arial" w:cs="Arial" w:eastAsia="Arial" w:hAnsi="Arial"/>
          <w:sz w:val="18"/>
          <w:szCs w:val="18"/>
          <w:i w:val="1"/>
          <w:iCs w:val="1"/>
          <w:color w:val="auto"/>
        </w:rPr>
        <w:t>Rolled Loan – restrictions</w:t>
      </w:r>
      <w:r>
        <w:rPr>
          <w:rFonts w:ascii="Arial" w:cs="Arial" w:eastAsia="Arial" w:hAnsi="Arial"/>
          <w:sz w:val="18"/>
          <w:szCs w:val="18"/>
          <w:color w:val="auto"/>
        </w:rPr>
        <w:t>) of the Intercreditor Agreement, any principal due and payable under the Term Loan Facility to the extent due and payable to the Lenders; and</w:t>
      </w:r>
    </w:p>
    <w:p>
      <w:pPr>
        <w:spacing w:after="0" w:line="75" w:lineRule="exact"/>
        <w:rPr>
          <w:rFonts w:ascii="Arial" w:cs="Arial" w:eastAsia="Arial" w:hAnsi="Arial"/>
          <w:sz w:val="18"/>
          <w:szCs w:val="18"/>
          <w:color w:val="auto"/>
        </w:rPr>
      </w:pPr>
    </w:p>
    <w:p>
      <w:pPr>
        <w:ind w:left="2500" w:hanging="533"/>
        <w:spacing w:after="0"/>
        <w:tabs>
          <w:tab w:leader="none" w:pos="2500" w:val="left"/>
        </w:tabs>
        <w:numPr>
          <w:ilvl w:val="2"/>
          <w:numId w:val="1096"/>
        </w:numPr>
        <w:rPr>
          <w:rFonts w:ascii="Arial" w:cs="Arial" w:eastAsia="Arial" w:hAnsi="Arial"/>
          <w:sz w:val="18"/>
          <w:szCs w:val="18"/>
          <w:color w:val="auto"/>
        </w:rPr>
      </w:pPr>
      <w:r>
        <w:rPr>
          <w:rFonts w:ascii="Arial" w:cs="Arial" w:eastAsia="Arial" w:hAnsi="Arial"/>
          <w:sz w:val="18"/>
          <w:szCs w:val="18"/>
          <w:color w:val="auto"/>
        </w:rPr>
        <w:t>any principal due but unpaid under the Revolving Facility; and</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096"/>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or towards payment</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 any other sum due but unpaid under the Finance Documents.</w:t>
      </w:r>
    </w:p>
    <w:p>
      <w:pPr>
        <w:spacing w:after="0" w:line="130" w:lineRule="exact"/>
        <w:rPr>
          <w:rFonts w:ascii="Arial" w:cs="Arial" w:eastAsia="Arial" w:hAnsi="Arial"/>
          <w:sz w:val="18"/>
          <w:szCs w:val="18"/>
          <w:color w:val="auto"/>
        </w:rPr>
      </w:pPr>
    </w:p>
    <w:p>
      <w:pPr>
        <w:ind w:left="1300" w:right="200" w:hanging="535"/>
        <w:spacing w:after="0" w:line="277" w:lineRule="auto"/>
        <w:tabs>
          <w:tab w:leader="none" w:pos="1300" w:val="left"/>
        </w:tabs>
        <w:numPr>
          <w:ilvl w:val="0"/>
          <w:numId w:val="1096"/>
        </w:numPr>
        <w:rPr>
          <w:rFonts w:ascii="Arial" w:cs="Arial" w:eastAsia="Arial" w:hAnsi="Arial"/>
          <w:sz w:val="18"/>
          <w:szCs w:val="18"/>
          <w:color w:val="auto"/>
        </w:rPr>
      </w:pPr>
      <w:r>
        <w:rPr>
          <w:rFonts w:ascii="Arial" w:cs="Arial" w:eastAsia="Arial" w:hAnsi="Arial"/>
          <w:sz w:val="18"/>
          <w:szCs w:val="18"/>
          <w:color w:val="auto"/>
        </w:rPr>
        <w:t>Subject to clause 3.2 (</w:t>
      </w:r>
      <w:r>
        <w:rPr>
          <w:rFonts w:ascii="Arial" w:cs="Arial" w:eastAsia="Arial" w:hAnsi="Arial"/>
          <w:sz w:val="18"/>
          <w:szCs w:val="18"/>
          <w:i w:val="1"/>
          <w:iCs w:val="1"/>
          <w:color w:val="auto"/>
        </w:rPr>
        <w:t>Rolled Loan – restrictions</w:t>
      </w:r>
      <w:r>
        <w:rPr>
          <w:rFonts w:ascii="Arial" w:cs="Arial" w:eastAsia="Arial" w:hAnsi="Arial"/>
          <w:sz w:val="18"/>
          <w:szCs w:val="18"/>
          <w:color w:val="auto"/>
        </w:rPr>
        <w:t>) of the Intercreditor Agreement, the Agent shall, if so directed by the Lenders, vary the order set out in paragraphs (a)(iii) to (vi) above.</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1096"/>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an Obligor.</w:t>
      </w:r>
    </w:p>
    <w:p>
      <w:pPr>
        <w:spacing w:after="0" w:line="158" w:lineRule="exact"/>
        <w:rPr>
          <w:sz w:val="20"/>
          <w:szCs w:val="20"/>
          <w:color w:val="auto"/>
        </w:rPr>
      </w:pPr>
    </w:p>
    <w:p>
      <w:pPr>
        <w:jc w:val="both"/>
        <w:ind w:left="5440"/>
        <w:spacing w:after="0"/>
        <w:tabs>
          <w:tab w:leader="none" w:pos="88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26" w:name="page727"/>
    <w:bookmarkEnd w:id="726"/>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31.7</w:t>
      </w:r>
      <w:r>
        <w:rPr>
          <w:sz w:val="20"/>
          <w:szCs w:val="20"/>
          <w:color w:val="auto"/>
        </w:rPr>
        <w:tab/>
      </w:r>
      <w:r>
        <w:rPr>
          <w:rFonts w:ascii="Arial" w:cs="Arial" w:eastAsia="Arial" w:hAnsi="Arial"/>
          <w:sz w:val="16"/>
          <w:szCs w:val="16"/>
          <w:b w:val="1"/>
          <w:bCs w:val="1"/>
          <w:color w:val="auto"/>
        </w:rPr>
        <w:t>No set off by Obligors</w:t>
      </w:r>
    </w:p>
    <w:p>
      <w:pPr>
        <w:spacing w:after="0" w:line="121" w:lineRule="exact"/>
        <w:rPr>
          <w:sz w:val="20"/>
          <w:szCs w:val="20"/>
          <w:color w:val="auto"/>
        </w:rPr>
      </w:pPr>
    </w:p>
    <w:p>
      <w:pPr>
        <w:ind w:left="760" w:right="400"/>
        <w:spacing w:after="0" w:line="277"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 off or counterclaim.</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5"/>
          <w:szCs w:val="15"/>
          <w:b w:val="1"/>
          <w:bCs w:val="1"/>
          <w:color w:val="auto"/>
        </w:rPr>
        <w:t>Business Days</w:t>
      </w:r>
    </w:p>
    <w:p>
      <w:pPr>
        <w:spacing w:after="0" w:line="135" w:lineRule="exact"/>
        <w:rPr>
          <w:sz w:val="20"/>
          <w:szCs w:val="20"/>
          <w:color w:val="auto"/>
        </w:rPr>
      </w:pPr>
    </w:p>
    <w:p>
      <w:pPr>
        <w:ind w:left="1300" w:right="620" w:hanging="535"/>
        <w:spacing w:after="0" w:line="277" w:lineRule="auto"/>
        <w:tabs>
          <w:tab w:leader="none" w:pos="1300" w:val="left"/>
        </w:tabs>
        <w:numPr>
          <w:ilvl w:val="0"/>
          <w:numId w:val="1097"/>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75" w:lineRule="exact"/>
        <w:rPr>
          <w:rFonts w:ascii="Arial" w:cs="Arial" w:eastAsia="Arial" w:hAnsi="Arial"/>
          <w:sz w:val="18"/>
          <w:szCs w:val="18"/>
          <w:color w:val="auto"/>
        </w:rPr>
      </w:pPr>
    </w:p>
    <w:p>
      <w:pPr>
        <w:ind w:left="1300" w:right="380" w:hanging="535"/>
        <w:spacing w:after="0" w:line="277" w:lineRule="auto"/>
        <w:tabs>
          <w:tab w:leader="none" w:pos="1300" w:val="left"/>
        </w:tabs>
        <w:numPr>
          <w:ilvl w:val="0"/>
          <w:numId w:val="1097"/>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31.9</w:t>
      </w:r>
      <w:r>
        <w:rPr>
          <w:sz w:val="20"/>
          <w:szCs w:val="20"/>
          <w:color w:val="auto"/>
        </w:rPr>
        <w:tab/>
      </w:r>
      <w:r>
        <w:rPr>
          <w:rFonts w:ascii="Arial" w:cs="Arial" w:eastAsia="Arial" w:hAnsi="Arial"/>
          <w:sz w:val="16"/>
          <w:szCs w:val="16"/>
          <w:b w:val="1"/>
          <w:bCs w:val="1"/>
          <w:color w:val="auto"/>
        </w:rPr>
        <w:t>Currency of account</w:t>
      </w:r>
    </w:p>
    <w:p>
      <w:pPr>
        <w:spacing w:after="0" w:line="135" w:lineRule="exact"/>
        <w:rPr>
          <w:sz w:val="20"/>
          <w:szCs w:val="20"/>
          <w:color w:val="auto"/>
        </w:rPr>
      </w:pPr>
    </w:p>
    <w:p>
      <w:pPr>
        <w:ind w:left="1300" w:right="60" w:hanging="535"/>
        <w:spacing w:after="0" w:line="277" w:lineRule="auto"/>
        <w:tabs>
          <w:tab w:leader="none" w:pos="1300" w:val="left"/>
        </w:tabs>
        <w:numPr>
          <w:ilvl w:val="0"/>
          <w:numId w:val="1098"/>
        </w:numPr>
        <w:rPr>
          <w:rFonts w:ascii="Arial" w:cs="Arial" w:eastAsia="Arial" w:hAnsi="Arial"/>
          <w:sz w:val="18"/>
          <w:szCs w:val="18"/>
          <w:color w:val="auto"/>
        </w:rPr>
      </w:pPr>
      <w:r>
        <w:rPr>
          <w:rFonts w:ascii="Arial" w:cs="Arial" w:eastAsia="Arial" w:hAnsi="Arial"/>
          <w:sz w:val="18"/>
          <w:szCs w:val="18"/>
          <w:color w:val="auto"/>
        </w:rPr>
        <w:t>Subject to paragraphs (b) to (e) below, HK dollars is the currency of account and payment for any sum due from an Obligor under any Finance Document.</w:t>
      </w:r>
    </w:p>
    <w:p>
      <w:pPr>
        <w:spacing w:after="0" w:line="75" w:lineRule="exact"/>
        <w:rPr>
          <w:rFonts w:ascii="Arial" w:cs="Arial" w:eastAsia="Arial" w:hAnsi="Arial"/>
          <w:sz w:val="18"/>
          <w:szCs w:val="18"/>
          <w:color w:val="auto"/>
        </w:rPr>
      </w:pPr>
    </w:p>
    <w:p>
      <w:pPr>
        <w:ind w:left="1300" w:right="460" w:hanging="535"/>
        <w:spacing w:after="0" w:line="277" w:lineRule="auto"/>
        <w:tabs>
          <w:tab w:leader="none" w:pos="1300" w:val="left"/>
        </w:tabs>
        <w:numPr>
          <w:ilvl w:val="0"/>
          <w:numId w:val="1098"/>
        </w:numPr>
        <w:rPr>
          <w:rFonts w:ascii="Arial" w:cs="Arial" w:eastAsia="Arial" w:hAnsi="Arial"/>
          <w:sz w:val="18"/>
          <w:szCs w:val="18"/>
          <w:color w:val="auto"/>
        </w:rPr>
      </w:pPr>
      <w:r>
        <w:rPr>
          <w:rFonts w:ascii="Arial" w:cs="Arial" w:eastAsia="Arial" w:hAnsi="Arial"/>
          <w:sz w:val="18"/>
          <w:szCs w:val="18"/>
          <w:color w:val="auto"/>
        </w:rPr>
        <w:t>A repayment of a Utilisation or Unpaid Sum or a part of a Utilisation or Unpaid Sum shall be made in the currency in which that Utilisation or Unpaid Sum is denominated on its due date.</w:t>
      </w:r>
    </w:p>
    <w:p>
      <w:pPr>
        <w:spacing w:after="0" w:line="75" w:lineRule="exact"/>
        <w:rPr>
          <w:rFonts w:ascii="Arial" w:cs="Arial" w:eastAsia="Arial" w:hAnsi="Arial"/>
          <w:sz w:val="18"/>
          <w:szCs w:val="18"/>
          <w:color w:val="auto"/>
        </w:rPr>
      </w:pPr>
    </w:p>
    <w:p>
      <w:pPr>
        <w:ind w:left="1300" w:right="160" w:hanging="535"/>
        <w:spacing w:after="0" w:line="277" w:lineRule="auto"/>
        <w:tabs>
          <w:tab w:leader="none" w:pos="1300" w:val="left"/>
        </w:tabs>
        <w:numPr>
          <w:ilvl w:val="0"/>
          <w:numId w:val="1098"/>
        </w:numPr>
        <w:rPr>
          <w:rFonts w:ascii="Arial" w:cs="Arial" w:eastAsia="Arial" w:hAnsi="Arial"/>
          <w:sz w:val="18"/>
          <w:szCs w:val="18"/>
          <w:color w:val="auto"/>
        </w:rPr>
      </w:pPr>
      <w:r>
        <w:rPr>
          <w:rFonts w:ascii="Arial" w:cs="Arial" w:eastAsia="Arial" w:hAnsi="Arial"/>
          <w:sz w:val="18"/>
          <w:szCs w:val="18"/>
          <w:color w:val="auto"/>
        </w:rPr>
        <w:t>Each payment of interest shall be made in the currency in which the sum in respect of which the interest is payable was denominated when that interest accrued.</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1098"/>
        </w:numPr>
        <w:rPr>
          <w:rFonts w:ascii="Arial" w:cs="Arial" w:eastAsia="Arial" w:hAnsi="Arial"/>
          <w:sz w:val="16"/>
          <w:szCs w:val="16"/>
          <w:color w:val="auto"/>
        </w:rPr>
      </w:pPr>
      <w:r>
        <w:rPr>
          <w:rFonts w:ascii="Arial" w:cs="Arial" w:eastAsia="Arial" w:hAnsi="Arial"/>
          <w:sz w:val="16"/>
          <w:szCs w:val="16"/>
          <w:color w:val="auto"/>
        </w:rPr>
        <w:t>Each payment in respect of costs, expenses or Taxes shall be made in the currency in which the costs, expenses or Taxes are incurred.</w:t>
      </w:r>
    </w:p>
    <w:p>
      <w:pPr>
        <w:spacing w:after="0" w:line="153" w:lineRule="exact"/>
        <w:rPr>
          <w:rFonts w:ascii="Arial" w:cs="Arial" w:eastAsia="Arial" w:hAnsi="Arial"/>
          <w:sz w:val="16"/>
          <w:szCs w:val="16"/>
          <w:color w:val="auto"/>
        </w:rPr>
      </w:pPr>
    </w:p>
    <w:p>
      <w:pPr>
        <w:ind w:left="1300" w:hanging="535"/>
        <w:spacing w:after="0"/>
        <w:tabs>
          <w:tab w:leader="none" w:pos="1300" w:val="left"/>
        </w:tabs>
        <w:numPr>
          <w:ilvl w:val="0"/>
          <w:numId w:val="1098"/>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HK dollars shall be paid in that other currency.</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31.10</w:t>
      </w:r>
      <w:r>
        <w:rPr>
          <w:sz w:val="20"/>
          <w:szCs w:val="20"/>
          <w:color w:val="auto"/>
        </w:rPr>
        <w:tab/>
      </w:r>
      <w:r>
        <w:rPr>
          <w:rFonts w:ascii="Arial" w:cs="Arial" w:eastAsia="Arial" w:hAnsi="Arial"/>
          <w:sz w:val="16"/>
          <w:szCs w:val="16"/>
          <w:b w:val="1"/>
          <w:bCs w:val="1"/>
          <w:color w:val="auto"/>
        </w:rPr>
        <w:t>Change of currency</w:t>
      </w:r>
    </w:p>
    <w:p>
      <w:pPr>
        <w:spacing w:after="0" w:line="135" w:lineRule="exact"/>
        <w:rPr>
          <w:sz w:val="20"/>
          <w:szCs w:val="20"/>
          <w:color w:val="auto"/>
        </w:rPr>
      </w:pPr>
    </w:p>
    <w:p>
      <w:pPr>
        <w:ind w:left="1300" w:right="120" w:hanging="535"/>
        <w:spacing w:after="0" w:line="277" w:lineRule="auto"/>
        <w:tabs>
          <w:tab w:leader="none" w:pos="1300" w:val="left"/>
        </w:tabs>
        <w:numPr>
          <w:ilvl w:val="0"/>
          <w:numId w:val="1099"/>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75" w:lineRule="exact"/>
        <w:rPr>
          <w:rFonts w:ascii="Arial" w:cs="Arial" w:eastAsia="Arial" w:hAnsi="Arial"/>
          <w:sz w:val="18"/>
          <w:szCs w:val="18"/>
          <w:color w:val="auto"/>
        </w:rPr>
      </w:pPr>
    </w:p>
    <w:p>
      <w:pPr>
        <w:ind w:left="1960" w:right="60" w:hanging="655"/>
        <w:spacing w:after="0" w:line="263" w:lineRule="auto"/>
        <w:tabs>
          <w:tab w:leader="none" w:pos="1960" w:val="left"/>
        </w:tabs>
        <w:numPr>
          <w:ilvl w:val="1"/>
          <w:numId w:val="1099"/>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89" w:lineRule="exact"/>
        <w:rPr>
          <w:rFonts w:ascii="Arial" w:cs="Arial" w:eastAsia="Arial" w:hAnsi="Arial"/>
          <w:sz w:val="18"/>
          <w:szCs w:val="18"/>
          <w:color w:val="auto"/>
        </w:rPr>
      </w:pPr>
    </w:p>
    <w:p>
      <w:pPr>
        <w:ind w:left="1960" w:right="380" w:hanging="655"/>
        <w:spacing w:after="0" w:line="263" w:lineRule="auto"/>
        <w:tabs>
          <w:tab w:leader="none" w:pos="1960" w:val="left"/>
        </w:tabs>
        <w:numPr>
          <w:ilvl w:val="1"/>
          <w:numId w:val="1099"/>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89" w:lineRule="exact"/>
        <w:rPr>
          <w:rFonts w:ascii="Arial" w:cs="Arial" w:eastAsia="Arial" w:hAnsi="Arial"/>
          <w:sz w:val="18"/>
          <w:szCs w:val="18"/>
          <w:color w:val="auto"/>
        </w:rPr>
      </w:pPr>
    </w:p>
    <w:p>
      <w:pPr>
        <w:ind w:left="1300" w:right="100" w:hanging="535"/>
        <w:spacing w:after="0" w:line="263" w:lineRule="auto"/>
        <w:tabs>
          <w:tab w:leader="none" w:pos="1300" w:val="left"/>
        </w:tabs>
        <w:numPr>
          <w:ilvl w:val="0"/>
          <w:numId w:val="1099"/>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Interbank Market and otherwise to reflect the change in currency.</w:t>
      </w:r>
    </w:p>
    <w:p>
      <w:pPr>
        <w:spacing w:after="0" w:line="116" w:lineRule="exact"/>
        <w:rPr>
          <w:sz w:val="20"/>
          <w:szCs w:val="20"/>
          <w:color w:val="auto"/>
        </w:rPr>
      </w:pPr>
    </w:p>
    <w:p>
      <w:pPr>
        <w:jc w:val="both"/>
        <w:ind w:left="5440"/>
        <w:spacing w:after="0"/>
        <w:tabs>
          <w:tab w:leader="none" w:pos="88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27" w:name="page728"/>
    <w:bookmarkEnd w:id="727"/>
    <w:p>
      <w:pPr>
        <w:ind w:left="4"/>
        <w:spacing w:after="0"/>
        <w:tabs>
          <w:tab w:leader="none" w:pos="7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31.11</w:t>
      </w:r>
      <w:r>
        <w:rPr>
          <w:sz w:val="20"/>
          <w:szCs w:val="20"/>
          <w:color w:val="auto"/>
        </w:rPr>
        <w:tab/>
      </w:r>
      <w:r>
        <w:rPr>
          <w:rFonts w:ascii="Arial" w:cs="Arial" w:eastAsia="Arial" w:hAnsi="Arial"/>
          <w:sz w:val="15"/>
          <w:szCs w:val="15"/>
          <w:b w:val="1"/>
          <w:bCs w:val="1"/>
          <w:color w:val="auto"/>
        </w:rPr>
        <w:t>Disruption to payment systems, etc.</w:t>
      </w:r>
    </w:p>
    <w:p>
      <w:pPr>
        <w:spacing w:after="0" w:line="121" w:lineRule="exact"/>
        <w:rPr>
          <w:sz w:val="20"/>
          <w:szCs w:val="20"/>
          <w:color w:val="auto"/>
        </w:rPr>
      </w:pPr>
    </w:p>
    <w:p>
      <w:pPr>
        <w:ind w:left="764" w:right="400"/>
        <w:spacing w:after="0" w:line="277" w:lineRule="auto"/>
        <w:rPr>
          <w:sz w:val="20"/>
          <w:szCs w:val="20"/>
          <w:color w:val="auto"/>
        </w:rPr>
      </w:pPr>
      <w:r>
        <w:rPr>
          <w:rFonts w:ascii="Arial" w:cs="Arial" w:eastAsia="Arial" w:hAnsi="Arial"/>
          <w:sz w:val="18"/>
          <w:szCs w:val="18"/>
          <w:color w:val="auto"/>
        </w:rPr>
        <w:t>If the Agent determines (in its discretion) that a Disruption Event has occurred or the Agent is notified by the Borrower that a Disruption Event has occurred:</w:t>
      </w:r>
    </w:p>
    <w:p>
      <w:pPr>
        <w:spacing w:after="0" w:line="76" w:lineRule="exact"/>
        <w:rPr>
          <w:sz w:val="20"/>
          <w:szCs w:val="20"/>
          <w:color w:val="auto"/>
        </w:rPr>
      </w:pPr>
    </w:p>
    <w:p>
      <w:pPr>
        <w:ind w:left="1304" w:right="140" w:hanging="535"/>
        <w:spacing w:after="0" w:line="342" w:lineRule="auto"/>
        <w:tabs>
          <w:tab w:leader="none" w:pos="1304" w:val="left"/>
        </w:tabs>
        <w:numPr>
          <w:ilvl w:val="1"/>
          <w:numId w:val="1100"/>
        </w:numPr>
        <w:rPr>
          <w:rFonts w:ascii="Arial" w:cs="Arial" w:eastAsia="Arial" w:hAnsi="Arial"/>
          <w:sz w:val="16"/>
          <w:szCs w:val="16"/>
          <w:color w:val="auto"/>
        </w:rPr>
      </w:pPr>
      <w:r>
        <w:rPr>
          <w:rFonts w:ascii="Arial" w:cs="Arial" w:eastAsia="Arial" w:hAnsi="Arial"/>
          <w:sz w:val="16"/>
          <w:szCs w:val="16"/>
          <w:color w:val="auto"/>
        </w:rPr>
        <w:t>the Agent may, and shall if requested to do so by the Borrower, consult with the Borrower with a view to agreeing with the Borrower such changes to the operation or administration of the Facilities as the Agent may deem necessary in the circumstances;</w:t>
      </w:r>
    </w:p>
    <w:p>
      <w:pPr>
        <w:spacing w:after="0" w:line="29" w:lineRule="exact"/>
        <w:rPr>
          <w:rFonts w:ascii="Arial" w:cs="Arial" w:eastAsia="Arial" w:hAnsi="Arial"/>
          <w:sz w:val="16"/>
          <w:szCs w:val="16"/>
          <w:color w:val="auto"/>
        </w:rPr>
      </w:pPr>
    </w:p>
    <w:p>
      <w:pPr>
        <w:ind w:left="1304" w:right="480" w:hanging="535"/>
        <w:spacing w:after="0" w:line="342" w:lineRule="auto"/>
        <w:tabs>
          <w:tab w:leader="none" w:pos="1304" w:val="left"/>
        </w:tabs>
        <w:numPr>
          <w:ilvl w:val="1"/>
          <w:numId w:val="1100"/>
        </w:numPr>
        <w:rPr>
          <w:rFonts w:ascii="Arial" w:cs="Arial" w:eastAsia="Arial" w:hAnsi="Arial"/>
          <w:sz w:val="16"/>
          <w:szCs w:val="16"/>
          <w:color w:val="auto"/>
        </w:rPr>
      </w:pPr>
      <w:r>
        <w:rPr>
          <w:rFonts w:ascii="Arial" w:cs="Arial" w:eastAsia="Arial" w:hAnsi="Arial"/>
          <w:sz w:val="16"/>
          <w:szCs w:val="16"/>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29" w:lineRule="exact"/>
        <w:rPr>
          <w:rFonts w:ascii="Arial" w:cs="Arial" w:eastAsia="Arial" w:hAnsi="Arial"/>
          <w:sz w:val="16"/>
          <w:szCs w:val="16"/>
          <w:color w:val="auto"/>
        </w:rPr>
      </w:pPr>
    </w:p>
    <w:p>
      <w:pPr>
        <w:ind w:left="1304" w:right="20" w:hanging="535"/>
        <w:spacing w:after="0" w:line="277" w:lineRule="auto"/>
        <w:tabs>
          <w:tab w:leader="none" w:pos="1304" w:val="left"/>
        </w:tabs>
        <w:numPr>
          <w:ilvl w:val="1"/>
          <w:numId w:val="1100"/>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75" w:lineRule="exact"/>
        <w:rPr>
          <w:rFonts w:ascii="Arial" w:cs="Arial" w:eastAsia="Arial" w:hAnsi="Arial"/>
          <w:sz w:val="18"/>
          <w:szCs w:val="18"/>
          <w:color w:val="auto"/>
        </w:rPr>
      </w:pPr>
    </w:p>
    <w:p>
      <w:pPr>
        <w:ind w:left="1304" w:right="20" w:hanging="535"/>
        <w:spacing w:after="0" w:line="263" w:lineRule="auto"/>
        <w:tabs>
          <w:tab w:leader="none" w:pos="1304" w:val="left"/>
        </w:tabs>
        <w:numPr>
          <w:ilvl w:val="1"/>
          <w:numId w:val="1100"/>
        </w:numPr>
        <w:rPr>
          <w:rFonts w:ascii="Arial" w:cs="Arial" w:eastAsia="Arial" w:hAnsi="Arial"/>
          <w:sz w:val="18"/>
          <w:szCs w:val="18"/>
          <w:color w:val="auto"/>
        </w:rPr>
      </w:pPr>
      <w:r>
        <w:rPr>
          <w:rFonts w:ascii="Arial" w:cs="Arial" w:eastAsia="Arial" w:hAnsi="Arial"/>
          <w:sz w:val="18"/>
          <w:szCs w:val="18"/>
          <w:color w:val="auto"/>
        </w:rPr>
        <w:t xml:space="preserve">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37 (Amendments </w:t>
      </w:r>
      <w:r>
        <w:rPr>
          <w:rFonts w:ascii="Arial" w:cs="Arial" w:eastAsia="Arial" w:hAnsi="Arial"/>
          <w:sz w:val="18"/>
          <w:szCs w:val="18"/>
          <w:i w:val="1"/>
          <w:iCs w:val="1"/>
          <w:color w:val="auto"/>
        </w:rPr>
        <w:t>and waivers);</w:t>
      </w:r>
    </w:p>
    <w:p>
      <w:pPr>
        <w:spacing w:after="0" w:line="89" w:lineRule="exact"/>
        <w:rPr>
          <w:rFonts w:ascii="Arial" w:cs="Arial" w:eastAsia="Arial" w:hAnsi="Arial"/>
          <w:sz w:val="18"/>
          <w:szCs w:val="18"/>
          <w:color w:val="auto"/>
        </w:rPr>
      </w:pPr>
    </w:p>
    <w:p>
      <w:pPr>
        <w:ind w:left="1304" w:right="120" w:hanging="535"/>
        <w:spacing w:after="0" w:line="259" w:lineRule="auto"/>
        <w:tabs>
          <w:tab w:leader="none" w:pos="1304" w:val="left"/>
        </w:tabs>
        <w:numPr>
          <w:ilvl w:val="1"/>
          <w:numId w:val="1100"/>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31.11; and</w:t>
      </w:r>
    </w:p>
    <w:p>
      <w:pPr>
        <w:spacing w:after="0" w:line="92" w:lineRule="exact"/>
        <w:rPr>
          <w:rFonts w:ascii="Arial" w:cs="Arial" w:eastAsia="Arial" w:hAnsi="Arial"/>
          <w:sz w:val="18"/>
          <w:szCs w:val="18"/>
          <w:color w:val="auto"/>
        </w:rPr>
      </w:pPr>
    </w:p>
    <w:p>
      <w:pPr>
        <w:ind w:left="1304" w:hanging="535"/>
        <w:spacing w:after="0"/>
        <w:tabs>
          <w:tab w:leader="none" w:pos="1304" w:val="left"/>
        </w:tabs>
        <w:numPr>
          <w:ilvl w:val="1"/>
          <w:numId w:val="1100"/>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369" w:lineRule="exact"/>
        <w:rPr>
          <w:rFonts w:ascii="Arial" w:cs="Arial" w:eastAsia="Arial" w:hAnsi="Arial"/>
          <w:sz w:val="18"/>
          <w:szCs w:val="18"/>
          <w:color w:val="auto"/>
        </w:rPr>
      </w:pPr>
    </w:p>
    <w:p>
      <w:pPr>
        <w:ind w:left="764" w:hanging="764"/>
        <w:spacing w:after="0"/>
        <w:tabs>
          <w:tab w:leader="none" w:pos="764" w:val="left"/>
        </w:tabs>
        <w:numPr>
          <w:ilvl w:val="0"/>
          <w:numId w:val="1101"/>
        </w:numPr>
        <w:rPr>
          <w:rFonts w:ascii="Arial" w:cs="Arial" w:eastAsia="Arial" w:hAnsi="Arial"/>
          <w:sz w:val="18"/>
          <w:szCs w:val="18"/>
          <w:b w:val="1"/>
          <w:bCs w:val="1"/>
          <w:color w:val="auto"/>
        </w:rPr>
      </w:pPr>
      <w:r>
        <w:rPr>
          <w:rFonts w:ascii="Arial" w:cs="Arial" w:eastAsia="Arial" w:hAnsi="Arial"/>
          <w:sz w:val="18"/>
          <w:szCs w:val="18"/>
          <w:b w:val="1"/>
          <w:bCs w:val="1"/>
          <w:color w:val="auto"/>
        </w:rPr>
        <w:t>Set off</w:t>
      </w:r>
    </w:p>
    <w:p>
      <w:pPr>
        <w:spacing w:after="0" w:line="121" w:lineRule="exact"/>
        <w:rPr>
          <w:rFonts w:ascii="Arial" w:cs="Arial" w:eastAsia="Arial" w:hAnsi="Arial"/>
          <w:sz w:val="18"/>
          <w:szCs w:val="18"/>
          <w:b w:val="1"/>
          <w:bCs w:val="1"/>
          <w:color w:val="auto"/>
        </w:rPr>
      </w:pPr>
    </w:p>
    <w:p>
      <w:pPr>
        <w:ind w:left="764"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Subject to the terms of Clause 30 (Sharing </w:t>
      </w:r>
      <w:r>
        <w:rPr>
          <w:rFonts w:ascii="Arial" w:cs="Arial" w:eastAsia="Arial" w:hAnsi="Arial"/>
          <w:sz w:val="18"/>
          <w:szCs w:val="18"/>
          <w:i w:val="1"/>
          <w:iCs w:val="1"/>
          <w:color w:val="auto"/>
        </w:rPr>
        <w:t>among the Finance Parties),</w:t>
      </w:r>
      <w:r>
        <w:rPr>
          <w:rFonts w:ascii="Arial" w:cs="Arial" w:eastAsia="Arial" w:hAnsi="Arial"/>
          <w:sz w:val="18"/>
          <w:szCs w:val="18"/>
          <w:color w:val="auto"/>
        </w:rPr>
        <w:t xml:space="preserve"> 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 off.</w:t>
      </w:r>
    </w:p>
    <w:p>
      <w:pPr>
        <w:spacing w:after="0" w:line="332" w:lineRule="exact"/>
        <w:rPr>
          <w:rFonts w:ascii="Arial" w:cs="Arial" w:eastAsia="Arial" w:hAnsi="Arial"/>
          <w:sz w:val="18"/>
          <w:szCs w:val="18"/>
          <w:b w:val="1"/>
          <w:bCs w:val="1"/>
          <w:color w:val="auto"/>
        </w:rPr>
      </w:pPr>
    </w:p>
    <w:p>
      <w:pPr>
        <w:ind w:left="764" w:hanging="764"/>
        <w:spacing w:after="0"/>
        <w:tabs>
          <w:tab w:leader="none" w:pos="764" w:val="left"/>
        </w:tabs>
        <w:numPr>
          <w:ilvl w:val="0"/>
          <w:numId w:val="110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b w:val="1"/>
          <w:bCs w:val="1"/>
          <w:color w:val="auto"/>
        </w:rPr>
        <w:t>Communications in writing</w:t>
      </w:r>
    </w:p>
    <w:p>
      <w:pPr>
        <w:spacing w:after="0" w:line="121" w:lineRule="exact"/>
        <w:rPr>
          <w:sz w:val="20"/>
          <w:szCs w:val="20"/>
          <w:color w:val="auto"/>
        </w:rPr>
      </w:pPr>
    </w:p>
    <w:p>
      <w:pPr>
        <w:ind w:left="764" w:right="280"/>
        <w:spacing w:after="0" w:line="277"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fax or letter.</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5"/>
          <w:szCs w:val="15"/>
          <w:b w:val="1"/>
          <w:bCs w:val="1"/>
          <w:color w:val="auto"/>
        </w:rPr>
        <w:t>Addresses</w:t>
      </w:r>
    </w:p>
    <w:p>
      <w:pPr>
        <w:spacing w:after="0" w:line="121" w:lineRule="exact"/>
        <w:rPr>
          <w:sz w:val="20"/>
          <w:szCs w:val="20"/>
          <w:color w:val="auto"/>
        </w:rPr>
      </w:pPr>
    </w:p>
    <w:p>
      <w:pPr>
        <w:ind w:left="764"/>
        <w:spacing w:after="0" w:line="277" w:lineRule="auto"/>
        <w:rPr>
          <w:sz w:val="20"/>
          <w:szCs w:val="20"/>
          <w:color w:val="auto"/>
        </w:rPr>
      </w:pPr>
      <w:r>
        <w:rPr>
          <w:rFonts w:ascii="Arial" w:cs="Arial" w:eastAsia="Arial" w:hAnsi="Arial"/>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76" w:lineRule="exact"/>
        <w:rPr>
          <w:sz w:val="20"/>
          <w:szCs w:val="20"/>
          <w:color w:val="auto"/>
        </w:rPr>
      </w:pPr>
    </w:p>
    <w:p>
      <w:pPr>
        <w:ind w:left="1304" w:right="340" w:hanging="535"/>
        <w:spacing w:after="0" w:line="277" w:lineRule="auto"/>
        <w:tabs>
          <w:tab w:leader="none" w:pos="1304" w:val="left"/>
        </w:tabs>
        <w:numPr>
          <w:ilvl w:val="0"/>
          <w:numId w:val="1102"/>
        </w:numPr>
        <w:rPr>
          <w:rFonts w:ascii="Arial" w:cs="Arial" w:eastAsia="Arial" w:hAnsi="Arial"/>
          <w:sz w:val="18"/>
          <w:szCs w:val="18"/>
          <w:color w:val="auto"/>
        </w:rPr>
      </w:pPr>
      <w:r>
        <w:rPr>
          <w:rFonts w:ascii="Arial" w:cs="Arial" w:eastAsia="Arial" w:hAnsi="Arial"/>
          <w:sz w:val="18"/>
          <w:szCs w:val="18"/>
          <w:color w:val="auto"/>
        </w:rPr>
        <w:t>in the case of the Borrower and each other Obligor that is a Party as at the 2016 Amendment and Restatement Date, that identified with its name in the signing pages to the Intercreditor Agreement;</w:t>
      </w:r>
    </w:p>
    <w:p>
      <w:pPr>
        <w:spacing w:after="0" w:line="75" w:lineRule="exact"/>
        <w:rPr>
          <w:rFonts w:ascii="Arial" w:cs="Arial" w:eastAsia="Arial" w:hAnsi="Arial"/>
          <w:sz w:val="18"/>
          <w:szCs w:val="18"/>
          <w:color w:val="auto"/>
        </w:rPr>
      </w:pPr>
    </w:p>
    <w:p>
      <w:pPr>
        <w:ind w:left="1304" w:hanging="535"/>
        <w:spacing w:after="0"/>
        <w:tabs>
          <w:tab w:leader="none" w:pos="1304" w:val="left"/>
        </w:tabs>
        <w:numPr>
          <w:ilvl w:val="0"/>
          <w:numId w:val="1102"/>
        </w:numPr>
        <w:rPr>
          <w:rFonts w:ascii="Arial" w:cs="Arial" w:eastAsia="Arial" w:hAnsi="Arial"/>
          <w:sz w:val="17"/>
          <w:szCs w:val="17"/>
          <w:color w:val="auto"/>
        </w:rPr>
      </w:pPr>
      <w:r>
        <w:rPr>
          <w:rFonts w:ascii="Arial" w:cs="Arial" w:eastAsia="Arial" w:hAnsi="Arial"/>
          <w:sz w:val="17"/>
          <w:szCs w:val="17"/>
          <w:color w:val="auto"/>
        </w:rPr>
        <w:t>in the case of the Original Lender and the Agent, that identified with its name in the signing pages to the Intercreditor Agreement;</w:t>
      </w:r>
    </w:p>
    <w:p>
      <w:pPr>
        <w:spacing w:after="0" w:line="169" w:lineRule="exact"/>
        <w:rPr>
          <w:sz w:val="20"/>
          <w:szCs w:val="20"/>
          <w:color w:val="auto"/>
        </w:rPr>
      </w:pPr>
    </w:p>
    <w:p>
      <w:pPr>
        <w:jc w:val="both"/>
        <w:ind w:left="5444"/>
        <w:spacing w:after="0"/>
        <w:tabs>
          <w:tab w:leader="none" w:pos="884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28" w:name="page729"/>
    <w:bookmarkEnd w:id="728"/>
    <w:p>
      <w:pPr>
        <w:ind w:left="1300" w:right="220" w:hanging="535"/>
        <w:spacing w:after="0" w:line="277" w:lineRule="auto"/>
        <w:tabs>
          <w:tab w:leader="none" w:pos="1300" w:val="left"/>
        </w:tabs>
        <w:numPr>
          <w:ilvl w:val="0"/>
          <w:numId w:val="1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the Common Security Agent and the POA Agent, that identified with its name in the signing pages to the Intercreditor Agreement; and</w:t>
      </w:r>
    </w:p>
    <w:p>
      <w:pPr>
        <w:spacing w:after="0" w:line="75" w:lineRule="exact"/>
        <w:rPr>
          <w:rFonts w:ascii="Arial" w:cs="Arial" w:eastAsia="Arial" w:hAnsi="Arial"/>
          <w:sz w:val="18"/>
          <w:szCs w:val="18"/>
          <w:color w:val="auto"/>
        </w:rPr>
      </w:pPr>
    </w:p>
    <w:p>
      <w:pPr>
        <w:ind w:left="1300" w:right="620" w:hanging="535"/>
        <w:spacing w:after="0" w:line="277" w:lineRule="auto"/>
        <w:tabs>
          <w:tab w:leader="none" w:pos="1300" w:val="left"/>
        </w:tabs>
        <w:numPr>
          <w:ilvl w:val="0"/>
          <w:numId w:val="1103"/>
        </w:numPr>
        <w:rPr>
          <w:rFonts w:ascii="Arial" w:cs="Arial" w:eastAsia="Arial" w:hAnsi="Arial"/>
          <w:sz w:val="18"/>
          <w:szCs w:val="18"/>
          <w:color w:val="auto"/>
        </w:rPr>
      </w:pPr>
      <w:r>
        <w:rPr>
          <w:rFonts w:ascii="Arial" w:cs="Arial" w:eastAsia="Arial" w:hAnsi="Arial"/>
          <w:sz w:val="18"/>
          <w:szCs w:val="18"/>
          <w:color w:val="auto"/>
        </w:rPr>
        <w:t>in the case of each other Lender and each other Obligor, that notified in writing to the Agent on or prior to the date on which it becomes a Party,</w:t>
      </w:r>
    </w:p>
    <w:p>
      <w:pPr>
        <w:spacing w:after="0" w:line="62" w:lineRule="exact"/>
        <w:rPr>
          <w:sz w:val="20"/>
          <w:szCs w:val="20"/>
          <w:color w:val="auto"/>
        </w:rPr>
      </w:pPr>
    </w:p>
    <w:p>
      <w:pPr>
        <w:ind w:left="760" w:right="460"/>
        <w:spacing w:after="0" w:line="277" w:lineRule="auto"/>
        <w:rPr>
          <w:sz w:val="20"/>
          <w:szCs w:val="20"/>
          <w:color w:val="auto"/>
        </w:rPr>
      </w:pPr>
      <w:r>
        <w:rPr>
          <w:rFonts w:ascii="Arial" w:cs="Arial" w:eastAsia="Arial" w:hAnsi="Arial"/>
          <w:sz w:val="18"/>
          <w:szCs w:val="18"/>
          <w:color w:val="auto"/>
        </w:rPr>
        <w:t>or any substitute address, fax number or department or officer as the Party may notify to the Agent (or the Agent may notify to the other Parties, if a change is made by the Agent) by not less than 10 Business Days’ notice.</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6"/>
          <w:szCs w:val="16"/>
          <w:b w:val="1"/>
          <w:bCs w:val="1"/>
          <w:color w:val="auto"/>
        </w:rPr>
        <w:t>Delivery</w:t>
      </w:r>
    </w:p>
    <w:p>
      <w:pPr>
        <w:spacing w:after="0" w:line="135" w:lineRule="exact"/>
        <w:rPr>
          <w:sz w:val="20"/>
          <w:szCs w:val="20"/>
          <w:color w:val="auto"/>
        </w:rPr>
      </w:pPr>
    </w:p>
    <w:p>
      <w:pPr>
        <w:ind w:left="1300" w:right="20" w:hanging="535"/>
        <w:spacing w:after="0" w:line="277" w:lineRule="auto"/>
        <w:tabs>
          <w:tab w:leader="none" w:pos="1300" w:val="left"/>
        </w:tabs>
        <w:numPr>
          <w:ilvl w:val="0"/>
          <w:numId w:val="1104"/>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1104"/>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130" w:lineRule="exact"/>
        <w:rPr>
          <w:rFonts w:ascii="Arial" w:cs="Arial" w:eastAsia="Arial" w:hAnsi="Arial"/>
          <w:sz w:val="18"/>
          <w:szCs w:val="18"/>
          <w:color w:val="auto"/>
        </w:rPr>
      </w:pPr>
    </w:p>
    <w:p>
      <w:pPr>
        <w:ind w:left="1960" w:right="340" w:hanging="655"/>
        <w:spacing w:after="0" w:line="277" w:lineRule="auto"/>
        <w:tabs>
          <w:tab w:leader="none" w:pos="1960" w:val="left"/>
        </w:tabs>
        <w:numPr>
          <w:ilvl w:val="1"/>
          <w:numId w:val="1104"/>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(5) Business Days after being deposited in the post postage prepaid in an envelope addressed to it at that address,</w:t>
      </w:r>
    </w:p>
    <w:p>
      <w:pPr>
        <w:spacing w:after="0" w:line="62" w:lineRule="exact"/>
        <w:rPr>
          <w:sz w:val="20"/>
          <w:szCs w:val="20"/>
          <w:color w:val="auto"/>
        </w:rPr>
      </w:pPr>
    </w:p>
    <w:p>
      <w:pPr>
        <w:ind w:left="1320" w:right="40"/>
        <w:spacing w:after="0" w:line="277"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33.2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76" w:lineRule="exact"/>
        <w:rPr>
          <w:sz w:val="20"/>
          <w:szCs w:val="20"/>
          <w:color w:val="auto"/>
        </w:rPr>
      </w:pPr>
    </w:p>
    <w:p>
      <w:pPr>
        <w:ind w:left="1300" w:right="60" w:hanging="535"/>
        <w:spacing w:after="0" w:line="296" w:lineRule="auto"/>
        <w:tabs>
          <w:tab w:leader="none" w:pos="1300" w:val="left"/>
        </w:tabs>
        <w:numPr>
          <w:ilvl w:val="0"/>
          <w:numId w:val="1105"/>
        </w:numPr>
        <w:rPr>
          <w:rFonts w:ascii="Arial" w:cs="Arial" w:eastAsia="Arial" w:hAnsi="Arial"/>
          <w:sz w:val="16"/>
          <w:szCs w:val="16"/>
          <w:color w:val="auto"/>
        </w:rPr>
      </w:pPr>
      <w:r>
        <w:rPr>
          <w:rFonts w:ascii="Arial" w:cs="Arial" w:eastAsia="Arial" w:hAnsi="Arial"/>
          <w:sz w:val="16"/>
          <w:szCs w:val="16"/>
          <w:color w:val="auto"/>
        </w:rPr>
        <w:t>Any communication or document to be made or delivered to the Agent, the POA Agent or the Common Security Agent will be effective only when actually received by the Agent, the POA Agent or Common Security Agent (as applicable) and then only if it is expressly marked for the attention of the department or officer identified with the Agent’s, POA Agent’s or Common Security Agent’s signature in the 2021 Amendment and Restatement Agreement or Intercreditor Agreement (as applicable) (or any substitute department or officer as the Agent, the POA Agent or Common Security Agent (as applicable) shall specify for this purpose).</w:t>
      </w:r>
    </w:p>
    <w:p>
      <w:pPr>
        <w:spacing w:after="0" w:line="66" w:lineRule="exact"/>
        <w:rPr>
          <w:rFonts w:ascii="Arial" w:cs="Arial" w:eastAsia="Arial" w:hAnsi="Arial"/>
          <w:sz w:val="16"/>
          <w:szCs w:val="16"/>
          <w:color w:val="auto"/>
        </w:rPr>
      </w:pPr>
    </w:p>
    <w:p>
      <w:pPr>
        <w:ind w:left="1300" w:hanging="535"/>
        <w:spacing w:after="0"/>
        <w:tabs>
          <w:tab w:leader="none" w:pos="1300" w:val="left"/>
        </w:tabs>
        <w:numPr>
          <w:ilvl w:val="0"/>
          <w:numId w:val="1105"/>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130" w:lineRule="exact"/>
        <w:rPr>
          <w:rFonts w:ascii="Arial" w:cs="Arial" w:eastAsia="Arial" w:hAnsi="Arial"/>
          <w:sz w:val="18"/>
          <w:szCs w:val="18"/>
          <w:color w:val="auto"/>
        </w:rPr>
      </w:pPr>
    </w:p>
    <w:p>
      <w:pPr>
        <w:ind w:left="1300" w:right="60" w:hanging="535"/>
        <w:spacing w:after="0" w:line="277" w:lineRule="auto"/>
        <w:tabs>
          <w:tab w:leader="none" w:pos="1300" w:val="left"/>
        </w:tabs>
        <w:numPr>
          <w:ilvl w:val="0"/>
          <w:numId w:val="1105"/>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 in accordance with this Clause 33.3 will be deemed to have been made or delivered to each of the Obligors.</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6"/>
          <w:szCs w:val="16"/>
          <w:b w:val="1"/>
          <w:bCs w:val="1"/>
          <w:color w:val="auto"/>
        </w:rPr>
        <w:t>Notification of address and fax number</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Promptly upon changing its own address or fax number, the Agent shall notify the other Parties.</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6"/>
          <w:szCs w:val="16"/>
          <w:b w:val="1"/>
          <w:bCs w:val="1"/>
          <w:color w:val="auto"/>
        </w:rPr>
        <w:t>Communication when Agent is Impaired Agent</w:t>
      </w:r>
    </w:p>
    <w:p>
      <w:pPr>
        <w:spacing w:after="0" w:line="121" w:lineRule="exact"/>
        <w:rPr>
          <w:sz w:val="20"/>
          <w:szCs w:val="20"/>
          <w:color w:val="auto"/>
        </w:rPr>
      </w:pPr>
    </w:p>
    <w:p>
      <w:pPr>
        <w:ind w:left="760" w:right="220"/>
        <w:spacing w:after="0" w:line="279" w:lineRule="auto"/>
        <w:rPr>
          <w:sz w:val="20"/>
          <w:szCs w:val="20"/>
          <w:color w:val="auto"/>
        </w:rPr>
      </w:pPr>
      <w:r>
        <w:rPr>
          <w:rFonts w:ascii="Arial" w:cs="Arial" w:eastAsia="Arial" w:hAnsi="Arial"/>
          <w:sz w:val="17"/>
          <w:szCs w:val="17"/>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31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6"/>
          <w:szCs w:val="16"/>
          <w:b w:val="1"/>
          <w:bCs w:val="1"/>
          <w:color w:val="auto"/>
        </w:rPr>
        <w:t>Electronic communication</w:t>
      </w:r>
    </w:p>
    <w:p>
      <w:pPr>
        <w:spacing w:after="0" w:line="135" w:lineRule="exact"/>
        <w:rPr>
          <w:sz w:val="20"/>
          <w:szCs w:val="20"/>
          <w:color w:val="auto"/>
        </w:rPr>
      </w:pPr>
    </w:p>
    <w:p>
      <w:pPr>
        <w:ind w:left="1300" w:right="140" w:hanging="535"/>
        <w:spacing w:after="0" w:line="263" w:lineRule="auto"/>
        <w:tabs>
          <w:tab w:leader="none" w:pos="1300" w:val="left"/>
        </w:tabs>
        <w:numPr>
          <w:ilvl w:val="0"/>
          <w:numId w:val="1106"/>
        </w:numPr>
        <w:rPr>
          <w:rFonts w:ascii="Arial" w:cs="Arial" w:eastAsia="Arial" w:hAnsi="Arial"/>
          <w:sz w:val="18"/>
          <w:szCs w:val="18"/>
          <w:color w:val="auto"/>
        </w:rPr>
      </w:pPr>
      <w:r>
        <w:rPr>
          <w:rFonts w:ascii="Arial" w:cs="Arial" w:eastAsia="Arial" w:hAnsi="Arial"/>
          <w:sz w:val="18"/>
          <w:szCs w:val="18"/>
          <w:color w:val="auto"/>
        </w:rPr>
        <w:t>Any communication to be made between the Agent, the POA Agent or the Common Security Agent and a Lender under or in connection with the Finance Documents may be made by electronic mail or other electronic means, if the Agent, the POA Agent, the Common Security Agent (as applicable) and the relevant Lender:</w:t>
      </w:r>
    </w:p>
    <w:p>
      <w:pPr>
        <w:spacing w:after="0" w:line="89" w:lineRule="exact"/>
        <w:rPr>
          <w:rFonts w:ascii="Arial" w:cs="Arial" w:eastAsia="Arial" w:hAnsi="Arial"/>
          <w:sz w:val="18"/>
          <w:szCs w:val="18"/>
          <w:color w:val="auto"/>
        </w:rPr>
      </w:pPr>
    </w:p>
    <w:p>
      <w:pPr>
        <w:ind w:left="1960" w:hanging="655"/>
        <w:spacing w:after="0"/>
        <w:tabs>
          <w:tab w:leader="none" w:pos="1960" w:val="left"/>
        </w:tabs>
        <w:numPr>
          <w:ilvl w:val="1"/>
          <w:numId w:val="1106"/>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158" w:lineRule="exact"/>
        <w:rPr>
          <w:sz w:val="20"/>
          <w:szCs w:val="20"/>
          <w:color w:val="auto"/>
        </w:rPr>
      </w:pPr>
    </w:p>
    <w:p>
      <w:pPr>
        <w:jc w:val="both"/>
        <w:ind w:left="5440"/>
        <w:spacing w:after="0"/>
        <w:tabs>
          <w:tab w:leader="none" w:pos="88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29" w:name="page730"/>
    <w:bookmarkEnd w:id="729"/>
    <w:p>
      <w:pPr>
        <w:ind w:left="1200" w:right="180" w:hanging="655"/>
        <w:spacing w:after="0" w:line="277" w:lineRule="auto"/>
        <w:tabs>
          <w:tab w:leader="none" w:pos="1200" w:val="left"/>
        </w:tabs>
        <w:numPr>
          <w:ilvl w:val="1"/>
          <w:numId w:val="1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notify each other in writing of their electronic mail address and/or any other information required to enable the sending and receipt of information by that means; and</w:t>
      </w:r>
    </w:p>
    <w:p>
      <w:pPr>
        <w:spacing w:after="0" w:line="75" w:lineRule="exact"/>
        <w:rPr>
          <w:rFonts w:ascii="Arial" w:cs="Arial" w:eastAsia="Arial" w:hAnsi="Arial"/>
          <w:sz w:val="18"/>
          <w:szCs w:val="18"/>
          <w:color w:val="auto"/>
        </w:rPr>
      </w:pPr>
    </w:p>
    <w:p>
      <w:pPr>
        <w:ind w:left="1200" w:hanging="655"/>
        <w:spacing w:after="0"/>
        <w:tabs>
          <w:tab w:leader="none" w:pos="1200" w:val="left"/>
        </w:tabs>
        <w:numPr>
          <w:ilvl w:val="1"/>
          <w:numId w:val="1107"/>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w:t>
      </w:r>
    </w:p>
    <w:p>
      <w:pPr>
        <w:spacing w:after="0" w:line="130" w:lineRule="exact"/>
        <w:rPr>
          <w:rFonts w:ascii="Arial" w:cs="Arial" w:eastAsia="Arial" w:hAnsi="Arial"/>
          <w:sz w:val="18"/>
          <w:szCs w:val="18"/>
          <w:color w:val="auto"/>
        </w:rPr>
      </w:pPr>
    </w:p>
    <w:p>
      <w:pPr>
        <w:ind w:left="540" w:right="480" w:hanging="535"/>
        <w:spacing w:after="0" w:line="259" w:lineRule="auto"/>
        <w:tabs>
          <w:tab w:leader="none" w:pos="540" w:val="left"/>
        </w:tabs>
        <w:numPr>
          <w:ilvl w:val="0"/>
          <w:numId w:val="1108"/>
        </w:numPr>
        <w:rPr>
          <w:rFonts w:ascii="Arial" w:cs="Arial" w:eastAsia="Arial" w:hAnsi="Arial"/>
          <w:sz w:val="18"/>
          <w:szCs w:val="18"/>
          <w:color w:val="auto"/>
        </w:rPr>
      </w:pPr>
      <w:r>
        <w:rPr>
          <w:rFonts w:ascii="Arial" w:cs="Arial" w:eastAsia="Arial" w:hAnsi="Arial"/>
          <w:sz w:val="18"/>
          <w:szCs w:val="18"/>
          <w:color w:val="auto"/>
        </w:rPr>
        <w:t>Any electronic communication made between the Agent and a Lender, the POA Agent or the Common Security Agent will be effective only when actually received in readable form and in the case of any electronic communication made by a Lender to the Agent, the POA Agent or the Common Security Agent only if it is addressed in such a manner as the Agent, the POA Agent or Common Security Agent (as applicable) shall specify for this purpose.</w:t>
      </w:r>
    </w:p>
    <w:p>
      <w:pPr>
        <w:spacing w:after="0" w:line="92" w:lineRule="exact"/>
        <w:rPr>
          <w:rFonts w:ascii="Arial" w:cs="Arial" w:eastAsia="Arial" w:hAnsi="Arial"/>
          <w:sz w:val="18"/>
          <w:szCs w:val="18"/>
          <w:color w:val="auto"/>
        </w:rPr>
      </w:pPr>
    </w:p>
    <w:p>
      <w:pPr>
        <w:ind w:left="540" w:right="20" w:hanging="535"/>
        <w:spacing w:after="0" w:line="273" w:lineRule="auto"/>
        <w:tabs>
          <w:tab w:leader="none" w:pos="540" w:val="left"/>
        </w:tabs>
        <w:numPr>
          <w:ilvl w:val="0"/>
          <w:numId w:val="1108"/>
        </w:numPr>
        <w:rPr>
          <w:rFonts w:ascii="Arial" w:cs="Arial" w:eastAsia="Arial" w:hAnsi="Arial"/>
          <w:sz w:val="17"/>
          <w:szCs w:val="17"/>
          <w:color w:val="auto"/>
        </w:rPr>
      </w:pPr>
      <w:r>
        <w:rPr>
          <w:rFonts w:ascii="Arial" w:cs="Arial" w:eastAsia="Arial" w:hAnsi="Arial"/>
          <w:sz w:val="17"/>
          <w:szCs w:val="17"/>
          <w:color w:val="auto"/>
        </w:rPr>
        <w:t>Notwithstanding the foregoing, each Party hereto agrees that the Agent may make information, documents and other materials that any Obligor is obligated to furnish to the Agent pursuant to the Finance Documents (together, “</w:t>
      </w:r>
      <w:r>
        <w:rPr>
          <w:rFonts w:ascii="Arial" w:cs="Arial" w:eastAsia="Arial" w:hAnsi="Arial"/>
          <w:sz w:val="17"/>
          <w:szCs w:val="17"/>
          <w:b w:val="1"/>
          <w:bCs w:val="1"/>
          <w:color w:val="auto"/>
        </w:rPr>
        <w:t>Communications</w:t>
      </w:r>
      <w:r>
        <w:rPr>
          <w:rFonts w:ascii="Arial" w:cs="Arial" w:eastAsia="Arial" w:hAnsi="Arial"/>
          <w:sz w:val="17"/>
          <w:szCs w:val="17"/>
          <w:color w:val="auto"/>
        </w:rPr>
        <w:t>”) available to any Finance Party by posting the Communications on IntraLinks or another relevant website, if any, to which such Finance Party has access (whether a commercial, third-party website or whether sponsored by the Agent) (the “</w:t>
      </w:r>
      <w:r>
        <w:rPr>
          <w:rFonts w:ascii="Arial" w:cs="Arial" w:eastAsia="Arial" w:hAnsi="Arial"/>
          <w:sz w:val="17"/>
          <w:szCs w:val="17"/>
          <w:b w:val="1"/>
          <w:bCs w:val="1"/>
          <w:color w:val="auto"/>
        </w:rPr>
        <w:t>Platform</w:t>
      </w:r>
      <w:r>
        <w:rPr>
          <w:rFonts w:ascii="Arial" w:cs="Arial" w:eastAsia="Arial" w:hAnsi="Arial"/>
          <w:sz w:val="17"/>
          <w:szCs w:val="17"/>
          <w:color w:val="auto"/>
        </w:rPr>
        <w:t>”). Nothing in this Clause 33.6 shall prejudice the right of the Agent to make the Communications available to any Finance Party in any other manner specified in this Agreement or any other Finance Documents.</w:t>
      </w:r>
    </w:p>
    <w:p>
      <w:pPr>
        <w:spacing w:after="0" w:line="83" w:lineRule="exact"/>
        <w:rPr>
          <w:rFonts w:ascii="Arial" w:cs="Arial" w:eastAsia="Arial" w:hAnsi="Arial"/>
          <w:sz w:val="17"/>
          <w:szCs w:val="17"/>
          <w:color w:val="auto"/>
        </w:rPr>
      </w:pPr>
    </w:p>
    <w:p>
      <w:pPr>
        <w:ind w:left="540" w:right="20" w:hanging="535"/>
        <w:spacing w:after="0" w:line="259" w:lineRule="auto"/>
        <w:tabs>
          <w:tab w:leader="none" w:pos="540" w:val="left"/>
        </w:tabs>
        <w:numPr>
          <w:ilvl w:val="0"/>
          <w:numId w:val="1108"/>
        </w:numPr>
        <w:rPr>
          <w:rFonts w:ascii="Arial" w:cs="Arial" w:eastAsia="Arial" w:hAnsi="Arial"/>
          <w:sz w:val="18"/>
          <w:szCs w:val="18"/>
          <w:color w:val="auto"/>
        </w:rPr>
      </w:pPr>
      <w:r>
        <w:rPr>
          <w:rFonts w:ascii="Arial" w:cs="Arial" w:eastAsia="Arial" w:hAnsi="Arial"/>
          <w:sz w:val="18"/>
          <w:szCs w:val="18"/>
          <w:color w:val="auto"/>
        </w:rPr>
        <w:t>Each Finance Party agrees that e-mail notice to it (at the address provided pursuant to the next sentence and deemed delivered as provided in the next paragraph) specifying that Communications have been posted to the Platform shall constitute effective delivery of such Communications to such Finance Party for purposes of this Agreement and the other Finance Documents. Each Finance Party agrees:</w:t>
      </w:r>
    </w:p>
    <w:p>
      <w:pPr>
        <w:spacing w:after="0" w:line="92" w:lineRule="exact"/>
        <w:rPr>
          <w:rFonts w:ascii="Arial" w:cs="Arial" w:eastAsia="Arial" w:hAnsi="Arial"/>
          <w:sz w:val="18"/>
          <w:szCs w:val="18"/>
          <w:color w:val="auto"/>
        </w:rPr>
      </w:pPr>
    </w:p>
    <w:p>
      <w:pPr>
        <w:ind w:left="1200" w:right="400" w:hanging="655"/>
        <w:spacing w:after="0" w:line="263" w:lineRule="auto"/>
        <w:tabs>
          <w:tab w:leader="none" w:pos="1200" w:val="left"/>
        </w:tabs>
        <w:numPr>
          <w:ilvl w:val="1"/>
          <w:numId w:val="1108"/>
        </w:numPr>
        <w:rPr>
          <w:rFonts w:ascii="Arial" w:cs="Arial" w:eastAsia="Arial" w:hAnsi="Arial"/>
          <w:sz w:val="18"/>
          <w:szCs w:val="18"/>
          <w:color w:val="auto"/>
        </w:rPr>
      </w:pPr>
      <w:r>
        <w:rPr>
          <w:rFonts w:ascii="Arial" w:cs="Arial" w:eastAsia="Arial" w:hAnsi="Arial"/>
          <w:sz w:val="18"/>
          <w:szCs w:val="18"/>
          <w:color w:val="auto"/>
        </w:rPr>
        <w:t>to notify the Agent in writing (including by electronic communication) from time to time to ensure that the Agent has on record an effective e-mail address for such Finance Party to which the foregoing notice may be sent by electronic transmission; and</w:t>
      </w:r>
    </w:p>
    <w:p>
      <w:pPr>
        <w:spacing w:after="0" w:line="89" w:lineRule="exact"/>
        <w:rPr>
          <w:rFonts w:ascii="Arial" w:cs="Arial" w:eastAsia="Arial" w:hAnsi="Arial"/>
          <w:sz w:val="18"/>
          <w:szCs w:val="18"/>
          <w:color w:val="auto"/>
        </w:rPr>
      </w:pPr>
    </w:p>
    <w:p>
      <w:pPr>
        <w:ind w:left="1200" w:hanging="655"/>
        <w:spacing w:after="0"/>
        <w:tabs>
          <w:tab w:leader="none" w:pos="1200" w:val="left"/>
        </w:tabs>
        <w:numPr>
          <w:ilvl w:val="1"/>
          <w:numId w:val="1108"/>
        </w:numPr>
        <w:rPr>
          <w:rFonts w:ascii="Arial" w:cs="Arial" w:eastAsia="Arial" w:hAnsi="Arial"/>
          <w:sz w:val="18"/>
          <w:szCs w:val="18"/>
          <w:color w:val="auto"/>
        </w:rPr>
      </w:pPr>
      <w:r>
        <w:rPr>
          <w:rFonts w:ascii="Arial" w:cs="Arial" w:eastAsia="Arial" w:hAnsi="Arial"/>
          <w:sz w:val="18"/>
          <w:szCs w:val="18"/>
          <w:color w:val="auto"/>
        </w:rPr>
        <w:t>that the foregoing notice may be sent to such e-mail address.</w:t>
      </w:r>
    </w:p>
    <w:p>
      <w:pPr>
        <w:spacing w:after="0" w:line="130" w:lineRule="exact"/>
        <w:rPr>
          <w:rFonts w:ascii="Arial" w:cs="Arial" w:eastAsia="Arial" w:hAnsi="Arial"/>
          <w:sz w:val="18"/>
          <w:szCs w:val="18"/>
          <w:color w:val="auto"/>
        </w:rPr>
      </w:pPr>
    </w:p>
    <w:p>
      <w:pPr>
        <w:ind w:left="540" w:hanging="535"/>
        <w:spacing w:after="0" w:line="254" w:lineRule="auto"/>
        <w:tabs>
          <w:tab w:leader="none" w:pos="540" w:val="left"/>
        </w:tabs>
        <w:numPr>
          <w:ilvl w:val="0"/>
          <w:numId w:val="1108"/>
        </w:numPr>
        <w:rPr>
          <w:rFonts w:ascii="Arial" w:cs="Arial" w:eastAsia="Arial" w:hAnsi="Arial"/>
          <w:sz w:val="18"/>
          <w:szCs w:val="18"/>
          <w:color w:val="auto"/>
        </w:rPr>
      </w:pPr>
      <w:r>
        <w:rPr>
          <w:rFonts w:ascii="Arial" w:cs="Arial" w:eastAsia="Arial" w:hAnsi="Arial"/>
          <w:sz w:val="18"/>
          <w:szCs w:val="18"/>
          <w:color w:val="auto"/>
        </w:rPr>
        <w:t xml:space="preserve">Notwithstanding paragraph (f) below, each Party hereto agrees that any electronic communication referred to in this Clause 33.6 shall be deemed delivered upon the posting of a record of such communication (properly addressed to such party at the e-mail address provided to the Agent) as “sent” in the e-mail system of the sending party or, in the case of any such communication to the Agent, upon the posting of a record of such communication as “received” in the e-mail system of the Agent;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such communication is not so received by a Finance Party in the place of receipt on a Business day or is not so received by a Finance Party on before 5.00 pm in the place of receipt on a Business Day, such communication shall be deemed delivered at the opening of business on the next Business Day for that Finance Party.</w:t>
      </w:r>
    </w:p>
    <w:p>
      <w:pPr>
        <w:spacing w:after="0" w:line="100" w:lineRule="exact"/>
        <w:rPr>
          <w:rFonts w:ascii="Arial" w:cs="Arial" w:eastAsia="Arial" w:hAnsi="Arial"/>
          <w:sz w:val="18"/>
          <w:szCs w:val="18"/>
          <w:color w:val="auto"/>
        </w:rPr>
      </w:pPr>
    </w:p>
    <w:p>
      <w:pPr>
        <w:ind w:left="540" w:hanging="535"/>
        <w:spacing w:after="0"/>
        <w:tabs>
          <w:tab w:leader="none" w:pos="540" w:val="left"/>
        </w:tabs>
        <w:numPr>
          <w:ilvl w:val="0"/>
          <w:numId w:val="1108"/>
        </w:numPr>
        <w:rPr>
          <w:rFonts w:ascii="Arial" w:cs="Arial" w:eastAsia="Arial" w:hAnsi="Arial"/>
          <w:sz w:val="18"/>
          <w:szCs w:val="18"/>
          <w:color w:val="auto"/>
        </w:rPr>
      </w:pPr>
      <w:r>
        <w:rPr>
          <w:rFonts w:ascii="Arial" w:cs="Arial" w:eastAsia="Arial" w:hAnsi="Arial"/>
          <w:sz w:val="18"/>
          <w:szCs w:val="18"/>
          <w:color w:val="auto"/>
        </w:rPr>
        <w:t>Each Party hereto acknowledges that:</w:t>
      </w:r>
    </w:p>
    <w:p>
      <w:pPr>
        <w:spacing w:after="0" w:line="130" w:lineRule="exact"/>
        <w:rPr>
          <w:rFonts w:ascii="Arial" w:cs="Arial" w:eastAsia="Arial" w:hAnsi="Arial"/>
          <w:sz w:val="18"/>
          <w:szCs w:val="18"/>
          <w:color w:val="auto"/>
        </w:rPr>
      </w:pPr>
    </w:p>
    <w:p>
      <w:pPr>
        <w:ind w:left="1200" w:right="40" w:hanging="655"/>
        <w:spacing w:after="0" w:line="277" w:lineRule="auto"/>
        <w:tabs>
          <w:tab w:leader="none" w:pos="1200" w:val="left"/>
        </w:tabs>
        <w:numPr>
          <w:ilvl w:val="1"/>
          <w:numId w:val="1108"/>
        </w:numPr>
        <w:rPr>
          <w:rFonts w:ascii="Arial" w:cs="Arial" w:eastAsia="Arial" w:hAnsi="Arial"/>
          <w:sz w:val="18"/>
          <w:szCs w:val="18"/>
          <w:color w:val="auto"/>
        </w:rPr>
      </w:pPr>
      <w:r>
        <w:rPr>
          <w:rFonts w:ascii="Arial" w:cs="Arial" w:eastAsia="Arial" w:hAnsi="Arial"/>
          <w:sz w:val="18"/>
          <w:szCs w:val="18"/>
          <w:color w:val="auto"/>
        </w:rPr>
        <w:t>the distribution of material through an electronic medium is not necessarily secure and that there are confidentiality and other risks associated with such distribution;</w:t>
      </w:r>
    </w:p>
    <w:p>
      <w:pPr>
        <w:spacing w:after="0" w:line="103" w:lineRule="exact"/>
        <w:rPr>
          <w:sz w:val="20"/>
          <w:szCs w:val="20"/>
          <w:color w:val="auto"/>
        </w:rPr>
      </w:pPr>
    </w:p>
    <w:p>
      <w:pPr>
        <w:jc w:val="both"/>
        <w:ind w:left="4680"/>
        <w:spacing w:after="0"/>
        <w:tabs>
          <w:tab w:leader="none" w:pos="80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30" w:name="page731"/>
    <w:bookmarkEnd w:id="730"/>
    <w:p>
      <w:pPr>
        <w:ind w:left="1960" w:hanging="655"/>
        <w:spacing w:after="0"/>
        <w:tabs>
          <w:tab w:leader="none" w:pos="1960" w:val="left"/>
        </w:tabs>
        <w:numPr>
          <w:ilvl w:val="1"/>
          <w:numId w:val="1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Communications and the Platform are provided “as is” and “as available”;</w:t>
      </w:r>
    </w:p>
    <w:p>
      <w:pPr>
        <w:spacing w:after="0" w:line="130" w:lineRule="exact"/>
        <w:rPr>
          <w:rFonts w:ascii="Arial" w:cs="Arial" w:eastAsia="Arial" w:hAnsi="Arial"/>
          <w:sz w:val="18"/>
          <w:szCs w:val="18"/>
          <w:color w:val="auto"/>
        </w:rPr>
      </w:pPr>
    </w:p>
    <w:p>
      <w:pPr>
        <w:ind w:left="1960" w:right="180" w:hanging="655"/>
        <w:spacing w:after="0" w:line="259" w:lineRule="auto"/>
        <w:tabs>
          <w:tab w:leader="none" w:pos="1960" w:val="left"/>
        </w:tabs>
        <w:numPr>
          <w:ilvl w:val="1"/>
          <w:numId w:val="1109"/>
        </w:numPr>
        <w:rPr>
          <w:rFonts w:ascii="Arial" w:cs="Arial" w:eastAsia="Arial" w:hAnsi="Arial"/>
          <w:sz w:val="18"/>
          <w:szCs w:val="18"/>
          <w:color w:val="auto"/>
        </w:rPr>
      </w:pPr>
      <w:r>
        <w:rPr>
          <w:rFonts w:ascii="Arial" w:cs="Arial" w:eastAsia="Arial" w:hAnsi="Arial"/>
          <w:sz w:val="18"/>
          <w:szCs w:val="18"/>
          <w:color w:val="auto"/>
        </w:rPr>
        <w:t>none of the Agent, its affiliates nor any of their respective officers, directors, employees, agents, advisors or representatives (collectively, the “</w:t>
      </w:r>
      <w:r>
        <w:rPr>
          <w:rFonts w:ascii="Arial" w:cs="Arial" w:eastAsia="Arial" w:hAnsi="Arial"/>
          <w:sz w:val="18"/>
          <w:szCs w:val="18"/>
          <w:b w:val="1"/>
          <w:bCs w:val="1"/>
          <w:color w:val="auto"/>
        </w:rPr>
        <w:t>Agency Parties</w:t>
      </w:r>
      <w:r>
        <w:rPr>
          <w:rFonts w:ascii="Arial" w:cs="Arial" w:eastAsia="Arial" w:hAnsi="Arial"/>
          <w:sz w:val="18"/>
          <w:szCs w:val="18"/>
          <w:color w:val="auto"/>
        </w:rPr>
        <w:t>”) warrants the adequacy, accuracy or completeness of the Communications or the Platform, and each Agency Party expressly disclaims liability for errors or omissions in any Communications or the Platform; and</w:t>
      </w:r>
    </w:p>
    <w:p>
      <w:pPr>
        <w:spacing w:after="0" w:line="92" w:lineRule="exact"/>
        <w:rPr>
          <w:rFonts w:ascii="Arial" w:cs="Arial" w:eastAsia="Arial" w:hAnsi="Arial"/>
          <w:sz w:val="18"/>
          <w:szCs w:val="18"/>
          <w:color w:val="auto"/>
        </w:rPr>
      </w:pPr>
    </w:p>
    <w:p>
      <w:pPr>
        <w:ind w:left="1960" w:right="80" w:hanging="655"/>
        <w:spacing w:after="0" w:line="263" w:lineRule="auto"/>
        <w:tabs>
          <w:tab w:leader="none" w:pos="1960" w:val="left"/>
        </w:tabs>
        <w:numPr>
          <w:ilvl w:val="1"/>
          <w:numId w:val="1109"/>
        </w:numPr>
        <w:rPr>
          <w:rFonts w:ascii="Arial" w:cs="Arial" w:eastAsia="Arial" w:hAnsi="Arial"/>
          <w:sz w:val="18"/>
          <w:szCs w:val="18"/>
          <w:color w:val="auto"/>
        </w:rPr>
      </w:pPr>
      <w:r>
        <w:rPr>
          <w:rFonts w:ascii="Arial" w:cs="Arial" w:eastAsia="Arial" w:hAnsi="Arial"/>
          <w:sz w:val="18"/>
          <w:szCs w:val="18"/>
          <w:color w:val="auto"/>
        </w:rPr>
        <w:t>no representation or warranty of any kind, express, implied or statutory, including any representation or warranty of merchantability, fitness for a particular purpose, non-infringement of third party rights or freedom from viruses or other code defects, is made by any Agency Party in connection with any Communications or the Platform.</w:t>
      </w:r>
    </w:p>
    <w:p>
      <w:pPr>
        <w:spacing w:after="0" w:line="89" w:lineRule="exact"/>
        <w:rPr>
          <w:rFonts w:ascii="Arial" w:cs="Arial" w:eastAsia="Arial" w:hAnsi="Arial"/>
          <w:sz w:val="18"/>
          <w:szCs w:val="18"/>
          <w:color w:val="auto"/>
        </w:rPr>
      </w:pPr>
    </w:p>
    <w:p>
      <w:pPr>
        <w:ind w:left="1300" w:right="80" w:hanging="535"/>
        <w:spacing w:after="0" w:line="263" w:lineRule="auto"/>
        <w:tabs>
          <w:tab w:leader="none" w:pos="1300" w:val="left"/>
        </w:tabs>
        <w:numPr>
          <w:ilvl w:val="0"/>
          <w:numId w:val="1110"/>
        </w:numPr>
        <w:rPr>
          <w:rFonts w:ascii="Arial" w:cs="Arial" w:eastAsia="Arial" w:hAnsi="Arial"/>
          <w:sz w:val="18"/>
          <w:szCs w:val="18"/>
          <w:color w:val="auto"/>
        </w:rPr>
      </w:pPr>
      <w:r>
        <w:rPr>
          <w:rFonts w:ascii="Arial" w:cs="Arial" w:eastAsia="Arial" w:hAnsi="Arial"/>
          <w:sz w:val="18"/>
          <w:szCs w:val="18"/>
          <w:color w:val="auto"/>
        </w:rPr>
        <w:t>Each Obligor hereby acknowledges that from time to time certain of the Lenders may be “public-side” Lenders (i.e., Lenders that do not wish to receive material non-public information with respect to MPEL, any of its Subsidiaries or their respective securities) (each, a “</w:t>
      </w:r>
      <w:r>
        <w:rPr>
          <w:rFonts w:ascii="Arial" w:cs="Arial" w:eastAsia="Arial" w:hAnsi="Arial"/>
          <w:sz w:val="18"/>
          <w:szCs w:val="18"/>
          <w:b w:val="1"/>
          <w:bCs w:val="1"/>
          <w:color w:val="auto"/>
        </w:rPr>
        <w:t>Public Lender</w:t>
      </w:r>
      <w:r>
        <w:rPr>
          <w:rFonts w:ascii="Arial" w:cs="Arial" w:eastAsia="Arial" w:hAnsi="Arial"/>
          <w:sz w:val="18"/>
          <w:szCs w:val="18"/>
          <w:color w:val="auto"/>
        </w:rPr>
        <w:t>”). Each Obligor hereby agrees that:</w:t>
      </w:r>
    </w:p>
    <w:p>
      <w:pPr>
        <w:spacing w:after="0" w:line="89" w:lineRule="exact"/>
        <w:rPr>
          <w:rFonts w:ascii="Arial" w:cs="Arial" w:eastAsia="Arial" w:hAnsi="Arial"/>
          <w:sz w:val="18"/>
          <w:szCs w:val="18"/>
          <w:color w:val="auto"/>
        </w:rPr>
      </w:pPr>
    </w:p>
    <w:p>
      <w:pPr>
        <w:ind w:left="1960" w:right="160" w:hanging="655"/>
        <w:spacing w:after="0" w:line="342" w:lineRule="auto"/>
        <w:tabs>
          <w:tab w:leader="none" w:pos="1960" w:val="left"/>
        </w:tabs>
        <w:numPr>
          <w:ilvl w:val="1"/>
          <w:numId w:val="1110"/>
        </w:numPr>
        <w:rPr>
          <w:rFonts w:ascii="Arial" w:cs="Arial" w:eastAsia="Arial" w:hAnsi="Arial"/>
          <w:sz w:val="16"/>
          <w:szCs w:val="16"/>
          <w:color w:val="auto"/>
        </w:rPr>
      </w:pPr>
      <w:r>
        <w:rPr>
          <w:rFonts w:ascii="Arial" w:cs="Arial" w:eastAsia="Arial" w:hAnsi="Arial"/>
          <w:sz w:val="16"/>
          <w:szCs w:val="16"/>
          <w:color w:val="auto"/>
        </w:rPr>
        <w:t>Communications that are to be made available on the Platform to Public Lenders shall be clearly and conspicuously marked “PUBLIC” which, at a minimum, shall mean that the word “PUBLIC” shall appear prominently on the first page thereof;</w:t>
      </w:r>
    </w:p>
    <w:p>
      <w:pPr>
        <w:spacing w:after="0" w:line="29" w:lineRule="exact"/>
        <w:rPr>
          <w:rFonts w:ascii="Arial" w:cs="Arial" w:eastAsia="Arial" w:hAnsi="Arial"/>
          <w:sz w:val="16"/>
          <w:szCs w:val="16"/>
          <w:color w:val="auto"/>
        </w:rPr>
      </w:pPr>
    </w:p>
    <w:p>
      <w:pPr>
        <w:ind w:left="1960" w:right="200" w:hanging="655"/>
        <w:spacing w:after="0" w:line="259" w:lineRule="auto"/>
        <w:tabs>
          <w:tab w:leader="none" w:pos="1960" w:val="left"/>
        </w:tabs>
        <w:numPr>
          <w:ilvl w:val="1"/>
          <w:numId w:val="1110"/>
        </w:numPr>
        <w:rPr>
          <w:rFonts w:ascii="Arial" w:cs="Arial" w:eastAsia="Arial" w:hAnsi="Arial"/>
          <w:sz w:val="18"/>
          <w:szCs w:val="18"/>
          <w:color w:val="auto"/>
        </w:rPr>
      </w:pPr>
      <w:r>
        <w:rPr>
          <w:rFonts w:ascii="Arial" w:cs="Arial" w:eastAsia="Arial" w:hAnsi="Arial"/>
          <w:sz w:val="18"/>
          <w:szCs w:val="18"/>
          <w:color w:val="auto"/>
        </w:rPr>
        <w:t>by marking Communications “PUBLIC,” each Obligor shall be deemed to have authorised the Finance Parties to treat such Communications as either publicly available information or not-material information (although it may be sensitive and proprietary) with respect to MPEL, any of its Subsidiaries or their respective securities for purposes of US federal and state securities laws;</w:t>
      </w:r>
    </w:p>
    <w:p>
      <w:pPr>
        <w:spacing w:after="0" w:line="92" w:lineRule="exact"/>
        <w:rPr>
          <w:rFonts w:ascii="Arial" w:cs="Arial" w:eastAsia="Arial" w:hAnsi="Arial"/>
          <w:sz w:val="18"/>
          <w:szCs w:val="18"/>
          <w:color w:val="auto"/>
        </w:rPr>
      </w:pPr>
    </w:p>
    <w:p>
      <w:pPr>
        <w:ind w:left="1960" w:right="420" w:hanging="655"/>
        <w:spacing w:after="0" w:line="277" w:lineRule="auto"/>
        <w:tabs>
          <w:tab w:leader="none" w:pos="1960" w:val="left"/>
        </w:tabs>
        <w:numPr>
          <w:ilvl w:val="1"/>
          <w:numId w:val="1110"/>
        </w:numPr>
        <w:rPr>
          <w:rFonts w:ascii="Arial" w:cs="Arial" w:eastAsia="Arial" w:hAnsi="Arial"/>
          <w:sz w:val="18"/>
          <w:szCs w:val="18"/>
          <w:color w:val="auto"/>
        </w:rPr>
      </w:pPr>
      <w:r>
        <w:rPr>
          <w:rFonts w:ascii="Arial" w:cs="Arial" w:eastAsia="Arial" w:hAnsi="Arial"/>
          <w:sz w:val="18"/>
          <w:szCs w:val="18"/>
          <w:color w:val="auto"/>
        </w:rPr>
        <w:t>all Communications marked “PUBLIC” are permitted to be made available through a portion of the Platform designated “Public Lender”; and</w:t>
      </w:r>
    </w:p>
    <w:p>
      <w:pPr>
        <w:spacing w:after="0" w:line="75" w:lineRule="exact"/>
        <w:rPr>
          <w:rFonts w:ascii="Arial" w:cs="Arial" w:eastAsia="Arial" w:hAnsi="Arial"/>
          <w:sz w:val="18"/>
          <w:szCs w:val="18"/>
          <w:color w:val="auto"/>
        </w:rPr>
      </w:pPr>
    </w:p>
    <w:p>
      <w:pPr>
        <w:ind w:left="1960" w:right="100" w:hanging="655"/>
        <w:spacing w:after="0" w:line="277" w:lineRule="auto"/>
        <w:tabs>
          <w:tab w:leader="none" w:pos="1960" w:val="left"/>
        </w:tabs>
        <w:numPr>
          <w:ilvl w:val="1"/>
          <w:numId w:val="1110"/>
        </w:numPr>
        <w:rPr>
          <w:rFonts w:ascii="Arial" w:cs="Arial" w:eastAsia="Arial" w:hAnsi="Arial"/>
          <w:sz w:val="18"/>
          <w:szCs w:val="18"/>
          <w:color w:val="auto"/>
        </w:rPr>
      </w:pPr>
      <w:r>
        <w:rPr>
          <w:rFonts w:ascii="Arial" w:cs="Arial" w:eastAsia="Arial" w:hAnsi="Arial"/>
          <w:sz w:val="18"/>
          <w:szCs w:val="18"/>
          <w:color w:val="auto"/>
        </w:rPr>
        <w:t>the Agent shall be entitled to treat any Communications that are not marked “PUBLIC” as being suitable only for posting on a portion of the Platform not designated “Public Lender”.</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33.7</w:t>
      </w:r>
      <w:r>
        <w:rPr>
          <w:sz w:val="20"/>
          <w:szCs w:val="20"/>
          <w:color w:val="auto"/>
        </w:rPr>
        <w:tab/>
      </w:r>
      <w:r>
        <w:rPr>
          <w:rFonts w:ascii="Arial" w:cs="Arial" w:eastAsia="Arial" w:hAnsi="Arial"/>
          <w:sz w:val="15"/>
          <w:szCs w:val="15"/>
          <w:b w:val="1"/>
          <w:bCs w:val="1"/>
          <w:color w:val="auto"/>
        </w:rPr>
        <w:t>English language</w:t>
      </w:r>
    </w:p>
    <w:p>
      <w:pPr>
        <w:spacing w:after="0" w:line="135" w:lineRule="exact"/>
        <w:rPr>
          <w:sz w:val="20"/>
          <w:szCs w:val="20"/>
          <w:color w:val="auto"/>
        </w:rPr>
      </w:pPr>
    </w:p>
    <w:p>
      <w:pPr>
        <w:ind w:left="1300" w:hanging="535"/>
        <w:spacing w:after="0"/>
        <w:tabs>
          <w:tab w:leader="none" w:pos="1300" w:val="left"/>
        </w:tabs>
        <w:numPr>
          <w:ilvl w:val="0"/>
          <w:numId w:val="1111"/>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130" w:lineRule="exact"/>
        <w:rPr>
          <w:rFonts w:ascii="Arial" w:cs="Arial" w:eastAsia="Arial" w:hAnsi="Arial"/>
          <w:sz w:val="18"/>
          <w:szCs w:val="18"/>
          <w:color w:val="auto"/>
        </w:rPr>
      </w:pPr>
    </w:p>
    <w:p>
      <w:pPr>
        <w:ind w:left="1300" w:hanging="535"/>
        <w:spacing w:after="0"/>
        <w:tabs>
          <w:tab w:leader="none" w:pos="1300" w:val="left"/>
        </w:tabs>
        <w:numPr>
          <w:ilvl w:val="0"/>
          <w:numId w:val="1111"/>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11"/>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30" w:lineRule="exact"/>
        <w:rPr>
          <w:rFonts w:ascii="Arial" w:cs="Arial" w:eastAsia="Arial" w:hAnsi="Arial"/>
          <w:sz w:val="18"/>
          <w:szCs w:val="18"/>
          <w:color w:val="auto"/>
        </w:rPr>
      </w:pPr>
    </w:p>
    <w:p>
      <w:pPr>
        <w:ind w:left="1960" w:right="40" w:hanging="655"/>
        <w:spacing w:after="0" w:line="279" w:lineRule="auto"/>
        <w:tabs>
          <w:tab w:leader="none" w:pos="1960" w:val="left"/>
        </w:tabs>
        <w:numPr>
          <w:ilvl w:val="1"/>
          <w:numId w:val="1111"/>
        </w:numPr>
        <w:rPr>
          <w:rFonts w:ascii="Arial" w:cs="Arial" w:eastAsia="Arial" w:hAnsi="Arial"/>
          <w:sz w:val="17"/>
          <w:szCs w:val="17"/>
          <w:color w:val="auto"/>
        </w:rPr>
      </w:pPr>
      <w:r>
        <w:rPr>
          <w:rFonts w:ascii="Arial" w:cs="Arial" w:eastAsia="Arial" w:hAnsi="Arial"/>
          <w:sz w:val="17"/>
          <w:szCs w:val="17"/>
          <w:color w:val="auto"/>
        </w:rPr>
        <w:t>if not in English, and if so required by the Agent, accompanied by a certified English translation and, in this case, the English translation will prevail unless the document is a constitutional, statutory or other official document or is required by law to be in one of the Macau SAR official languages (Chinese or Portuguese) and/or is to be filed with any Macau SAR Governmental Authority, in which case a Chinese or Portuguese version (as applicable) shall prevail.</w:t>
      </w:r>
    </w:p>
    <w:p>
      <w:pPr>
        <w:spacing w:after="0" w:line="104" w:lineRule="exact"/>
        <w:rPr>
          <w:sz w:val="20"/>
          <w:szCs w:val="20"/>
          <w:color w:val="auto"/>
        </w:rPr>
      </w:pPr>
    </w:p>
    <w:p>
      <w:pPr>
        <w:jc w:val="both"/>
        <w:ind w:left="5440"/>
        <w:spacing w:after="0"/>
        <w:tabs>
          <w:tab w:leader="none" w:pos="88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31" w:name="page732"/>
    <w:bookmarkEnd w:id="731"/>
    <w:p>
      <w:pPr>
        <w:ind w:left="764" w:hanging="764"/>
        <w:spacing w:after="0"/>
        <w:tabs>
          <w:tab w:leader="none" w:pos="764" w:val="left"/>
        </w:tabs>
        <w:numPr>
          <w:ilvl w:val="0"/>
          <w:numId w:val="11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Calculations and certificates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5"/>
          <w:szCs w:val="15"/>
          <w:b w:val="1"/>
          <w:bCs w:val="1"/>
          <w:color w:val="auto"/>
        </w:rPr>
        <w:t>Accounts</w:t>
      </w:r>
    </w:p>
    <w:p>
      <w:pPr>
        <w:spacing w:after="0" w:line="121" w:lineRule="exact"/>
        <w:rPr>
          <w:sz w:val="20"/>
          <w:szCs w:val="20"/>
          <w:color w:val="auto"/>
        </w:rPr>
      </w:pPr>
    </w:p>
    <w:p>
      <w:pPr>
        <w:ind w:left="764" w:right="68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b w:val="1"/>
          <w:bCs w:val="1"/>
          <w:color w:val="auto"/>
        </w:rPr>
        <w:t>Certificates and determinations</w:t>
      </w:r>
    </w:p>
    <w:p>
      <w:pPr>
        <w:spacing w:after="0" w:line="121" w:lineRule="exact"/>
        <w:rPr>
          <w:sz w:val="20"/>
          <w:szCs w:val="20"/>
          <w:color w:val="auto"/>
        </w:rPr>
      </w:pPr>
    </w:p>
    <w:p>
      <w:pPr>
        <w:ind w:left="764" w:right="26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6"/>
          <w:szCs w:val="16"/>
          <w:b w:val="1"/>
          <w:bCs w:val="1"/>
          <w:color w:val="auto"/>
        </w:rPr>
        <w:t>Day count convention</w:t>
      </w:r>
    </w:p>
    <w:p>
      <w:pPr>
        <w:spacing w:after="0" w:line="121" w:lineRule="exact"/>
        <w:rPr>
          <w:sz w:val="20"/>
          <w:szCs w:val="20"/>
          <w:color w:val="auto"/>
        </w:rPr>
      </w:pPr>
    </w:p>
    <w:p>
      <w:pPr>
        <w:ind w:left="764" w:right="200"/>
        <w:spacing w:after="0" w:line="277" w:lineRule="auto"/>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365 days.</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6"/>
          <w:szCs w:val="16"/>
          <w:b w:val="1"/>
          <w:bCs w:val="1"/>
          <w:color w:val="auto"/>
        </w:rPr>
        <w:t>Personal liability</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7"/>
          <w:szCs w:val="17"/>
          <w:color w:val="auto"/>
        </w:rPr>
        <w:t>No director, officer, employee or other individual acting (or purporting to act) on behalf of the Parent, any member of the Group (or any</w:t>
      </w:r>
    </w:p>
    <w:p>
      <w:pPr>
        <w:spacing w:after="0" w:line="35" w:lineRule="exact"/>
        <w:rPr>
          <w:sz w:val="20"/>
          <w:szCs w:val="20"/>
          <w:color w:val="auto"/>
        </w:rPr>
      </w:pPr>
    </w:p>
    <w:p>
      <w:pPr>
        <w:ind w:left="764"/>
        <w:spacing w:after="0"/>
        <w:rPr>
          <w:sz w:val="20"/>
          <w:szCs w:val="20"/>
          <w:color w:val="auto"/>
        </w:rPr>
      </w:pPr>
      <w:r>
        <w:rPr>
          <w:rFonts w:ascii="Arial" w:cs="Arial" w:eastAsia="Arial" w:hAnsi="Arial"/>
          <w:sz w:val="18"/>
          <w:szCs w:val="18"/>
          <w:color w:val="auto"/>
        </w:rPr>
        <w:t>Affiliate of a member of the Group) shall be personally liable for:</w:t>
      </w:r>
    </w:p>
    <w:p>
      <w:pPr>
        <w:spacing w:after="0" w:line="116" w:lineRule="exact"/>
        <w:rPr>
          <w:sz w:val="20"/>
          <w:szCs w:val="20"/>
          <w:color w:val="auto"/>
        </w:rPr>
      </w:pPr>
    </w:p>
    <w:p>
      <w:pPr>
        <w:ind w:left="1304" w:right="100" w:hanging="535"/>
        <w:spacing w:after="0" w:line="277" w:lineRule="auto"/>
        <w:tabs>
          <w:tab w:leader="none" w:pos="1304" w:val="left"/>
        </w:tabs>
        <w:numPr>
          <w:ilvl w:val="0"/>
          <w:numId w:val="1113"/>
        </w:numPr>
        <w:rPr>
          <w:rFonts w:ascii="Arial" w:cs="Arial" w:eastAsia="Arial" w:hAnsi="Arial"/>
          <w:sz w:val="18"/>
          <w:szCs w:val="18"/>
          <w:color w:val="auto"/>
        </w:rPr>
      </w:pPr>
      <w:r>
        <w:rPr>
          <w:rFonts w:ascii="Arial" w:cs="Arial" w:eastAsia="Arial" w:hAnsi="Arial"/>
          <w:sz w:val="18"/>
          <w:szCs w:val="18"/>
          <w:color w:val="auto"/>
        </w:rPr>
        <w:t>any representation, certification or statement made or deemed to be made by him or her, the Parent or any other member of the Group in any Finance Document; or</w:t>
      </w:r>
    </w:p>
    <w:p>
      <w:pPr>
        <w:spacing w:after="0" w:line="75" w:lineRule="exact"/>
        <w:rPr>
          <w:rFonts w:ascii="Arial" w:cs="Arial" w:eastAsia="Arial" w:hAnsi="Arial"/>
          <w:sz w:val="18"/>
          <w:szCs w:val="18"/>
          <w:color w:val="auto"/>
        </w:rPr>
      </w:pPr>
    </w:p>
    <w:p>
      <w:pPr>
        <w:ind w:left="1304" w:right="60" w:hanging="535"/>
        <w:spacing w:after="0" w:line="277" w:lineRule="auto"/>
        <w:tabs>
          <w:tab w:leader="none" w:pos="1304" w:val="left"/>
        </w:tabs>
        <w:numPr>
          <w:ilvl w:val="0"/>
          <w:numId w:val="1113"/>
        </w:numPr>
        <w:rPr>
          <w:rFonts w:ascii="Arial" w:cs="Arial" w:eastAsia="Arial" w:hAnsi="Arial"/>
          <w:sz w:val="18"/>
          <w:szCs w:val="18"/>
          <w:color w:val="auto"/>
        </w:rPr>
      </w:pPr>
      <w:r>
        <w:rPr>
          <w:rFonts w:ascii="Arial" w:cs="Arial" w:eastAsia="Arial" w:hAnsi="Arial"/>
          <w:sz w:val="18"/>
          <w:szCs w:val="18"/>
          <w:color w:val="auto"/>
        </w:rPr>
        <w:t>any certificate, notice or other document required to be delivered under, or in connection with, any Finance Document, whether or not signed by that director, officer, employee or other individual,</w:t>
      </w:r>
    </w:p>
    <w:p>
      <w:pPr>
        <w:spacing w:after="0" w:line="62" w:lineRule="exact"/>
        <w:rPr>
          <w:sz w:val="20"/>
          <w:szCs w:val="20"/>
          <w:color w:val="auto"/>
        </w:rPr>
      </w:pPr>
    </w:p>
    <w:p>
      <w:pPr>
        <w:jc w:val="both"/>
        <w:ind w:left="764" w:right="320"/>
        <w:spacing w:after="0" w:line="279" w:lineRule="auto"/>
        <w:rPr>
          <w:sz w:val="20"/>
          <w:szCs w:val="20"/>
          <w:color w:val="auto"/>
        </w:rPr>
      </w:pPr>
      <w:r>
        <w:rPr>
          <w:rFonts w:ascii="Arial" w:cs="Arial" w:eastAsia="Arial" w:hAnsi="Arial"/>
          <w:sz w:val="17"/>
          <w:szCs w:val="17"/>
          <w:color w:val="auto"/>
        </w:rPr>
        <w:t>where such representation, certification, statement, certificate, notice or other document proves to be incorrect or misleading, unless that individual acted fraudulently, recklessly or with an intention to mislead, in which case any liability will be determined in accordance with applicable law. Any director, officer, employee or other individual to whom this Clause 34.4 is expressed to apply may rely on this Clause 34.4, subject to Clause 1.3 (</w:t>
      </w:r>
      <w:r>
        <w:rPr>
          <w:rFonts w:ascii="Arial" w:cs="Arial" w:eastAsia="Arial" w:hAnsi="Arial"/>
          <w:sz w:val="17"/>
          <w:szCs w:val="17"/>
          <w:i w:val="1"/>
          <w:iCs w:val="1"/>
          <w:color w:val="auto"/>
        </w:rPr>
        <w:t>Third party rights</w:t>
      </w:r>
      <w:r>
        <w:rPr>
          <w:rFonts w:ascii="Arial" w:cs="Arial" w:eastAsia="Arial" w:hAnsi="Arial"/>
          <w:sz w:val="17"/>
          <w:szCs w:val="17"/>
          <w:color w:val="auto"/>
        </w:rPr>
        <w:t>) and the provisions of the Third Parties Act.</w:t>
      </w:r>
    </w:p>
    <w:p>
      <w:pPr>
        <w:spacing w:after="0" w:line="316" w:lineRule="exact"/>
        <w:rPr>
          <w:sz w:val="20"/>
          <w:szCs w:val="20"/>
          <w:color w:val="auto"/>
        </w:rPr>
      </w:pPr>
    </w:p>
    <w:p>
      <w:pPr>
        <w:ind w:left="764" w:hanging="764"/>
        <w:spacing w:after="0"/>
        <w:tabs>
          <w:tab w:leader="none" w:pos="764" w:val="left"/>
        </w:tabs>
        <w:numPr>
          <w:ilvl w:val="0"/>
          <w:numId w:val="1114"/>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121" w:lineRule="exact"/>
        <w:rPr>
          <w:rFonts w:ascii="Arial" w:cs="Arial" w:eastAsia="Arial" w:hAnsi="Arial"/>
          <w:sz w:val="18"/>
          <w:szCs w:val="18"/>
          <w:b w:val="1"/>
          <w:bCs w:val="1"/>
          <w:color w:val="auto"/>
        </w:rPr>
      </w:pPr>
    </w:p>
    <w:p>
      <w:pPr>
        <w:ind w:left="764" w:right="4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328" w:lineRule="exact"/>
        <w:rPr>
          <w:rFonts w:ascii="Arial" w:cs="Arial" w:eastAsia="Arial" w:hAnsi="Arial"/>
          <w:sz w:val="18"/>
          <w:szCs w:val="18"/>
          <w:b w:val="1"/>
          <w:bCs w:val="1"/>
          <w:color w:val="auto"/>
        </w:rPr>
      </w:pPr>
    </w:p>
    <w:p>
      <w:pPr>
        <w:ind w:left="764" w:hanging="764"/>
        <w:spacing w:after="0"/>
        <w:tabs>
          <w:tab w:leader="none" w:pos="764" w:val="left"/>
        </w:tabs>
        <w:numPr>
          <w:ilvl w:val="0"/>
          <w:numId w:val="1114"/>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121" w:lineRule="exact"/>
        <w:rPr>
          <w:rFonts w:ascii="Arial" w:cs="Arial" w:eastAsia="Arial" w:hAnsi="Arial"/>
          <w:sz w:val="18"/>
          <w:szCs w:val="18"/>
          <w:b w:val="1"/>
          <w:bCs w:val="1"/>
          <w:color w:val="auto"/>
        </w:rPr>
      </w:pPr>
    </w:p>
    <w:p>
      <w:pPr>
        <w:ind w:left="764" w:right="18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No failure to exercise, nor any delay in exercising, on the part of any Finance Party or Secured Party, any right or remedy under a Finance Document shall operate as a waiver of any such right or remedy or constitute an election to affirm any Finance Document. No election to affirm any Finance Document on the part of any Finance Party or Secured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94" w:lineRule="exact"/>
        <w:rPr>
          <w:sz w:val="20"/>
          <w:szCs w:val="20"/>
          <w:color w:val="auto"/>
        </w:rPr>
      </w:pPr>
    </w:p>
    <w:p>
      <w:pPr>
        <w:jc w:val="both"/>
        <w:ind w:left="5444"/>
        <w:spacing w:after="0"/>
        <w:tabs>
          <w:tab w:leader="none" w:pos="8844"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32" w:name="page733"/>
    <w:bookmarkEnd w:id="732"/>
    <w:p>
      <w:pPr>
        <w:ind w:left="764" w:hanging="764"/>
        <w:spacing w:after="0"/>
        <w:tabs>
          <w:tab w:leader="none" w:pos="764" w:val="left"/>
        </w:tabs>
        <w:numPr>
          <w:ilvl w:val="0"/>
          <w:numId w:val="11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 and waivers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37.1</w:t>
      </w:r>
      <w:r>
        <w:rPr>
          <w:rFonts w:ascii="Arial" w:cs="Arial" w:eastAsia="Arial" w:hAnsi="Arial"/>
          <w:sz w:val="16"/>
          <w:szCs w:val="16"/>
          <w:b w:val="1"/>
          <w:bCs w:val="1"/>
          <w:color w:val="auto"/>
        </w:rPr>
        <w:t>Intercreditor Agreement</w:t>
      </w:r>
    </w:p>
    <w:p>
      <w:pPr>
        <w:spacing w:after="0" w:line="121" w:lineRule="exact"/>
        <w:rPr>
          <w:rFonts w:ascii="Arial" w:cs="Arial" w:eastAsia="Arial" w:hAnsi="Arial"/>
          <w:sz w:val="18"/>
          <w:szCs w:val="18"/>
          <w:b w:val="1"/>
          <w:bCs w:val="1"/>
          <w:color w:val="auto"/>
        </w:rPr>
      </w:pPr>
    </w:p>
    <w:p>
      <w:pPr>
        <w:ind w:left="764"/>
        <w:spacing w:after="0"/>
        <w:rPr>
          <w:rFonts w:ascii="Arial" w:cs="Arial" w:eastAsia="Arial" w:hAnsi="Arial"/>
          <w:sz w:val="18"/>
          <w:szCs w:val="18"/>
          <w:b w:val="1"/>
          <w:bCs w:val="1"/>
          <w:color w:val="auto"/>
        </w:rPr>
      </w:pPr>
      <w:r>
        <w:rPr>
          <w:rFonts w:ascii="Arial" w:cs="Arial" w:eastAsia="Arial" w:hAnsi="Arial"/>
          <w:sz w:val="18"/>
          <w:szCs w:val="18"/>
          <w:color w:val="auto"/>
        </w:rPr>
        <w:t>This Clause 37 is subject to the terms of the Intercreditor Agreement.</w:t>
      </w:r>
    </w:p>
    <w:p>
      <w:pPr>
        <w:spacing w:after="0" w:line="37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5"/>
          <w:szCs w:val="15"/>
          <w:b w:val="1"/>
          <w:bCs w:val="1"/>
          <w:color w:val="auto"/>
        </w:rPr>
        <w:t>Required consents</w:t>
      </w:r>
    </w:p>
    <w:p>
      <w:pPr>
        <w:spacing w:after="0" w:line="135" w:lineRule="exact"/>
        <w:rPr>
          <w:sz w:val="20"/>
          <w:szCs w:val="20"/>
          <w:color w:val="auto"/>
        </w:rPr>
      </w:pPr>
    </w:p>
    <w:p>
      <w:pPr>
        <w:ind w:left="1304" w:right="280" w:hanging="535"/>
        <w:spacing w:after="0" w:line="263" w:lineRule="auto"/>
        <w:tabs>
          <w:tab w:leader="none" w:pos="1304" w:val="left"/>
        </w:tabs>
        <w:numPr>
          <w:ilvl w:val="0"/>
          <w:numId w:val="1116"/>
        </w:numPr>
        <w:rPr>
          <w:rFonts w:ascii="Arial" w:cs="Arial" w:eastAsia="Arial" w:hAnsi="Arial"/>
          <w:sz w:val="18"/>
          <w:szCs w:val="18"/>
          <w:color w:val="auto"/>
        </w:rPr>
      </w:pPr>
      <w:r>
        <w:rPr>
          <w:rFonts w:ascii="Arial" w:cs="Arial" w:eastAsia="Arial" w:hAnsi="Arial"/>
          <w:sz w:val="18"/>
          <w:szCs w:val="18"/>
          <w:color w:val="auto"/>
        </w:rPr>
        <w:t>Subject to Clause 37.3 (</w:t>
      </w:r>
      <w:r>
        <w:rPr>
          <w:rFonts w:ascii="Arial" w:cs="Arial" w:eastAsia="Arial" w:hAnsi="Arial"/>
          <w:sz w:val="18"/>
          <w:szCs w:val="18"/>
          <w:i w:val="1"/>
          <w:iCs w:val="1"/>
          <w:color w:val="auto"/>
        </w:rPr>
        <w:t>Exceptions</w:t>
      </w:r>
      <w:r>
        <w:rPr>
          <w:rFonts w:ascii="Arial" w:cs="Arial" w:eastAsia="Arial" w:hAnsi="Arial"/>
          <w:sz w:val="18"/>
          <w:szCs w:val="18"/>
          <w:color w:val="auto"/>
        </w:rPr>
        <w:t>) and paragraphs (b) and (d) below, any term of the Finance Documents (other than the Mandate Documents and the Fee Letters) may be amended or waived only with the consent of the Majority Lenders and the Parent and any such amendment or waiver will be binding on all Parties.</w:t>
      </w:r>
    </w:p>
    <w:p>
      <w:pPr>
        <w:spacing w:after="0" w:line="89" w:lineRule="exact"/>
        <w:rPr>
          <w:rFonts w:ascii="Arial" w:cs="Arial" w:eastAsia="Arial" w:hAnsi="Arial"/>
          <w:sz w:val="18"/>
          <w:szCs w:val="18"/>
          <w:color w:val="auto"/>
        </w:rPr>
      </w:pPr>
    </w:p>
    <w:p>
      <w:pPr>
        <w:ind w:left="1304" w:hanging="535"/>
        <w:spacing w:after="0"/>
        <w:tabs>
          <w:tab w:leader="none" w:pos="1304" w:val="left"/>
        </w:tabs>
        <w:numPr>
          <w:ilvl w:val="0"/>
          <w:numId w:val="1116"/>
        </w:numPr>
        <w:rPr>
          <w:rFonts w:ascii="Arial" w:cs="Arial" w:eastAsia="Arial" w:hAnsi="Arial"/>
          <w:sz w:val="18"/>
          <w:szCs w:val="18"/>
          <w:color w:val="auto"/>
        </w:rPr>
      </w:pPr>
      <w:r>
        <w:rPr>
          <w:rFonts w:ascii="Arial" w:cs="Arial" w:eastAsia="Arial" w:hAnsi="Arial"/>
          <w:sz w:val="18"/>
          <w:szCs w:val="18"/>
          <w:color w:val="auto"/>
        </w:rPr>
        <w:t>The Agent may effect, on behalf of any Finance Party:</w:t>
      </w:r>
    </w:p>
    <w:p>
      <w:pPr>
        <w:spacing w:after="0" w:line="130" w:lineRule="exact"/>
        <w:rPr>
          <w:rFonts w:ascii="Arial" w:cs="Arial" w:eastAsia="Arial" w:hAnsi="Arial"/>
          <w:sz w:val="18"/>
          <w:szCs w:val="18"/>
          <w:color w:val="auto"/>
        </w:rPr>
      </w:pPr>
    </w:p>
    <w:p>
      <w:pPr>
        <w:ind w:left="1964" w:right="160" w:hanging="655"/>
        <w:spacing w:after="0" w:line="277" w:lineRule="auto"/>
        <w:tabs>
          <w:tab w:leader="none" w:pos="1964" w:val="left"/>
        </w:tabs>
        <w:numPr>
          <w:ilvl w:val="1"/>
          <w:numId w:val="1116"/>
        </w:numPr>
        <w:rPr>
          <w:rFonts w:ascii="Arial" w:cs="Arial" w:eastAsia="Arial" w:hAnsi="Arial"/>
          <w:sz w:val="18"/>
          <w:szCs w:val="18"/>
          <w:color w:val="auto"/>
        </w:rPr>
      </w:pPr>
      <w:r>
        <w:rPr>
          <w:rFonts w:ascii="Arial" w:cs="Arial" w:eastAsia="Arial" w:hAnsi="Arial"/>
          <w:sz w:val="18"/>
          <w:szCs w:val="18"/>
          <w:color w:val="auto"/>
        </w:rPr>
        <w:t>any amendment or waiver or enter into any document or do any other act or thing permitted by this Clause 37 and any other provision of the Finance Documents; and</w:t>
      </w:r>
    </w:p>
    <w:p>
      <w:pPr>
        <w:spacing w:after="0" w:line="75" w:lineRule="exact"/>
        <w:rPr>
          <w:rFonts w:ascii="Arial" w:cs="Arial" w:eastAsia="Arial" w:hAnsi="Arial"/>
          <w:sz w:val="18"/>
          <w:szCs w:val="18"/>
          <w:color w:val="auto"/>
        </w:rPr>
      </w:pPr>
    </w:p>
    <w:p>
      <w:pPr>
        <w:ind w:left="1964" w:right="160" w:hanging="655"/>
        <w:spacing w:after="0" w:line="342" w:lineRule="auto"/>
        <w:tabs>
          <w:tab w:leader="none" w:pos="1964" w:val="left"/>
        </w:tabs>
        <w:numPr>
          <w:ilvl w:val="1"/>
          <w:numId w:val="1116"/>
        </w:numPr>
        <w:rPr>
          <w:rFonts w:ascii="Arial" w:cs="Arial" w:eastAsia="Arial" w:hAnsi="Arial"/>
          <w:sz w:val="16"/>
          <w:szCs w:val="16"/>
          <w:color w:val="auto"/>
        </w:rPr>
      </w:pPr>
      <w:r>
        <w:rPr>
          <w:rFonts w:ascii="Arial" w:cs="Arial" w:eastAsia="Arial" w:hAnsi="Arial"/>
          <w:sz w:val="16"/>
          <w:szCs w:val="16"/>
          <w:color w:val="auto"/>
        </w:rPr>
        <w:t>pursuant to paragraph (a) of Clause 28.2 (</w:t>
      </w:r>
      <w:r>
        <w:rPr>
          <w:rFonts w:ascii="Arial" w:cs="Arial" w:eastAsia="Arial" w:hAnsi="Arial"/>
          <w:sz w:val="16"/>
          <w:szCs w:val="16"/>
          <w:i w:val="1"/>
          <w:iCs w:val="1"/>
          <w:color w:val="auto"/>
        </w:rPr>
        <w:t>Instructions</w:t>
      </w:r>
      <w:r>
        <w:rPr>
          <w:rFonts w:ascii="Arial" w:cs="Arial" w:eastAsia="Arial" w:hAnsi="Arial"/>
          <w:sz w:val="16"/>
          <w:szCs w:val="16"/>
          <w:color w:val="auto"/>
        </w:rPr>
        <w:t>), any amendment or waiver of, or in respect of, such matters as it determines to be of a minor technical or administrative nature or of a non-credit related nature or to correct a manifest error.</w:t>
      </w:r>
    </w:p>
    <w:p>
      <w:pPr>
        <w:spacing w:after="0" w:line="29" w:lineRule="exact"/>
        <w:rPr>
          <w:rFonts w:ascii="Arial" w:cs="Arial" w:eastAsia="Arial" w:hAnsi="Arial"/>
          <w:sz w:val="16"/>
          <w:szCs w:val="16"/>
          <w:color w:val="auto"/>
        </w:rPr>
      </w:pPr>
    </w:p>
    <w:p>
      <w:pPr>
        <w:ind w:left="1304" w:right="200" w:hanging="535"/>
        <w:spacing w:after="0" w:line="263" w:lineRule="auto"/>
        <w:tabs>
          <w:tab w:leader="none" w:pos="1304" w:val="left"/>
        </w:tabs>
        <w:numPr>
          <w:ilvl w:val="0"/>
          <w:numId w:val="1116"/>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(c) and (d) of Clause 28.6 (</w:t>
      </w:r>
      <w:r>
        <w:rPr>
          <w:rFonts w:ascii="Arial" w:cs="Arial" w:eastAsia="Arial" w:hAnsi="Arial"/>
          <w:sz w:val="18"/>
          <w:szCs w:val="18"/>
          <w:i w:val="1"/>
          <w:iCs w:val="1"/>
          <w:color w:val="auto"/>
        </w:rPr>
        <w:t>Rights and discretions</w:t>
      </w:r>
      <w:r>
        <w:rPr>
          <w:rFonts w:ascii="Arial" w:cs="Arial" w:eastAsia="Arial" w:hAnsi="Arial"/>
          <w:sz w:val="18"/>
          <w:szCs w:val="18"/>
          <w:color w:val="auto"/>
        </w:rPr>
        <w:t>), the Agent may engage, pay for and rely on the services of lawyers in determining the consent level required for and effecting any amendment, waiver of consent under the Finance Documents.</w:t>
      </w:r>
    </w:p>
    <w:p>
      <w:pPr>
        <w:spacing w:after="0" w:line="89" w:lineRule="exact"/>
        <w:rPr>
          <w:rFonts w:ascii="Arial" w:cs="Arial" w:eastAsia="Arial" w:hAnsi="Arial"/>
          <w:sz w:val="18"/>
          <w:szCs w:val="18"/>
          <w:color w:val="auto"/>
        </w:rPr>
      </w:pPr>
    </w:p>
    <w:p>
      <w:pPr>
        <w:ind w:left="1304" w:right="320" w:hanging="535"/>
        <w:spacing w:after="0" w:line="308" w:lineRule="auto"/>
        <w:tabs>
          <w:tab w:leader="none" w:pos="1304" w:val="left"/>
        </w:tabs>
        <w:numPr>
          <w:ilvl w:val="0"/>
          <w:numId w:val="1116"/>
        </w:numPr>
        <w:rPr>
          <w:rFonts w:ascii="Arial" w:cs="Arial" w:eastAsia="Arial" w:hAnsi="Arial"/>
          <w:sz w:val="17"/>
          <w:szCs w:val="17"/>
          <w:color w:val="auto"/>
        </w:rPr>
      </w:pPr>
      <w:r>
        <w:rPr>
          <w:rFonts w:ascii="Arial" w:cs="Arial" w:eastAsia="Arial" w:hAnsi="Arial"/>
          <w:sz w:val="17"/>
          <w:szCs w:val="17"/>
          <w:color w:val="auto"/>
        </w:rPr>
        <w:t>Each Obligor agrees to any such amendment or waiver permitted by this Clause 37 which is agreed to by the Parent, including any amendment or waiver which would, but for this paragraph (d), require the consent of all of the Guarantors.</w:t>
      </w:r>
    </w:p>
    <w:p>
      <w:pPr>
        <w:spacing w:after="0" w:line="29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304" w:hanging="535"/>
        <w:spacing w:after="0"/>
        <w:tabs>
          <w:tab w:leader="none" w:pos="1304" w:val="left"/>
        </w:tabs>
        <w:numPr>
          <w:ilvl w:val="0"/>
          <w:numId w:val="1117"/>
        </w:numPr>
        <w:rPr>
          <w:rFonts w:ascii="Arial" w:cs="Arial" w:eastAsia="Arial" w:hAnsi="Arial"/>
          <w:sz w:val="18"/>
          <w:szCs w:val="18"/>
          <w:color w:val="auto"/>
        </w:rPr>
      </w:pPr>
      <w:r>
        <w:rPr>
          <w:rFonts w:ascii="Arial" w:cs="Arial" w:eastAsia="Arial" w:hAnsi="Arial"/>
          <w:sz w:val="18"/>
          <w:szCs w:val="18"/>
          <w:color w:val="auto"/>
        </w:rPr>
        <w:t>An amendment, consent or waiver that has the effect of changing or which relates to:</w:t>
      </w:r>
    </w:p>
    <w:p>
      <w:pPr>
        <w:spacing w:after="0" w:line="130" w:lineRule="exact"/>
        <w:rPr>
          <w:rFonts w:ascii="Arial" w:cs="Arial" w:eastAsia="Arial" w:hAnsi="Arial"/>
          <w:sz w:val="18"/>
          <w:szCs w:val="18"/>
          <w:color w:val="auto"/>
        </w:rPr>
      </w:pPr>
    </w:p>
    <w:p>
      <w:pPr>
        <w:ind w:left="1964" w:right="500" w:hanging="655"/>
        <w:spacing w:after="0" w:line="277" w:lineRule="auto"/>
        <w:tabs>
          <w:tab w:leader="none" w:pos="1964" w:val="left"/>
        </w:tabs>
        <w:numPr>
          <w:ilvl w:val="1"/>
          <w:numId w:val="1117"/>
        </w:numPr>
        <w:rPr>
          <w:rFonts w:ascii="Arial" w:cs="Arial" w:eastAsia="Arial" w:hAnsi="Arial"/>
          <w:sz w:val="18"/>
          <w:szCs w:val="18"/>
          <w:color w:val="auto"/>
        </w:rPr>
      </w:pPr>
      <w:r>
        <w:rPr>
          <w:rFonts w:ascii="Arial" w:cs="Arial" w:eastAsia="Arial" w:hAnsi="Arial"/>
          <w:sz w:val="18"/>
          <w:szCs w:val="18"/>
          <w:color w:val="auto"/>
        </w:rPr>
        <w:t>the definition of “Change of Control”, “Concession Expiry”, “Land Concession Termination” or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Clause 9.1 (</w:t>
      </w:r>
      <w:r>
        <w:rPr>
          <w:rFonts w:ascii="Arial" w:cs="Arial" w:eastAsia="Arial" w:hAnsi="Arial"/>
          <w:sz w:val="18"/>
          <w:szCs w:val="18"/>
          <w:i w:val="1"/>
          <w:iCs w:val="1"/>
          <w:color w:val="auto"/>
        </w:rPr>
        <w:t>Definitions</w:t>
      </w:r>
      <w:r>
        <w:rPr>
          <w:rFonts w:ascii="Arial" w:cs="Arial" w:eastAsia="Arial" w:hAnsi="Arial"/>
          <w:sz w:val="18"/>
          <w:szCs w:val="18"/>
          <w:color w:val="auto"/>
        </w:rPr>
        <w:t>) and Schedule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964" w:hanging="655"/>
        <w:spacing w:after="0"/>
        <w:tabs>
          <w:tab w:leader="none" w:pos="1964" w:val="left"/>
        </w:tabs>
        <w:numPr>
          <w:ilvl w:val="1"/>
          <w:numId w:val="1117"/>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1117"/>
        </w:numPr>
        <w:rPr>
          <w:rFonts w:ascii="Arial" w:cs="Arial" w:eastAsia="Arial" w:hAnsi="Arial"/>
          <w:sz w:val="17"/>
          <w:szCs w:val="17"/>
          <w:color w:val="auto"/>
        </w:rPr>
      </w:pPr>
      <w:r>
        <w:rPr>
          <w:rFonts w:ascii="Arial" w:cs="Arial" w:eastAsia="Arial" w:hAnsi="Arial"/>
          <w:sz w:val="17"/>
          <w:szCs w:val="17"/>
          <w:color w:val="auto"/>
        </w:rPr>
        <w:t>a reduction in the Margin or a reduction in the amount of any payment of principal, interest, fees or commission payable;</w:t>
      </w:r>
    </w:p>
    <w:p>
      <w:pPr>
        <w:spacing w:after="0" w:line="142" w:lineRule="exact"/>
        <w:rPr>
          <w:rFonts w:ascii="Arial" w:cs="Arial" w:eastAsia="Arial" w:hAnsi="Arial"/>
          <w:sz w:val="17"/>
          <w:szCs w:val="17"/>
          <w:color w:val="auto"/>
        </w:rPr>
      </w:pPr>
    </w:p>
    <w:p>
      <w:pPr>
        <w:ind w:left="1964" w:hanging="655"/>
        <w:spacing w:after="0"/>
        <w:tabs>
          <w:tab w:leader="none" w:pos="1964" w:val="left"/>
        </w:tabs>
        <w:numPr>
          <w:ilvl w:val="1"/>
          <w:numId w:val="1117"/>
        </w:numPr>
        <w:rPr>
          <w:rFonts w:ascii="Arial" w:cs="Arial" w:eastAsia="Arial" w:hAnsi="Arial"/>
          <w:sz w:val="18"/>
          <w:szCs w:val="18"/>
          <w:color w:val="auto"/>
        </w:rPr>
      </w:pPr>
      <w:r>
        <w:rPr>
          <w:rFonts w:ascii="Arial" w:cs="Arial" w:eastAsia="Arial" w:hAnsi="Arial"/>
          <w:sz w:val="18"/>
          <w:szCs w:val="18"/>
          <w:color w:val="auto"/>
        </w:rPr>
        <w:t>a change in currency of payment of any amount under the Finance Documents;</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1117"/>
        </w:numPr>
        <w:rPr>
          <w:rFonts w:ascii="Arial" w:cs="Arial" w:eastAsia="Arial" w:hAnsi="Arial"/>
          <w:sz w:val="18"/>
          <w:szCs w:val="18"/>
          <w:color w:val="auto"/>
        </w:rPr>
      </w:pPr>
      <w:r>
        <w:rPr>
          <w:rFonts w:ascii="Arial" w:cs="Arial" w:eastAsia="Arial" w:hAnsi="Arial"/>
          <w:sz w:val="18"/>
          <w:szCs w:val="18"/>
          <w:color w:val="auto"/>
        </w:rPr>
        <w:t>an increase in or an extension of any Commitment or the Total Commitments;</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1117"/>
        </w:numPr>
        <w:rPr>
          <w:rFonts w:ascii="Arial" w:cs="Arial" w:eastAsia="Arial" w:hAnsi="Arial"/>
          <w:sz w:val="18"/>
          <w:szCs w:val="18"/>
          <w:color w:val="auto"/>
        </w:rPr>
      </w:pPr>
      <w:r>
        <w:rPr>
          <w:rFonts w:ascii="Arial" w:cs="Arial" w:eastAsia="Arial" w:hAnsi="Arial"/>
          <w:sz w:val="18"/>
          <w:szCs w:val="18"/>
          <w:color w:val="auto"/>
        </w:rPr>
        <w:t>a change to the Borrower;</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1117"/>
        </w:numPr>
        <w:rPr>
          <w:rFonts w:ascii="Arial" w:cs="Arial" w:eastAsia="Arial" w:hAnsi="Arial"/>
          <w:sz w:val="18"/>
          <w:szCs w:val="18"/>
          <w:color w:val="auto"/>
        </w:rPr>
      </w:pPr>
      <w:r>
        <w:rPr>
          <w:rFonts w:ascii="Arial" w:cs="Arial" w:eastAsia="Arial" w:hAnsi="Arial"/>
          <w:sz w:val="18"/>
          <w:szCs w:val="18"/>
          <w:color w:val="auto"/>
        </w:rPr>
        <w:t>a change to the Guarantors, other than in accordance with Clause 27 (</w:t>
      </w:r>
      <w:r>
        <w:rPr>
          <w:rFonts w:ascii="Arial" w:cs="Arial" w:eastAsia="Arial" w:hAnsi="Arial"/>
          <w:sz w:val="18"/>
          <w:szCs w:val="18"/>
          <w:i w:val="1"/>
          <w:iCs w:val="1"/>
          <w:color w:val="auto"/>
        </w:rPr>
        <w:t>Changes to the Obligors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1"/>
          <w:numId w:val="1117"/>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w:t>
      </w:r>
    </w:p>
    <w:p>
      <w:pPr>
        <w:spacing w:after="0" w:line="158" w:lineRule="exact"/>
        <w:rPr>
          <w:sz w:val="20"/>
          <w:szCs w:val="20"/>
          <w:color w:val="auto"/>
        </w:rPr>
      </w:pPr>
    </w:p>
    <w:p>
      <w:pPr>
        <w:jc w:val="both"/>
        <w:ind w:left="5444"/>
        <w:spacing w:after="0"/>
        <w:tabs>
          <w:tab w:leader="none" w:pos="8844"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33" w:name="page734"/>
    <w:bookmarkEnd w:id="733"/>
    <w:p>
      <w:pPr>
        <w:ind w:left="1200" w:right="60" w:hanging="655"/>
        <w:spacing w:after="0" w:line="311" w:lineRule="auto"/>
        <w:tabs>
          <w:tab w:leader="none" w:pos="1200" w:val="left"/>
        </w:tabs>
        <w:numPr>
          <w:ilvl w:val="0"/>
          <w:numId w:val="1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Clause 2.3 (</w:t>
      </w:r>
      <w:r>
        <w:rPr>
          <w:rFonts w:ascii="Arial" w:cs="Arial" w:eastAsia="Arial" w:hAnsi="Arial"/>
          <w:sz w:val="16"/>
          <w:szCs w:val="16"/>
          <w:i w:val="1"/>
          <w:iCs w:val="1"/>
          <w:color w:val="auto"/>
        </w:rPr>
        <w:t>Finance Parties’ rights and obligations</w:t>
      </w:r>
      <w:r>
        <w:rPr>
          <w:rFonts w:ascii="Arial" w:cs="Arial" w:eastAsia="Arial" w:hAnsi="Arial"/>
          <w:sz w:val="16"/>
          <w:szCs w:val="16"/>
          <w:color w:val="auto"/>
        </w:rPr>
        <w:t>), Clause 8.1 (</w:t>
      </w:r>
      <w:r>
        <w:rPr>
          <w:rFonts w:ascii="Arial" w:cs="Arial" w:eastAsia="Arial" w:hAnsi="Arial"/>
          <w:sz w:val="16"/>
          <w:szCs w:val="16"/>
          <w:i w:val="1"/>
          <w:iCs w:val="1"/>
          <w:color w:val="auto"/>
        </w:rPr>
        <w:t>Illegality</w:t>
      </w:r>
      <w:r>
        <w:rPr>
          <w:rFonts w:ascii="Arial" w:cs="Arial" w:eastAsia="Arial" w:hAnsi="Arial"/>
          <w:sz w:val="16"/>
          <w:szCs w:val="16"/>
          <w:color w:val="auto"/>
        </w:rPr>
        <w:t>), Clause 9 (</w:t>
      </w:r>
      <w:r>
        <w:rPr>
          <w:rFonts w:ascii="Arial" w:cs="Arial" w:eastAsia="Arial" w:hAnsi="Arial"/>
          <w:sz w:val="16"/>
          <w:szCs w:val="16"/>
          <w:i w:val="1"/>
          <w:iCs w:val="1"/>
          <w:color w:val="auto"/>
        </w:rPr>
        <w:t>Mandatory prepayment</w:t>
      </w:r>
      <w:r>
        <w:rPr>
          <w:rFonts w:ascii="Arial" w:cs="Arial" w:eastAsia="Arial" w:hAnsi="Arial"/>
          <w:sz w:val="16"/>
          <w:szCs w:val="16"/>
          <w:color w:val="auto"/>
        </w:rPr>
        <w:t>) (save for an amendment, waiver or other exercise of any right, power or discretion in respect of Clause 10 (</w:t>
      </w:r>
      <w:r>
        <w:rPr>
          <w:rFonts w:ascii="Arial" w:cs="Arial" w:eastAsia="Arial" w:hAnsi="Arial"/>
          <w:sz w:val="16"/>
          <w:szCs w:val="16"/>
          <w:i w:val="1"/>
          <w:iCs w:val="1"/>
          <w:color w:val="auto"/>
        </w:rPr>
        <w:t>Restrictions</w:t>
      </w:r>
      <w:r>
        <w:rPr>
          <w:rFonts w:ascii="Arial" w:cs="Arial" w:eastAsia="Arial" w:hAnsi="Arial"/>
          <w:sz w:val="16"/>
          <w:szCs w:val="16"/>
          <w:color w:val="auto"/>
        </w:rPr>
        <w:t>)), Clause 25 (</w:t>
      </w:r>
      <w:r>
        <w:rPr>
          <w:rFonts w:ascii="Arial" w:cs="Arial" w:eastAsia="Arial" w:hAnsi="Arial"/>
          <w:sz w:val="16"/>
          <w:szCs w:val="16"/>
          <w:i w:val="1"/>
          <w:iCs w:val="1"/>
          <w:color w:val="auto"/>
        </w:rPr>
        <w:t>Changes to the Lenders</w:t>
      </w:r>
      <w:r>
        <w:rPr>
          <w:rFonts w:ascii="Arial" w:cs="Arial" w:eastAsia="Arial" w:hAnsi="Arial"/>
          <w:sz w:val="16"/>
          <w:szCs w:val="16"/>
          <w:color w:val="auto"/>
        </w:rPr>
        <w:t>), Clause 30 (</w:t>
      </w:r>
      <w:r>
        <w:rPr>
          <w:rFonts w:ascii="Arial" w:cs="Arial" w:eastAsia="Arial" w:hAnsi="Arial"/>
          <w:sz w:val="16"/>
          <w:szCs w:val="16"/>
          <w:i w:val="1"/>
          <w:iCs w:val="1"/>
          <w:color w:val="auto"/>
        </w:rPr>
        <w:t>Sharing among the Finance Parties</w:t>
      </w:r>
      <w:r>
        <w:rPr>
          <w:rFonts w:ascii="Arial" w:cs="Arial" w:eastAsia="Arial" w:hAnsi="Arial"/>
          <w:sz w:val="16"/>
          <w:szCs w:val="16"/>
          <w:color w:val="auto"/>
        </w:rPr>
        <w:t>), Clause 31.6 (</w:t>
      </w:r>
      <w:r>
        <w:rPr>
          <w:rFonts w:ascii="Arial" w:cs="Arial" w:eastAsia="Arial" w:hAnsi="Arial"/>
          <w:sz w:val="16"/>
          <w:szCs w:val="16"/>
          <w:i w:val="1"/>
          <w:iCs w:val="1"/>
          <w:color w:val="auto"/>
        </w:rPr>
        <w:t>Partial payments</w:t>
      </w:r>
      <w:r>
        <w:rPr>
          <w:rFonts w:ascii="Arial" w:cs="Arial" w:eastAsia="Arial" w:hAnsi="Arial"/>
          <w:sz w:val="16"/>
          <w:szCs w:val="16"/>
          <w:color w:val="auto"/>
        </w:rPr>
        <w:t>) or this Clause 37;</w:t>
      </w:r>
    </w:p>
    <w:p>
      <w:pPr>
        <w:spacing w:after="0" w:line="54" w:lineRule="exact"/>
        <w:rPr>
          <w:rFonts w:ascii="Arial" w:cs="Arial" w:eastAsia="Arial" w:hAnsi="Arial"/>
          <w:sz w:val="16"/>
          <w:szCs w:val="16"/>
          <w:color w:val="auto"/>
        </w:rPr>
      </w:pPr>
    </w:p>
    <w:p>
      <w:pPr>
        <w:ind w:left="1200" w:hanging="655"/>
        <w:spacing w:after="0"/>
        <w:tabs>
          <w:tab w:leader="none" w:pos="1200" w:val="left"/>
        </w:tabs>
        <w:numPr>
          <w:ilvl w:val="0"/>
          <w:numId w:val="1118"/>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Clause 20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right="60" w:hanging="655"/>
        <w:spacing w:after="0" w:line="311" w:lineRule="auto"/>
        <w:tabs>
          <w:tab w:leader="none" w:pos="1200" w:val="left"/>
        </w:tabs>
        <w:numPr>
          <w:ilvl w:val="0"/>
          <w:numId w:val="1118"/>
        </w:numPr>
        <w:rPr>
          <w:rFonts w:ascii="Arial" w:cs="Arial" w:eastAsia="Arial" w:hAnsi="Arial"/>
          <w:sz w:val="16"/>
          <w:szCs w:val="16"/>
          <w:color w:val="auto"/>
        </w:rPr>
      </w:pPr>
      <w:r>
        <w:rPr>
          <w:rFonts w:ascii="Arial" w:cs="Arial" w:eastAsia="Arial" w:hAnsi="Arial"/>
          <w:sz w:val="16"/>
          <w:szCs w:val="16"/>
          <w:color w:val="auto"/>
        </w:rPr>
        <w:t>the nature or scope of the Charged Property or the manner in which the proceeds of enforcement of the Transaction Security are distributed (except in each case insofar as it relates to a sale or disposal of an asset which is the subject of the Transaction Security where such sale or disposal is expressly permitted under this Agreement or any other Finance Document);</w:t>
      </w:r>
    </w:p>
    <w:p>
      <w:pPr>
        <w:spacing w:after="0" w:line="54" w:lineRule="exact"/>
        <w:rPr>
          <w:rFonts w:ascii="Arial" w:cs="Arial" w:eastAsia="Arial" w:hAnsi="Arial"/>
          <w:sz w:val="16"/>
          <w:szCs w:val="16"/>
          <w:color w:val="auto"/>
        </w:rPr>
      </w:pPr>
    </w:p>
    <w:p>
      <w:pPr>
        <w:ind w:left="1200" w:right="340" w:hanging="655"/>
        <w:spacing w:after="0" w:line="279" w:lineRule="auto"/>
        <w:tabs>
          <w:tab w:leader="none" w:pos="1200" w:val="left"/>
        </w:tabs>
        <w:numPr>
          <w:ilvl w:val="0"/>
          <w:numId w:val="1118"/>
        </w:numPr>
        <w:rPr>
          <w:rFonts w:ascii="Arial" w:cs="Arial" w:eastAsia="Arial" w:hAnsi="Arial"/>
          <w:sz w:val="17"/>
          <w:szCs w:val="17"/>
          <w:color w:val="auto"/>
        </w:rPr>
      </w:pPr>
      <w:r>
        <w:rPr>
          <w:rFonts w:ascii="Arial" w:cs="Arial" w:eastAsia="Arial" w:hAnsi="Arial"/>
          <w:sz w:val="17"/>
          <w:szCs w:val="17"/>
          <w:color w:val="auto"/>
        </w:rPr>
        <w:t>the release of any guarantee and indemnity granted under Clause 20 (</w:t>
      </w:r>
      <w:r>
        <w:rPr>
          <w:rFonts w:ascii="Arial" w:cs="Arial" w:eastAsia="Arial" w:hAnsi="Arial"/>
          <w:sz w:val="17"/>
          <w:szCs w:val="17"/>
          <w:i w:val="1"/>
          <w:iCs w:val="1"/>
          <w:color w:val="auto"/>
        </w:rPr>
        <w:t>Guarantee and indemnity</w:t>
      </w:r>
      <w:r>
        <w:rPr>
          <w:rFonts w:ascii="Arial" w:cs="Arial" w:eastAsia="Arial" w:hAnsi="Arial"/>
          <w:sz w:val="17"/>
          <w:szCs w:val="17"/>
          <w:color w:val="auto"/>
        </w:rPr>
        <w:t>) or of any Transaction Security unless permitted under this Agreement or any other Finance Document or relating to a sale or disposal or reorganisation of an asset which is the subject of the Transaction Security where such sale or disposal or reorganisation is expressly permitted under this Agreement or any other Finance Document;</w:t>
      </w:r>
    </w:p>
    <w:p>
      <w:pPr>
        <w:spacing w:after="0" w:line="76" w:lineRule="exact"/>
        <w:rPr>
          <w:rFonts w:ascii="Arial" w:cs="Arial" w:eastAsia="Arial" w:hAnsi="Arial"/>
          <w:sz w:val="17"/>
          <w:szCs w:val="17"/>
          <w:color w:val="auto"/>
        </w:rPr>
      </w:pPr>
    </w:p>
    <w:p>
      <w:pPr>
        <w:ind w:left="1200" w:right="80" w:hanging="655"/>
        <w:spacing w:after="0" w:line="277" w:lineRule="auto"/>
        <w:tabs>
          <w:tab w:leader="none" w:pos="1200" w:val="left"/>
        </w:tabs>
        <w:numPr>
          <w:ilvl w:val="0"/>
          <w:numId w:val="1118"/>
        </w:numPr>
        <w:rPr>
          <w:rFonts w:ascii="Arial" w:cs="Arial" w:eastAsia="Arial" w:hAnsi="Arial"/>
          <w:sz w:val="18"/>
          <w:szCs w:val="18"/>
          <w:color w:val="auto"/>
        </w:rPr>
      </w:pPr>
      <w:r>
        <w:rPr>
          <w:rFonts w:ascii="Arial" w:cs="Arial" w:eastAsia="Arial" w:hAnsi="Arial"/>
          <w:sz w:val="18"/>
          <w:szCs w:val="18"/>
          <w:color w:val="auto"/>
        </w:rPr>
        <w:t>any requirement that a cancellation of Commitments (in respect of any Facility) reduces the Commitments of the Lenders (in respect of such Facility) rateably;</w:t>
      </w:r>
    </w:p>
    <w:p>
      <w:pPr>
        <w:spacing w:after="0" w:line="75" w:lineRule="exact"/>
        <w:rPr>
          <w:rFonts w:ascii="Arial" w:cs="Arial" w:eastAsia="Arial" w:hAnsi="Arial"/>
          <w:sz w:val="18"/>
          <w:szCs w:val="18"/>
          <w:color w:val="auto"/>
        </w:rPr>
      </w:pPr>
    </w:p>
    <w:p>
      <w:pPr>
        <w:ind w:left="1200" w:hanging="655"/>
        <w:spacing w:after="0"/>
        <w:tabs>
          <w:tab w:leader="none" w:pos="1200" w:val="left"/>
        </w:tabs>
        <w:numPr>
          <w:ilvl w:val="0"/>
          <w:numId w:val="1118"/>
        </w:numPr>
        <w:rPr>
          <w:rFonts w:ascii="Arial" w:cs="Arial" w:eastAsia="Arial" w:hAnsi="Arial"/>
          <w:sz w:val="18"/>
          <w:szCs w:val="18"/>
          <w:color w:val="auto"/>
        </w:rPr>
      </w:pPr>
      <w:r>
        <w:rPr>
          <w:rFonts w:ascii="Arial" w:cs="Arial" w:eastAsia="Arial" w:hAnsi="Arial"/>
          <w:sz w:val="18"/>
          <w:szCs w:val="18"/>
          <w:color w:val="auto"/>
        </w:rPr>
        <w:t>a change to the governing law or jurisdiction provisions of any Finance Document;</w:t>
      </w:r>
    </w:p>
    <w:p>
      <w:pPr>
        <w:spacing w:after="0" w:line="130" w:lineRule="exact"/>
        <w:rPr>
          <w:rFonts w:ascii="Arial" w:cs="Arial" w:eastAsia="Arial" w:hAnsi="Arial"/>
          <w:sz w:val="18"/>
          <w:szCs w:val="18"/>
          <w:color w:val="auto"/>
        </w:rPr>
      </w:pPr>
    </w:p>
    <w:p>
      <w:pPr>
        <w:ind w:left="1200" w:right="560" w:hanging="655"/>
        <w:spacing w:after="0" w:line="277" w:lineRule="auto"/>
        <w:tabs>
          <w:tab w:leader="none" w:pos="1200" w:val="left"/>
        </w:tabs>
        <w:numPr>
          <w:ilvl w:val="0"/>
          <w:numId w:val="1118"/>
        </w:numPr>
        <w:rPr>
          <w:rFonts w:ascii="Arial" w:cs="Arial" w:eastAsia="Arial" w:hAnsi="Arial"/>
          <w:sz w:val="18"/>
          <w:szCs w:val="18"/>
          <w:color w:val="auto"/>
        </w:rPr>
      </w:pPr>
      <w:r>
        <w:rPr>
          <w:rFonts w:ascii="Arial" w:cs="Arial" w:eastAsia="Arial" w:hAnsi="Arial"/>
          <w:sz w:val="18"/>
          <w:szCs w:val="18"/>
          <w:color w:val="auto"/>
        </w:rPr>
        <w:t>any amendment to the order of priority or subordination under the Intercreditor Agreement or the manner in which the proceeds of enforcement of the Transaction Security are to be distributed; or</w:t>
      </w:r>
    </w:p>
    <w:p>
      <w:pPr>
        <w:spacing w:after="0" w:line="75" w:lineRule="exact"/>
        <w:rPr>
          <w:rFonts w:ascii="Arial" w:cs="Arial" w:eastAsia="Arial" w:hAnsi="Arial"/>
          <w:sz w:val="18"/>
          <w:szCs w:val="18"/>
          <w:color w:val="auto"/>
        </w:rPr>
      </w:pPr>
    </w:p>
    <w:p>
      <w:pPr>
        <w:ind w:left="1200" w:hanging="655"/>
        <w:spacing w:after="0"/>
        <w:tabs>
          <w:tab w:leader="none" w:pos="1200" w:val="left"/>
        </w:tabs>
        <w:numPr>
          <w:ilvl w:val="0"/>
          <w:numId w:val="1118"/>
        </w:numPr>
        <w:rPr>
          <w:rFonts w:ascii="Arial" w:cs="Arial" w:eastAsia="Arial" w:hAnsi="Arial"/>
          <w:sz w:val="18"/>
          <w:szCs w:val="18"/>
          <w:color w:val="auto"/>
        </w:rPr>
      </w:pPr>
      <w:r>
        <w:rPr>
          <w:rFonts w:ascii="Arial" w:cs="Arial" w:eastAsia="Arial" w:hAnsi="Arial"/>
          <w:sz w:val="18"/>
          <w:szCs w:val="18"/>
          <w:color w:val="auto"/>
        </w:rPr>
        <w:t>any amendment to Clause 23.14,</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shall not be made without the prior consent of all the Lenders.</w:t>
      </w:r>
    </w:p>
    <w:p>
      <w:pPr>
        <w:spacing w:after="0" w:line="131" w:lineRule="exact"/>
        <w:rPr>
          <w:sz w:val="20"/>
          <w:szCs w:val="20"/>
          <w:color w:val="auto"/>
        </w:rPr>
      </w:pPr>
    </w:p>
    <w:p>
      <w:pPr>
        <w:ind w:left="540" w:right="420" w:hanging="535"/>
        <w:spacing w:after="0" w:line="308" w:lineRule="auto"/>
        <w:tabs>
          <w:tab w:leader="none" w:pos="540" w:val="left"/>
        </w:tabs>
        <w:numPr>
          <w:ilvl w:val="0"/>
          <w:numId w:val="1119"/>
        </w:numPr>
        <w:rPr>
          <w:rFonts w:ascii="Arial" w:cs="Arial" w:eastAsia="Arial" w:hAnsi="Arial"/>
          <w:sz w:val="17"/>
          <w:szCs w:val="17"/>
          <w:color w:val="auto"/>
        </w:rPr>
      </w:pPr>
      <w:r>
        <w:rPr>
          <w:rFonts w:ascii="Arial" w:cs="Arial" w:eastAsia="Arial" w:hAnsi="Arial"/>
          <w:sz w:val="17"/>
          <w:szCs w:val="17"/>
          <w:color w:val="auto"/>
        </w:rPr>
        <w:t>The Transaction Security Documents may be amended, varied, waived or modified with the agreement of the relevant Obligor or Security Provider and the Common Security Agent (acting in accordance with the Intercreditor Agreement).</w:t>
      </w:r>
    </w:p>
    <w:p>
      <w:pPr>
        <w:spacing w:after="0" w:line="51" w:lineRule="exact"/>
        <w:rPr>
          <w:rFonts w:ascii="Arial" w:cs="Arial" w:eastAsia="Arial" w:hAnsi="Arial"/>
          <w:sz w:val="17"/>
          <w:szCs w:val="17"/>
          <w:color w:val="auto"/>
        </w:rPr>
      </w:pPr>
    </w:p>
    <w:p>
      <w:pPr>
        <w:ind w:left="540" w:right="40" w:hanging="535"/>
        <w:spacing w:after="0" w:line="263" w:lineRule="auto"/>
        <w:tabs>
          <w:tab w:leader="none" w:pos="540" w:val="left"/>
        </w:tabs>
        <w:numPr>
          <w:ilvl w:val="0"/>
          <w:numId w:val="1119"/>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the POA Agent, any Ancillary Lender or the Common Security Agent may not be effected without the consent of the Agent, the POA Agent, that Ancillary Lender or the Common Security Agent (as applicable).</w:t>
      </w:r>
    </w:p>
    <w:p>
      <w:pPr>
        <w:spacing w:after="0" w:line="89" w:lineRule="exact"/>
        <w:rPr>
          <w:rFonts w:ascii="Arial" w:cs="Arial" w:eastAsia="Arial" w:hAnsi="Arial"/>
          <w:sz w:val="18"/>
          <w:szCs w:val="18"/>
          <w:color w:val="auto"/>
        </w:rPr>
      </w:pPr>
    </w:p>
    <w:p>
      <w:pPr>
        <w:ind w:left="540" w:hanging="535"/>
        <w:spacing w:after="0"/>
        <w:tabs>
          <w:tab w:leader="none" w:pos="540" w:val="left"/>
        </w:tabs>
        <w:numPr>
          <w:ilvl w:val="0"/>
          <w:numId w:val="1119"/>
        </w:numPr>
        <w:rPr>
          <w:rFonts w:ascii="Arial" w:cs="Arial" w:eastAsia="Arial" w:hAnsi="Arial"/>
          <w:sz w:val="18"/>
          <w:szCs w:val="18"/>
          <w:color w:val="auto"/>
        </w:rPr>
      </w:pPr>
      <w:r>
        <w:rPr>
          <w:rFonts w:ascii="Arial" w:cs="Arial" w:eastAsia="Arial" w:hAnsi="Arial"/>
          <w:sz w:val="18"/>
          <w:szCs w:val="18"/>
          <w:color w:val="auto"/>
        </w:rPr>
        <w:t>Any amendment or waiver which:</w:t>
      </w:r>
    </w:p>
    <w:p>
      <w:pPr>
        <w:spacing w:after="0" w:line="130" w:lineRule="exact"/>
        <w:rPr>
          <w:rFonts w:ascii="Arial" w:cs="Arial" w:eastAsia="Arial" w:hAnsi="Arial"/>
          <w:sz w:val="18"/>
          <w:szCs w:val="18"/>
          <w:color w:val="auto"/>
        </w:rPr>
      </w:pPr>
    </w:p>
    <w:p>
      <w:pPr>
        <w:ind w:left="1200" w:hanging="655"/>
        <w:spacing w:after="0"/>
        <w:tabs>
          <w:tab w:leader="none" w:pos="1200" w:val="left"/>
        </w:tabs>
        <w:numPr>
          <w:ilvl w:val="1"/>
          <w:numId w:val="1119"/>
        </w:numPr>
        <w:rPr>
          <w:rFonts w:ascii="Arial" w:cs="Arial" w:eastAsia="Arial" w:hAnsi="Arial"/>
          <w:sz w:val="18"/>
          <w:szCs w:val="18"/>
          <w:color w:val="auto"/>
        </w:rPr>
      </w:pPr>
      <w:r>
        <w:rPr>
          <w:rFonts w:ascii="Arial" w:cs="Arial" w:eastAsia="Arial" w:hAnsi="Arial"/>
          <w:sz w:val="18"/>
          <w:szCs w:val="18"/>
          <w:color w:val="auto"/>
        </w:rPr>
        <w:t>relates only to the rights or obligations applicable to a particular class of Lender(s) or group of Lenders; and</w:t>
      </w:r>
    </w:p>
    <w:p>
      <w:pPr>
        <w:spacing w:after="0" w:line="130" w:lineRule="exact"/>
        <w:rPr>
          <w:rFonts w:ascii="Arial" w:cs="Arial" w:eastAsia="Arial" w:hAnsi="Arial"/>
          <w:sz w:val="18"/>
          <w:szCs w:val="18"/>
          <w:color w:val="auto"/>
        </w:rPr>
      </w:pPr>
    </w:p>
    <w:p>
      <w:pPr>
        <w:ind w:left="1200" w:right="280" w:hanging="655"/>
        <w:spacing w:after="0" w:line="277" w:lineRule="auto"/>
        <w:tabs>
          <w:tab w:leader="none" w:pos="1200" w:val="left"/>
        </w:tabs>
        <w:numPr>
          <w:ilvl w:val="1"/>
          <w:numId w:val="1119"/>
        </w:numPr>
        <w:rPr>
          <w:rFonts w:ascii="Arial" w:cs="Arial" w:eastAsia="Arial" w:hAnsi="Arial"/>
          <w:sz w:val="18"/>
          <w:szCs w:val="18"/>
          <w:color w:val="auto"/>
        </w:rPr>
      </w:pPr>
      <w:r>
        <w:rPr>
          <w:rFonts w:ascii="Arial" w:cs="Arial" w:eastAsia="Arial" w:hAnsi="Arial"/>
          <w:sz w:val="18"/>
          <w:szCs w:val="18"/>
          <w:color w:val="auto"/>
        </w:rPr>
        <w:t>would not reasonably be expected to materially and adversely affect the rights or interests of Lenders in respect of another class or group of Lender(s),</w:t>
      </w:r>
    </w:p>
    <w:p>
      <w:pPr>
        <w:spacing w:after="0" w:line="62"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color w:val="auto"/>
        </w:rPr>
        <w:t>may be made in accordance with this Clause 37 but as if references in this Clause 37 to the specified proportion of Lenders (including, for the avoidance of doubt, all the Lenders) whose consent would, but for this paragraph (d), be required for that amendment or waiver were to that proportion of the Lenders participating in forming part of that particular class.</w:t>
      </w:r>
    </w:p>
    <w:p>
      <w:pPr>
        <w:spacing w:after="0" w:line="98" w:lineRule="exact"/>
        <w:rPr>
          <w:sz w:val="20"/>
          <w:szCs w:val="20"/>
          <w:color w:val="auto"/>
        </w:rPr>
      </w:pPr>
    </w:p>
    <w:p>
      <w:pPr>
        <w:jc w:val="both"/>
        <w:ind w:left="4680"/>
        <w:spacing w:after="0"/>
        <w:tabs>
          <w:tab w:leader="none" w:pos="80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34" w:name="page735"/>
    <w:bookmarkEnd w:id="734"/>
    <w:p>
      <w:pPr>
        <w:ind w:left="1300" w:right="140" w:hanging="535"/>
        <w:spacing w:after="0" w:line="311" w:lineRule="auto"/>
        <w:tabs>
          <w:tab w:leader="none" w:pos="1300" w:val="left"/>
        </w:tabs>
        <w:numPr>
          <w:ilvl w:val="0"/>
          <w:numId w:val="1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amendment, consent or waiver which relates to a prepayment to a Lender which is required under Clause 8.1 (</w:t>
      </w:r>
      <w:r>
        <w:rPr>
          <w:rFonts w:ascii="Arial" w:cs="Arial" w:eastAsia="Arial" w:hAnsi="Arial"/>
          <w:sz w:val="16"/>
          <w:szCs w:val="16"/>
          <w:i w:val="1"/>
          <w:iCs w:val="1"/>
          <w:color w:val="auto"/>
        </w:rPr>
        <w:t>Illegality</w:t>
      </w:r>
      <w:r>
        <w:rPr>
          <w:rFonts w:ascii="Arial" w:cs="Arial" w:eastAsia="Arial" w:hAnsi="Arial"/>
          <w:sz w:val="16"/>
          <w:szCs w:val="16"/>
          <w:color w:val="auto"/>
        </w:rPr>
        <w:t>) or paragraph (a) of Clause 9.2 (</w:t>
      </w:r>
      <w:r>
        <w:rPr>
          <w:rFonts w:ascii="Arial" w:cs="Arial" w:eastAsia="Arial" w:hAnsi="Arial"/>
          <w:sz w:val="16"/>
          <w:szCs w:val="16"/>
          <w:i w:val="1"/>
          <w:iCs w:val="1"/>
          <w:color w:val="auto"/>
        </w:rPr>
        <w:t>Change of Control, Concession-Related Mandatory Prepayment Event and Disposal Prepayment Event</w:t>
      </w:r>
      <w:r>
        <w:rPr>
          <w:rFonts w:ascii="Arial" w:cs="Arial" w:eastAsia="Arial" w:hAnsi="Arial"/>
          <w:sz w:val="16"/>
          <w:szCs w:val="16"/>
          <w:color w:val="auto"/>
        </w:rPr>
        <w:t>) shall only require the consent of the Borrower and the Lender to which that amount has become payable under such provision.</w:t>
      </w:r>
    </w:p>
    <w:p>
      <w:pPr>
        <w:spacing w:after="0" w:line="2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6"/>
          <w:szCs w:val="16"/>
          <w:b w:val="1"/>
          <w:bCs w:val="1"/>
          <w:color w:val="auto"/>
        </w:rPr>
        <w:t>Disenfranchisement of Conflicted Lenders, Defaulting Lenders and Non-Responding Lenders</w:t>
      </w:r>
    </w:p>
    <w:p>
      <w:pPr>
        <w:spacing w:after="0" w:line="135" w:lineRule="exact"/>
        <w:rPr>
          <w:sz w:val="20"/>
          <w:szCs w:val="20"/>
          <w:color w:val="auto"/>
        </w:rPr>
      </w:pPr>
    </w:p>
    <w:p>
      <w:pPr>
        <w:ind w:left="1300" w:right="160" w:hanging="535"/>
        <w:spacing w:after="0" w:line="257" w:lineRule="auto"/>
        <w:tabs>
          <w:tab w:leader="none" w:pos="1300" w:val="left"/>
        </w:tabs>
        <w:numPr>
          <w:ilvl w:val="0"/>
          <w:numId w:val="1121"/>
        </w:numPr>
        <w:rPr>
          <w:rFonts w:ascii="Arial" w:cs="Arial" w:eastAsia="Arial" w:hAnsi="Arial"/>
          <w:sz w:val="18"/>
          <w:szCs w:val="18"/>
          <w:color w:val="auto"/>
        </w:rPr>
      </w:pPr>
      <w:r>
        <w:rPr>
          <w:rFonts w:ascii="Arial" w:cs="Arial" w:eastAsia="Arial" w:hAnsi="Arial"/>
          <w:sz w:val="18"/>
          <w:szCs w:val="18"/>
          <w:color w:val="auto"/>
        </w:rPr>
        <w:t>In ascertaining the Majority Lenders or whether any given percentage (including, for the avoidance of doubt, unanimity) of the Total Commitments or Total Revolving Credit Facility Commitments and/or participations in the Facility A Loan has been obtained to approve any request for a consent, waiver, amendment or other vote under the Finance Documents, the Commitments and participations of any Conflicted Lender, any Defaulting Lender or any Non-Responding Lender will be deemed to be zero and its status as a Lender ignored.</w:t>
      </w:r>
    </w:p>
    <w:p>
      <w:pPr>
        <w:spacing w:after="0" w:line="93" w:lineRule="exact"/>
        <w:rPr>
          <w:rFonts w:ascii="Arial" w:cs="Arial" w:eastAsia="Arial" w:hAnsi="Arial"/>
          <w:sz w:val="18"/>
          <w:szCs w:val="18"/>
          <w:color w:val="auto"/>
        </w:rPr>
      </w:pPr>
    </w:p>
    <w:p>
      <w:pPr>
        <w:ind w:left="1300" w:right="120" w:hanging="535"/>
        <w:spacing w:after="0" w:line="277" w:lineRule="auto"/>
        <w:tabs>
          <w:tab w:leader="none" w:pos="1300" w:val="left"/>
        </w:tabs>
        <w:numPr>
          <w:ilvl w:val="0"/>
          <w:numId w:val="1121"/>
        </w:numPr>
        <w:rPr>
          <w:rFonts w:ascii="Arial" w:cs="Arial" w:eastAsia="Arial" w:hAnsi="Arial"/>
          <w:sz w:val="18"/>
          <w:szCs w:val="18"/>
          <w:color w:val="auto"/>
        </w:rPr>
      </w:pPr>
      <w:r>
        <w:rPr>
          <w:rFonts w:ascii="Arial" w:cs="Arial" w:eastAsia="Arial" w:hAnsi="Arial"/>
          <w:sz w:val="18"/>
          <w:szCs w:val="18"/>
          <w:color w:val="auto"/>
        </w:rPr>
        <w:t>For the purposes of this Clause 37.4, the Agent may assume that the following Lenders are Conflicted Lenders or Defaulting Lenders (as applicable):</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1121"/>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Conflicted Lender or Defaulting Lender;</w:t>
      </w:r>
    </w:p>
    <w:p>
      <w:pPr>
        <w:spacing w:after="0" w:line="130" w:lineRule="exact"/>
        <w:rPr>
          <w:rFonts w:ascii="Arial" w:cs="Arial" w:eastAsia="Arial" w:hAnsi="Arial"/>
          <w:sz w:val="18"/>
          <w:szCs w:val="18"/>
          <w:color w:val="auto"/>
        </w:rPr>
      </w:pPr>
    </w:p>
    <w:p>
      <w:pPr>
        <w:ind w:left="1960" w:right="180" w:hanging="655"/>
        <w:spacing w:after="0" w:line="277" w:lineRule="auto"/>
        <w:tabs>
          <w:tab w:leader="none" w:pos="1960" w:val="left"/>
        </w:tabs>
        <w:numPr>
          <w:ilvl w:val="1"/>
          <w:numId w:val="1121"/>
        </w:numPr>
        <w:rPr>
          <w:rFonts w:ascii="Arial" w:cs="Arial" w:eastAsia="Arial" w:hAnsi="Arial"/>
          <w:sz w:val="18"/>
          <w:szCs w:val="18"/>
          <w:color w:val="auto"/>
        </w:rPr>
      </w:pPr>
      <w:r>
        <w:rPr>
          <w:rFonts w:ascii="Arial" w:cs="Arial" w:eastAsia="Arial" w:hAnsi="Arial"/>
          <w:sz w:val="18"/>
          <w:szCs w:val="18"/>
          <w:color w:val="auto"/>
        </w:rPr>
        <w:t>any Lender in relation to which it is aware that any of the events or circumstances referred to in paragraphs (a), (b) or (c) of the definition of “Defaulting Lender”,</w:t>
      </w:r>
    </w:p>
    <w:p>
      <w:pPr>
        <w:spacing w:after="0" w:line="62" w:lineRule="exact"/>
        <w:rPr>
          <w:sz w:val="20"/>
          <w:szCs w:val="20"/>
          <w:color w:val="auto"/>
        </w:rPr>
      </w:pPr>
    </w:p>
    <w:p>
      <w:pPr>
        <w:ind w:left="1320" w:right="160"/>
        <w:spacing w:after="0" w:line="342" w:lineRule="auto"/>
        <w:rPr>
          <w:sz w:val="20"/>
          <w:szCs w:val="20"/>
          <w:color w:val="auto"/>
        </w:rPr>
      </w:pPr>
      <w:r>
        <w:rPr>
          <w:rFonts w:ascii="Arial" w:cs="Arial" w:eastAsia="Arial" w:hAnsi="Arial"/>
          <w:sz w:val="16"/>
          <w:szCs w:val="16"/>
          <w:color w:val="auto"/>
        </w:rPr>
        <w:t>unless it has received notice to the contrary from the Lender concerned (together with any supporting evidence reasonably requested by the Agent) or the Agent is otherwise aware that the Lender has ceased to be a Conflicted Lender or a Defaulting Lender.</w:t>
      </w:r>
    </w:p>
    <w:p>
      <w:pPr>
        <w:spacing w:after="0" w:line="2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5"/>
          <w:szCs w:val="15"/>
          <w:b w:val="1"/>
          <w:bCs w:val="1"/>
          <w:color w:val="auto"/>
        </w:rPr>
        <w:t>Replaceable Lenders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Subject to clause 3.2 (</w:t>
      </w:r>
      <w:r>
        <w:rPr>
          <w:rFonts w:ascii="Arial" w:cs="Arial" w:eastAsia="Arial" w:hAnsi="Arial"/>
          <w:sz w:val="16"/>
          <w:szCs w:val="16"/>
          <w:i w:val="1"/>
          <w:iCs w:val="1"/>
          <w:color w:val="auto"/>
        </w:rPr>
        <w:t>Rolled Loan – restrictions</w:t>
      </w:r>
      <w:r>
        <w:rPr>
          <w:rFonts w:ascii="Arial" w:cs="Arial" w:eastAsia="Arial" w:hAnsi="Arial"/>
          <w:sz w:val="16"/>
          <w:szCs w:val="16"/>
          <w:color w:val="auto"/>
        </w:rPr>
        <w:t>) of the Intercreditor Agreement, if at any time a Lender has become and continues to be a</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Replaceable Lender, the Borrower may by giving 10 Business Days’ prior written notice to the Agent and such Lender:</w:t>
      </w:r>
    </w:p>
    <w:p>
      <w:pPr>
        <w:spacing w:after="0" w:line="116" w:lineRule="exact"/>
        <w:rPr>
          <w:sz w:val="20"/>
          <w:szCs w:val="20"/>
          <w:color w:val="auto"/>
        </w:rPr>
      </w:pPr>
    </w:p>
    <w:p>
      <w:pPr>
        <w:ind w:left="1300" w:right="220" w:hanging="535"/>
        <w:spacing w:after="0" w:line="270" w:lineRule="auto"/>
        <w:tabs>
          <w:tab w:leader="none" w:pos="1300" w:val="left"/>
        </w:tabs>
        <w:numPr>
          <w:ilvl w:val="0"/>
          <w:numId w:val="1122"/>
        </w:numPr>
        <w:rPr>
          <w:rFonts w:ascii="Arial" w:cs="Arial" w:eastAsia="Arial" w:hAnsi="Arial"/>
          <w:sz w:val="17"/>
          <w:szCs w:val="17"/>
          <w:color w:val="auto"/>
        </w:rPr>
      </w:pPr>
      <w:r>
        <w:rPr>
          <w:rFonts w:ascii="Arial" w:cs="Arial" w:eastAsia="Arial" w:hAnsi="Arial"/>
          <w:sz w:val="17"/>
          <w:szCs w:val="17"/>
          <w:color w:val="auto"/>
        </w:rPr>
        <w:t>replace such Lender by requiring such Lender to (and, to the extent permitted by law, such Lender shall) transfer pursuant to Clause 25 (</w:t>
      </w:r>
      <w:r>
        <w:rPr>
          <w:rFonts w:ascii="Arial" w:cs="Arial" w:eastAsia="Arial" w:hAnsi="Arial"/>
          <w:sz w:val="17"/>
          <w:szCs w:val="17"/>
          <w:i w:val="1"/>
          <w:iCs w:val="1"/>
          <w:color w:val="auto"/>
        </w:rPr>
        <w:t>Changes to the Lenders</w:t>
      </w:r>
      <w:r>
        <w:rPr>
          <w:rFonts w:ascii="Arial" w:cs="Arial" w:eastAsia="Arial" w:hAnsi="Arial"/>
          <w:sz w:val="17"/>
          <w:szCs w:val="17"/>
          <w:color w:val="auto"/>
        </w:rPr>
        <w:t>) all (and not part only) of its rights and obligations under this Agreement to a Lender or other bank, financial institution, trust, fund or other entity (other than a member of the Group) (a “</w:t>
      </w:r>
      <w:r>
        <w:rPr>
          <w:rFonts w:ascii="Arial" w:cs="Arial" w:eastAsia="Arial" w:hAnsi="Arial"/>
          <w:sz w:val="17"/>
          <w:szCs w:val="17"/>
          <w:b w:val="1"/>
          <w:bCs w:val="1"/>
          <w:color w:val="auto"/>
        </w:rPr>
        <w:t>Replacement Lender</w:t>
      </w:r>
      <w:r>
        <w:rPr>
          <w:rFonts w:ascii="Arial" w:cs="Arial" w:eastAsia="Arial" w:hAnsi="Arial"/>
          <w:sz w:val="17"/>
          <w:szCs w:val="17"/>
          <w:color w:val="auto"/>
        </w:rPr>
        <w:t>”) selected by the Borrower which confirms its willingness to assume and does assume all the obligations or all the relevant obligations of the transferring Lender in accordance with Clause 25 (</w:t>
      </w:r>
      <w:r>
        <w:rPr>
          <w:rFonts w:ascii="Arial" w:cs="Arial" w:eastAsia="Arial" w:hAnsi="Arial"/>
          <w:sz w:val="17"/>
          <w:szCs w:val="17"/>
          <w:i w:val="1"/>
          <w:iCs w:val="1"/>
          <w:color w:val="auto"/>
        </w:rPr>
        <w:t>Changes to the Lenders</w:t>
      </w:r>
      <w:r>
        <w:rPr>
          <w:rFonts w:ascii="Arial" w:cs="Arial" w:eastAsia="Arial" w:hAnsi="Arial"/>
          <w:sz w:val="17"/>
          <w:szCs w:val="17"/>
          <w:color w:val="auto"/>
        </w:rPr>
        <w:t>) (including the assumption of the transferring Lender’s participations or unfunded participations (as the case may be) on the same basis as the transferring Lender) for a purchase price in cash payable at the time of transfer in an amount equal to the outstanding principal amount of such Lender’s participation in the outstanding Utilisations and all accrued interest and Break Costs and other amounts payable in relation thereto under the Finance Documents (without other premium or penalty); or</w:t>
      </w:r>
    </w:p>
    <w:p>
      <w:pPr>
        <w:spacing w:after="0" w:line="113" w:lineRule="exact"/>
        <w:rPr>
          <w:sz w:val="20"/>
          <w:szCs w:val="20"/>
          <w:color w:val="auto"/>
        </w:rPr>
      </w:pPr>
    </w:p>
    <w:p>
      <w:pPr>
        <w:jc w:val="both"/>
        <w:ind w:left="5440"/>
        <w:spacing w:after="0"/>
        <w:tabs>
          <w:tab w:leader="none" w:pos="88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35" w:name="page736"/>
    <w:bookmarkEnd w:id="735"/>
    <w:p>
      <w:pPr>
        <w:ind w:left="1300" w:right="20" w:hanging="535"/>
        <w:spacing w:after="0" w:line="296" w:lineRule="auto"/>
        <w:tabs>
          <w:tab w:leader="none" w:pos="1300" w:val="left"/>
        </w:tabs>
        <w:numPr>
          <w:ilvl w:val="0"/>
          <w:numId w:val="1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Replaceable Lender other than an Illegal Lender) give the Agent notice of the cancellation of the Commitment(s) of that Replaceable Lender and its intention to procure the prepayment of that Replaceable Lender’s participation in the Revolving Facility Loan(s) (a “</w:t>
      </w:r>
      <w:r>
        <w:rPr>
          <w:rFonts w:ascii="Arial" w:cs="Arial" w:eastAsia="Arial" w:hAnsi="Arial"/>
          <w:sz w:val="16"/>
          <w:szCs w:val="16"/>
          <w:b w:val="1"/>
          <w:bCs w:val="1"/>
          <w:color w:val="auto"/>
        </w:rPr>
        <w:t>Cancellation Notice</w:t>
      </w:r>
      <w:r>
        <w:rPr>
          <w:rFonts w:ascii="Arial" w:cs="Arial" w:eastAsia="Arial" w:hAnsi="Arial"/>
          <w:sz w:val="16"/>
          <w:szCs w:val="16"/>
          <w:color w:val="auto"/>
        </w:rPr>
        <w:t>”) subject to the payment of any fees, costs, expenses then due and payable under the Finance Documents to that Replaceable Lender, provided that such Cancellation Notice is note delivered to the Agent later than 60 days after the date on which the Borrower first became aware that such Lender become a Replaceable Lender.</w:t>
      </w:r>
    </w:p>
    <w:p>
      <w:pPr>
        <w:spacing w:after="0" w:line="30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6"/>
          <w:szCs w:val="16"/>
          <w:b w:val="1"/>
          <w:bCs w:val="1"/>
          <w:color w:val="auto"/>
        </w:rPr>
        <w:t>Conditions of replacement of a Replaceable Lender</w:t>
      </w:r>
    </w:p>
    <w:p>
      <w:pPr>
        <w:spacing w:after="0" w:line="135" w:lineRule="exact"/>
        <w:rPr>
          <w:sz w:val="20"/>
          <w:szCs w:val="20"/>
          <w:color w:val="auto"/>
        </w:rPr>
      </w:pPr>
    </w:p>
    <w:p>
      <w:pPr>
        <w:ind w:left="1300" w:right="200" w:hanging="535"/>
        <w:spacing w:after="0" w:line="277" w:lineRule="auto"/>
        <w:tabs>
          <w:tab w:leader="none" w:pos="1300" w:val="left"/>
        </w:tabs>
        <w:numPr>
          <w:ilvl w:val="0"/>
          <w:numId w:val="1124"/>
        </w:numPr>
        <w:rPr>
          <w:rFonts w:ascii="Arial" w:cs="Arial" w:eastAsia="Arial" w:hAnsi="Arial"/>
          <w:sz w:val="18"/>
          <w:szCs w:val="18"/>
          <w:color w:val="auto"/>
        </w:rPr>
      </w:pPr>
      <w:r>
        <w:rPr>
          <w:rFonts w:ascii="Arial" w:cs="Arial" w:eastAsia="Arial" w:hAnsi="Arial"/>
          <w:sz w:val="18"/>
          <w:szCs w:val="18"/>
          <w:color w:val="auto"/>
        </w:rPr>
        <w:t>Any transfer of rights and obligations of a Replaceable Lender pursuant to paragraph (a) of Clause 37.5 (</w:t>
      </w:r>
      <w:r>
        <w:rPr>
          <w:rFonts w:ascii="Arial" w:cs="Arial" w:eastAsia="Arial" w:hAnsi="Arial"/>
          <w:sz w:val="18"/>
          <w:szCs w:val="18"/>
          <w:i w:val="1"/>
          <w:iCs w:val="1"/>
          <w:color w:val="auto"/>
        </w:rPr>
        <w:t>Replaceable Lenders</w:t>
      </w:r>
      <w:r>
        <w:rPr>
          <w:rFonts w:ascii="Arial" w:cs="Arial" w:eastAsia="Arial" w:hAnsi="Arial"/>
          <w:sz w:val="18"/>
          <w:szCs w:val="18"/>
          <w:color w:val="auto"/>
        </w:rPr>
        <w:t>) shall be subject to the following conditions:</w:t>
      </w:r>
    </w:p>
    <w:p>
      <w:pPr>
        <w:spacing w:after="0" w:line="75" w:lineRule="exact"/>
        <w:rPr>
          <w:rFonts w:ascii="Arial" w:cs="Arial" w:eastAsia="Arial" w:hAnsi="Arial"/>
          <w:sz w:val="18"/>
          <w:szCs w:val="18"/>
          <w:color w:val="auto"/>
        </w:rPr>
      </w:pPr>
    </w:p>
    <w:p>
      <w:pPr>
        <w:ind w:left="1960" w:hanging="655"/>
        <w:spacing w:after="0"/>
        <w:tabs>
          <w:tab w:leader="none" w:pos="1960" w:val="left"/>
        </w:tabs>
        <w:numPr>
          <w:ilvl w:val="1"/>
          <w:numId w:val="1124"/>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 Common Security Agent or the POA Agent;</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24"/>
        </w:numPr>
        <w:rPr>
          <w:rFonts w:ascii="Arial" w:cs="Arial" w:eastAsia="Arial" w:hAnsi="Arial"/>
          <w:sz w:val="17"/>
          <w:szCs w:val="17"/>
          <w:color w:val="auto"/>
        </w:rPr>
      </w:pPr>
      <w:r>
        <w:rPr>
          <w:rFonts w:ascii="Arial" w:cs="Arial" w:eastAsia="Arial" w:hAnsi="Arial"/>
          <w:sz w:val="17"/>
          <w:szCs w:val="17"/>
          <w:color w:val="auto"/>
        </w:rPr>
        <w:t>neither the Agent nor the Replaceable Lender shall have any obligation to the Borrower to find a Replacement Lender;</w:t>
      </w:r>
    </w:p>
    <w:p>
      <w:pPr>
        <w:spacing w:after="0" w:line="142" w:lineRule="exact"/>
        <w:rPr>
          <w:rFonts w:ascii="Arial" w:cs="Arial" w:eastAsia="Arial" w:hAnsi="Arial"/>
          <w:sz w:val="17"/>
          <w:szCs w:val="17"/>
          <w:color w:val="auto"/>
        </w:rPr>
      </w:pPr>
    </w:p>
    <w:p>
      <w:pPr>
        <w:ind w:left="1960" w:right="200" w:hanging="655"/>
        <w:spacing w:after="0" w:line="277" w:lineRule="auto"/>
        <w:tabs>
          <w:tab w:leader="none" w:pos="1960" w:val="left"/>
        </w:tabs>
        <w:numPr>
          <w:ilvl w:val="1"/>
          <w:numId w:val="1124"/>
        </w:numPr>
        <w:rPr>
          <w:rFonts w:ascii="Arial" w:cs="Arial" w:eastAsia="Arial" w:hAnsi="Arial"/>
          <w:sz w:val="18"/>
          <w:szCs w:val="18"/>
          <w:color w:val="auto"/>
        </w:rPr>
      </w:pPr>
      <w:r>
        <w:rPr>
          <w:rFonts w:ascii="Arial" w:cs="Arial" w:eastAsia="Arial" w:hAnsi="Arial"/>
          <w:sz w:val="18"/>
          <w:szCs w:val="18"/>
          <w:color w:val="auto"/>
        </w:rPr>
        <w:t>the transfer must take place no later than 60 days after the date on which the Borrower first became aware that such Lender become a Replaceable Lender;</w:t>
      </w:r>
    </w:p>
    <w:p>
      <w:pPr>
        <w:spacing w:after="0" w:line="75" w:lineRule="exact"/>
        <w:rPr>
          <w:rFonts w:ascii="Arial" w:cs="Arial" w:eastAsia="Arial" w:hAnsi="Arial"/>
          <w:sz w:val="18"/>
          <w:szCs w:val="18"/>
          <w:color w:val="auto"/>
        </w:rPr>
      </w:pPr>
    </w:p>
    <w:p>
      <w:pPr>
        <w:ind w:left="1960" w:right="120" w:hanging="655"/>
        <w:spacing w:after="0" w:line="277" w:lineRule="auto"/>
        <w:tabs>
          <w:tab w:leader="none" w:pos="1960" w:val="left"/>
        </w:tabs>
        <w:numPr>
          <w:ilvl w:val="1"/>
          <w:numId w:val="1124"/>
        </w:numPr>
        <w:rPr>
          <w:rFonts w:ascii="Arial" w:cs="Arial" w:eastAsia="Arial" w:hAnsi="Arial"/>
          <w:sz w:val="18"/>
          <w:szCs w:val="18"/>
          <w:color w:val="auto"/>
        </w:rPr>
      </w:pPr>
      <w:r>
        <w:rPr>
          <w:rFonts w:ascii="Arial" w:cs="Arial" w:eastAsia="Arial" w:hAnsi="Arial"/>
          <w:sz w:val="18"/>
          <w:szCs w:val="18"/>
          <w:color w:val="auto"/>
        </w:rPr>
        <w:t>in no event shall the Replaceable Lender be required to pay or surrender to the Replacement Lender any of the fees received by such Replaceable Lender pursuant to the Finance Documents;</w:t>
      </w:r>
    </w:p>
    <w:p>
      <w:pPr>
        <w:spacing w:after="0" w:line="75" w:lineRule="exact"/>
        <w:rPr>
          <w:rFonts w:ascii="Arial" w:cs="Arial" w:eastAsia="Arial" w:hAnsi="Arial"/>
          <w:sz w:val="18"/>
          <w:szCs w:val="18"/>
          <w:color w:val="auto"/>
        </w:rPr>
      </w:pPr>
    </w:p>
    <w:p>
      <w:pPr>
        <w:ind w:left="1960" w:right="280" w:hanging="655"/>
        <w:spacing w:after="0" w:line="311" w:lineRule="auto"/>
        <w:tabs>
          <w:tab w:leader="none" w:pos="1960" w:val="left"/>
        </w:tabs>
        <w:numPr>
          <w:ilvl w:val="1"/>
          <w:numId w:val="1124"/>
        </w:numPr>
        <w:rPr>
          <w:rFonts w:ascii="Arial" w:cs="Arial" w:eastAsia="Arial" w:hAnsi="Arial"/>
          <w:sz w:val="16"/>
          <w:szCs w:val="16"/>
          <w:color w:val="auto"/>
        </w:rPr>
      </w:pPr>
      <w:r>
        <w:rPr>
          <w:rFonts w:ascii="Arial" w:cs="Arial" w:eastAsia="Arial" w:hAnsi="Arial"/>
          <w:sz w:val="16"/>
          <w:szCs w:val="16"/>
          <w:color w:val="auto"/>
        </w:rPr>
        <w:t>the Replaceable Lender shall only be obliged to transfer its rights and obligations pursuant to paragraph (a) of Clause 37.5 (</w:t>
      </w:r>
      <w:r>
        <w:rPr>
          <w:rFonts w:ascii="Arial" w:cs="Arial" w:eastAsia="Arial" w:hAnsi="Arial"/>
          <w:sz w:val="16"/>
          <w:szCs w:val="16"/>
          <w:i w:val="1"/>
          <w:iCs w:val="1"/>
          <w:color w:val="auto"/>
        </w:rPr>
        <w:t>Replaceable Lenders</w:t>
      </w:r>
      <w:r>
        <w:rPr>
          <w:rFonts w:ascii="Arial" w:cs="Arial" w:eastAsia="Arial" w:hAnsi="Arial"/>
          <w:sz w:val="16"/>
          <w:szCs w:val="16"/>
          <w:color w:val="auto"/>
        </w:rPr>
        <w:t>) once it is satisfied that it has complied with all necessary “know your customer” or other similar checks under all applicable laws and regulations in relation to that transfer to the Replacement Lender.</w:t>
      </w:r>
    </w:p>
    <w:p>
      <w:pPr>
        <w:spacing w:after="0" w:line="54" w:lineRule="exact"/>
        <w:rPr>
          <w:rFonts w:ascii="Arial" w:cs="Arial" w:eastAsia="Arial" w:hAnsi="Arial"/>
          <w:sz w:val="16"/>
          <w:szCs w:val="16"/>
          <w:color w:val="auto"/>
        </w:rPr>
      </w:pPr>
    </w:p>
    <w:p>
      <w:pPr>
        <w:jc w:val="both"/>
        <w:ind w:left="1300" w:right="340" w:hanging="535"/>
        <w:spacing w:after="0" w:line="263" w:lineRule="auto"/>
        <w:tabs>
          <w:tab w:leader="none" w:pos="1300" w:val="left"/>
        </w:tabs>
        <w:numPr>
          <w:ilvl w:val="0"/>
          <w:numId w:val="1124"/>
        </w:numPr>
        <w:rPr>
          <w:rFonts w:ascii="Arial" w:cs="Arial" w:eastAsia="Arial" w:hAnsi="Arial"/>
          <w:sz w:val="18"/>
          <w:szCs w:val="18"/>
          <w:color w:val="auto"/>
        </w:rPr>
      </w:pPr>
      <w:r>
        <w:rPr>
          <w:rFonts w:ascii="Arial" w:cs="Arial" w:eastAsia="Arial" w:hAnsi="Arial"/>
          <w:sz w:val="18"/>
          <w:szCs w:val="18"/>
          <w:color w:val="auto"/>
        </w:rPr>
        <w:t>The Replaceable Lender shall perform the checks described in paragraph (a)(v) above as soon as reasonably practicable following delivery of a notice referred to in paragraph (a) of Clause 37.5 (</w:t>
      </w:r>
      <w:r>
        <w:rPr>
          <w:rFonts w:ascii="Arial" w:cs="Arial" w:eastAsia="Arial" w:hAnsi="Arial"/>
          <w:sz w:val="18"/>
          <w:szCs w:val="18"/>
          <w:i w:val="1"/>
          <w:iCs w:val="1"/>
          <w:color w:val="auto"/>
        </w:rPr>
        <w:t>Replaceable Lenders</w:t>
      </w:r>
      <w:r>
        <w:rPr>
          <w:rFonts w:ascii="Arial" w:cs="Arial" w:eastAsia="Arial" w:hAnsi="Arial"/>
          <w:sz w:val="18"/>
          <w:szCs w:val="18"/>
          <w:color w:val="auto"/>
        </w:rPr>
        <w:t>) and shall notify the Agent and the Borrower when it is satisfied that it has complied with those checks.</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6"/>
          <w:szCs w:val="16"/>
          <w:b w:val="1"/>
          <w:bCs w:val="1"/>
          <w:color w:val="auto"/>
        </w:rPr>
        <w:t>Cancellation and repayment of a Replaceable Lender (other than an Illegal Lender)</w:t>
      </w:r>
    </w:p>
    <w:p>
      <w:pPr>
        <w:spacing w:after="0" w:line="121" w:lineRule="exact"/>
        <w:rPr>
          <w:sz w:val="20"/>
          <w:szCs w:val="20"/>
          <w:color w:val="auto"/>
        </w:rPr>
      </w:pPr>
    </w:p>
    <w:p>
      <w:pPr>
        <w:ind w:left="760" w:right="420"/>
        <w:spacing w:after="0" w:line="277" w:lineRule="auto"/>
        <w:rPr>
          <w:sz w:val="20"/>
          <w:szCs w:val="20"/>
          <w:color w:val="auto"/>
        </w:rPr>
      </w:pPr>
      <w:r>
        <w:rPr>
          <w:rFonts w:ascii="Arial" w:cs="Arial" w:eastAsia="Arial" w:hAnsi="Arial"/>
          <w:sz w:val="18"/>
          <w:szCs w:val="18"/>
          <w:color w:val="auto"/>
        </w:rPr>
        <w:t>In the case where the Borrower gives a Cancellation Notice in respect of a Replacement Lender pursuant to paragraph (b) of Clause 37.5 (</w:t>
      </w:r>
      <w:r>
        <w:rPr>
          <w:rFonts w:ascii="Arial" w:cs="Arial" w:eastAsia="Arial" w:hAnsi="Arial"/>
          <w:sz w:val="18"/>
          <w:szCs w:val="18"/>
          <w:i w:val="1"/>
          <w:iCs w:val="1"/>
          <w:color w:val="auto"/>
        </w:rPr>
        <w:t>Replaceable Lenders</w:t>
      </w:r>
      <w:r>
        <w:rPr>
          <w:rFonts w:ascii="Arial" w:cs="Arial" w:eastAsia="Arial" w:hAnsi="Arial"/>
          <w:sz w:val="18"/>
          <w:szCs w:val="18"/>
          <w:color w:val="auto"/>
        </w:rPr>
        <w:t>):</w:t>
      </w:r>
    </w:p>
    <w:p>
      <w:pPr>
        <w:spacing w:after="0" w:line="76" w:lineRule="exact"/>
        <w:rPr>
          <w:sz w:val="20"/>
          <w:szCs w:val="20"/>
          <w:color w:val="auto"/>
        </w:rPr>
      </w:pPr>
    </w:p>
    <w:p>
      <w:pPr>
        <w:ind w:left="1300" w:right="100" w:hanging="535"/>
        <w:spacing w:after="0" w:line="311" w:lineRule="auto"/>
        <w:tabs>
          <w:tab w:leader="none" w:pos="1300" w:val="left"/>
        </w:tabs>
        <w:numPr>
          <w:ilvl w:val="0"/>
          <w:numId w:val="1125"/>
        </w:numPr>
        <w:rPr>
          <w:rFonts w:ascii="Arial" w:cs="Arial" w:eastAsia="Arial" w:hAnsi="Arial"/>
          <w:sz w:val="16"/>
          <w:szCs w:val="16"/>
          <w:color w:val="auto"/>
        </w:rPr>
      </w:pPr>
      <w:r>
        <w:rPr>
          <w:rFonts w:ascii="Arial" w:cs="Arial" w:eastAsia="Arial" w:hAnsi="Arial"/>
          <w:sz w:val="16"/>
          <w:szCs w:val="16"/>
          <w:color w:val="auto"/>
        </w:rPr>
        <w:t xml:space="preserve">upon such Cancellation Notice becoming effective (as specified in such Cancellation Notice), the Commitment of that Replaceable Lender in respect of each Facility shall immediately be reduced to zero,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Total Commitments may (at the Borrower’s option) be simultaneously with or subsequent to that cancellation be increased in accordance with Clause 2.2 (</w:t>
      </w:r>
      <w:r>
        <w:rPr>
          <w:rFonts w:ascii="Arial" w:cs="Arial" w:eastAsia="Arial" w:hAnsi="Arial"/>
          <w:sz w:val="16"/>
          <w:szCs w:val="16"/>
          <w:i w:val="1"/>
          <w:iCs w:val="1"/>
          <w:color w:val="auto"/>
        </w:rPr>
        <w:t>Increase</w:t>
      </w:r>
      <w:r>
        <w:rPr>
          <w:rFonts w:ascii="Arial" w:cs="Arial" w:eastAsia="Arial" w:hAnsi="Arial"/>
          <w:sz w:val="16"/>
          <w:szCs w:val="16"/>
          <w:color w:val="auto"/>
        </w:rPr>
        <w:t>); and</w:t>
      </w:r>
    </w:p>
    <w:p>
      <w:pPr>
        <w:spacing w:after="0" w:line="54" w:lineRule="exact"/>
        <w:rPr>
          <w:rFonts w:ascii="Arial" w:cs="Arial" w:eastAsia="Arial" w:hAnsi="Arial"/>
          <w:sz w:val="16"/>
          <w:szCs w:val="16"/>
          <w:color w:val="auto"/>
        </w:rPr>
      </w:pPr>
    </w:p>
    <w:p>
      <w:pPr>
        <w:ind w:left="1300" w:right="100" w:hanging="535"/>
        <w:spacing w:after="0" w:line="255" w:lineRule="auto"/>
        <w:tabs>
          <w:tab w:leader="none" w:pos="1300" w:val="left"/>
        </w:tabs>
        <w:numPr>
          <w:ilvl w:val="0"/>
          <w:numId w:val="1125"/>
        </w:numPr>
        <w:rPr>
          <w:rFonts w:ascii="Arial" w:cs="Arial" w:eastAsia="Arial" w:hAnsi="Arial"/>
          <w:sz w:val="18"/>
          <w:szCs w:val="18"/>
          <w:color w:val="auto"/>
        </w:rPr>
      </w:pPr>
      <w:r>
        <w:rPr>
          <w:rFonts w:ascii="Arial" w:cs="Arial" w:eastAsia="Arial" w:hAnsi="Arial"/>
          <w:sz w:val="18"/>
          <w:szCs w:val="18"/>
          <w:color w:val="auto"/>
        </w:rPr>
        <w:t>to the extent that such Replaceable Lender’s participation in a Utilisation has not been transferred pursuant to paragraph (a) of Clause 37.5 (</w:t>
      </w:r>
      <w:r>
        <w:rPr>
          <w:rFonts w:ascii="Arial" w:cs="Arial" w:eastAsia="Arial" w:hAnsi="Arial"/>
          <w:sz w:val="18"/>
          <w:szCs w:val="18"/>
          <w:i w:val="1"/>
          <w:iCs w:val="1"/>
          <w:color w:val="auto"/>
        </w:rPr>
        <w:t>Replaceable Lenders</w:t>
      </w:r>
      <w:r>
        <w:rPr>
          <w:rFonts w:ascii="Arial" w:cs="Arial" w:eastAsia="Arial" w:hAnsi="Arial"/>
          <w:sz w:val="18"/>
          <w:szCs w:val="18"/>
          <w:color w:val="auto"/>
        </w:rPr>
        <w:t>), the Borrower shall, on the last day of the first Interest Period (relating to such Revolving Facility Loan(s)) which ends after the Borrower delivered such Cancellation Notice (or, if earlier, the date specified by the Borrower in that Cancellation Notice) repay that Replaceable Lender’s participation in such Revolving Facility Loan(s) together with all interest thereon and other amounts accrued under the Finance Documents in relation thereto (together with Break Costs and other amounts payable),</w:t>
      </w:r>
    </w:p>
    <w:p>
      <w:pPr>
        <w:spacing w:after="0" w:line="84" w:lineRule="exact"/>
        <w:rPr>
          <w:sz w:val="20"/>
          <w:szCs w:val="20"/>
          <w:color w:val="auto"/>
        </w:rPr>
      </w:pPr>
    </w:p>
    <w:p>
      <w:pPr>
        <w:jc w:val="both"/>
        <w:ind w:left="760" w:right="60"/>
        <w:spacing w:after="0" w:line="263" w:lineRule="auto"/>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any such repayment may only be funded with amounts that could, at the time of such repayment (and on a</w:t>
      </w:r>
      <w:r>
        <w:rPr>
          <w:rFonts w:ascii="Arial" w:cs="Arial" w:eastAsia="Arial" w:hAnsi="Arial"/>
          <w:sz w:val="18"/>
          <w:szCs w:val="18"/>
          <w:i w:val="1"/>
          <w:iCs w:val="1"/>
          <w:color w:val="auto"/>
        </w:rPr>
        <w:t xml:space="preserve"> pro forma </w:t>
      </w:r>
      <w:r>
        <w:rPr>
          <w:rFonts w:ascii="Arial" w:cs="Arial" w:eastAsia="Arial" w:hAnsi="Arial"/>
          <w:sz w:val="18"/>
          <w:szCs w:val="18"/>
          <w:color w:val="auto"/>
        </w:rPr>
        <w:t>basis as if</w:t>
      </w:r>
      <w:r>
        <w:rPr>
          <w:rFonts w:ascii="Arial" w:cs="Arial" w:eastAsia="Arial" w:hAnsi="Arial"/>
          <w:sz w:val="18"/>
          <w:szCs w:val="18"/>
          <w:i w:val="1"/>
          <w:iCs w:val="1"/>
          <w:color w:val="auto"/>
        </w:rPr>
        <w:t xml:space="preserve"> </w:t>
      </w:r>
      <w:r>
        <w:rPr>
          <w:rFonts w:ascii="Arial" w:cs="Arial" w:eastAsia="Arial" w:hAnsi="Arial"/>
          <w:sz w:val="18"/>
          <w:szCs w:val="18"/>
          <w:color w:val="auto"/>
        </w:rPr>
        <w:t>such payment were a Restricted Payment), be paid as a Restricted Payment in accordance with Section 2 (</w:t>
      </w:r>
      <w:r>
        <w:rPr>
          <w:rFonts w:ascii="Arial" w:cs="Arial" w:eastAsia="Arial" w:hAnsi="Arial"/>
          <w:sz w:val="18"/>
          <w:szCs w:val="18"/>
          <w:i w:val="1"/>
          <w:iCs w:val="1"/>
          <w:color w:val="auto"/>
        </w:rPr>
        <w:t>Limitation on Restricted Payments</w:t>
      </w:r>
      <w:r>
        <w:rPr>
          <w:rFonts w:ascii="Arial" w:cs="Arial" w:eastAsia="Arial" w:hAnsi="Arial"/>
          <w:sz w:val="18"/>
          <w:szCs w:val="18"/>
          <w:color w:val="auto"/>
        </w:rPr>
        <w:t>) of Schedule 10 (</w:t>
      </w:r>
      <w:r>
        <w:rPr>
          <w:rFonts w:ascii="Arial" w:cs="Arial" w:eastAsia="Arial" w:hAnsi="Arial"/>
          <w:sz w:val="18"/>
          <w:szCs w:val="18"/>
          <w:i w:val="1"/>
          <w:iCs w:val="1"/>
          <w:color w:val="auto"/>
        </w:rPr>
        <w:t>Covenants</w:t>
      </w:r>
      <w:r>
        <w:rPr>
          <w:rFonts w:ascii="Arial" w:cs="Arial" w:eastAsia="Arial" w:hAnsi="Arial"/>
          <w:sz w:val="18"/>
          <w:szCs w:val="18"/>
          <w:color w:val="auto"/>
        </w:rPr>
        <w:t>) pursuant to Clause 23.1 (</w:t>
      </w:r>
      <w:r>
        <w:rPr>
          <w:rFonts w:ascii="Arial" w:cs="Arial" w:eastAsia="Arial" w:hAnsi="Arial"/>
          <w:sz w:val="18"/>
          <w:szCs w:val="18"/>
          <w:i w:val="1"/>
          <w:iCs w:val="1"/>
          <w:color w:val="auto"/>
        </w:rPr>
        <w:t>Notes covenants</w:t>
      </w:r>
      <w:r>
        <w:rPr>
          <w:rFonts w:ascii="Arial" w:cs="Arial" w:eastAsia="Arial" w:hAnsi="Arial"/>
          <w:sz w:val="18"/>
          <w:szCs w:val="18"/>
          <w:color w:val="auto"/>
        </w:rPr>
        <w:t>).</w:t>
      </w:r>
    </w:p>
    <w:p>
      <w:pPr>
        <w:spacing w:after="0" w:line="116"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36" w:name="page737"/>
    <w:bookmarkEnd w:id="736"/>
    <w:p>
      <w:pPr>
        <w:ind w:left="764" w:hanging="764"/>
        <w:spacing w:after="0"/>
        <w:tabs>
          <w:tab w:leader="none" w:pos="764" w:val="left"/>
        </w:tabs>
        <w:numPr>
          <w:ilvl w:val="0"/>
          <w:numId w:val="11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of information</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38.1</w:t>
      </w:r>
      <w:r>
        <w:rPr>
          <w:rFonts w:ascii="Arial" w:cs="Arial" w:eastAsia="Arial" w:hAnsi="Arial"/>
          <w:sz w:val="16"/>
          <w:szCs w:val="16"/>
          <w:b w:val="1"/>
          <w:bCs w:val="1"/>
          <w:color w:val="auto"/>
        </w:rPr>
        <w:t>Confidential Information</w:t>
      </w:r>
    </w:p>
    <w:p>
      <w:pPr>
        <w:spacing w:after="0" w:line="121" w:lineRule="exact"/>
        <w:rPr>
          <w:sz w:val="20"/>
          <w:szCs w:val="20"/>
          <w:color w:val="auto"/>
        </w:rPr>
      </w:pPr>
    </w:p>
    <w:p>
      <w:pPr>
        <w:ind w:left="764" w:right="120"/>
        <w:spacing w:after="0" w:line="263"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38.2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6"/>
          <w:szCs w:val="16"/>
          <w:b w:val="1"/>
          <w:bCs w:val="1"/>
          <w:color w:val="auto"/>
        </w:rPr>
        <w:t>Disclosure of Confidential Information</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Any Finance Party may disclose:</w:t>
      </w:r>
    </w:p>
    <w:p>
      <w:pPr>
        <w:spacing w:after="0" w:line="131" w:lineRule="exact"/>
        <w:rPr>
          <w:sz w:val="20"/>
          <w:szCs w:val="20"/>
          <w:color w:val="auto"/>
        </w:rPr>
      </w:pPr>
    </w:p>
    <w:p>
      <w:pPr>
        <w:ind w:left="1304" w:right="40" w:hanging="535"/>
        <w:spacing w:after="0" w:line="270" w:lineRule="auto"/>
        <w:tabs>
          <w:tab w:leader="none" w:pos="1304" w:val="left"/>
        </w:tabs>
        <w:numPr>
          <w:ilvl w:val="0"/>
          <w:numId w:val="1127"/>
        </w:numPr>
        <w:rPr>
          <w:rFonts w:ascii="Arial" w:cs="Arial" w:eastAsia="Arial" w:hAnsi="Arial"/>
          <w:sz w:val="17"/>
          <w:szCs w:val="17"/>
          <w:color w:val="auto"/>
        </w:rPr>
      </w:pPr>
      <w:r>
        <w:rPr>
          <w:rFonts w:ascii="Arial" w:cs="Arial" w:eastAsia="Arial" w:hAnsi="Arial"/>
          <w:sz w:val="17"/>
          <w:szCs w:val="17"/>
          <w:color w:val="auto"/>
        </w:rPr>
        <w:t>to any of its Affiliates, head office and any other branch and Related Funds and any of its or their officers, directors, employees, professional advisers, Representatives and (unless it relates to any Services and Right to Use Agreement Confidential Information) auditors such Confidential Information as that Finance Party shall consider appropriate if any person to whom the Confidential Information is to be given pursuant to this paragraph (a) is informed in writing of (x)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 and (y) in the case of any Services and Right to Use Agreement Confidential Information, that the Borrower Group is subject to a duty of confidentiality to the government and/or the relevant public regulatory authorities of the Macau SAR;</w:t>
      </w:r>
    </w:p>
    <w:p>
      <w:pPr>
        <w:spacing w:after="0" w:line="86" w:lineRule="exact"/>
        <w:rPr>
          <w:rFonts w:ascii="Arial" w:cs="Arial" w:eastAsia="Arial" w:hAnsi="Arial"/>
          <w:sz w:val="17"/>
          <w:szCs w:val="17"/>
          <w:color w:val="auto"/>
        </w:rPr>
      </w:pPr>
    </w:p>
    <w:p>
      <w:pPr>
        <w:ind w:left="1304" w:hanging="535"/>
        <w:spacing w:after="0"/>
        <w:tabs>
          <w:tab w:leader="none" w:pos="1304" w:val="left"/>
        </w:tabs>
        <w:numPr>
          <w:ilvl w:val="0"/>
          <w:numId w:val="1127"/>
        </w:numPr>
        <w:rPr>
          <w:rFonts w:ascii="Arial" w:cs="Arial" w:eastAsia="Arial" w:hAnsi="Arial"/>
          <w:sz w:val="18"/>
          <w:szCs w:val="18"/>
          <w:color w:val="auto"/>
        </w:rPr>
      </w:pPr>
      <w:r>
        <w:rPr>
          <w:rFonts w:ascii="Arial" w:cs="Arial" w:eastAsia="Arial" w:hAnsi="Arial"/>
          <w:sz w:val="18"/>
          <w:szCs w:val="18"/>
          <w:color w:val="auto"/>
        </w:rPr>
        <w:t>to any person:</w:t>
      </w:r>
    </w:p>
    <w:p>
      <w:pPr>
        <w:spacing w:after="0" w:line="130" w:lineRule="exact"/>
        <w:rPr>
          <w:rFonts w:ascii="Arial" w:cs="Arial" w:eastAsia="Arial" w:hAnsi="Arial"/>
          <w:sz w:val="18"/>
          <w:szCs w:val="18"/>
          <w:color w:val="auto"/>
        </w:rPr>
      </w:pPr>
    </w:p>
    <w:p>
      <w:pPr>
        <w:ind w:left="1964" w:right="240" w:hanging="655"/>
        <w:spacing w:after="0" w:line="259" w:lineRule="auto"/>
        <w:tabs>
          <w:tab w:leader="none" w:pos="1964" w:val="left"/>
        </w:tabs>
        <w:numPr>
          <w:ilvl w:val="1"/>
          <w:numId w:val="1127"/>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or succeeds (or which may potentially succeed) it as Agent or Common Security Agent or POA Agent, and in each case, to any of that person’s Affiliates, head office and any other branch, Related Funds, Representatives and professional advisers;</w:t>
      </w:r>
    </w:p>
    <w:p>
      <w:pPr>
        <w:spacing w:after="0" w:line="92" w:lineRule="exact"/>
        <w:rPr>
          <w:rFonts w:ascii="Arial" w:cs="Arial" w:eastAsia="Arial" w:hAnsi="Arial"/>
          <w:sz w:val="18"/>
          <w:szCs w:val="18"/>
          <w:color w:val="auto"/>
        </w:rPr>
      </w:pPr>
    </w:p>
    <w:p>
      <w:pPr>
        <w:ind w:left="1964" w:right="200" w:hanging="655"/>
        <w:spacing w:after="0" w:line="259" w:lineRule="auto"/>
        <w:tabs>
          <w:tab w:leader="none" w:pos="1964" w:val="left"/>
        </w:tabs>
        <w:numPr>
          <w:ilvl w:val="1"/>
          <w:numId w:val="1127"/>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92" w:lineRule="exact"/>
        <w:rPr>
          <w:rFonts w:ascii="Arial" w:cs="Arial" w:eastAsia="Arial" w:hAnsi="Arial"/>
          <w:sz w:val="18"/>
          <w:szCs w:val="18"/>
          <w:color w:val="auto"/>
        </w:rPr>
      </w:pPr>
    </w:p>
    <w:p>
      <w:pPr>
        <w:ind w:left="1964" w:right="140" w:hanging="655"/>
        <w:spacing w:after="0" w:line="311" w:lineRule="auto"/>
        <w:tabs>
          <w:tab w:leader="none" w:pos="1964" w:val="left"/>
        </w:tabs>
        <w:numPr>
          <w:ilvl w:val="1"/>
          <w:numId w:val="1127"/>
        </w:numPr>
        <w:rPr>
          <w:rFonts w:ascii="Arial" w:cs="Arial" w:eastAsia="Arial" w:hAnsi="Arial"/>
          <w:sz w:val="16"/>
          <w:szCs w:val="16"/>
          <w:color w:val="auto"/>
        </w:rPr>
      </w:pPr>
      <w:r>
        <w:rPr>
          <w:rFonts w:ascii="Arial" w:cs="Arial" w:eastAsia="Arial" w:hAnsi="Arial"/>
          <w:sz w:val="16"/>
          <w:szCs w:val="16"/>
          <w:color w:val="auto"/>
        </w:rPr>
        <w:t>appointed by any Finance Party or by a person to whom sub paragraph (i) or (ii) above applies to receive communications, notices, information or documents delivered pursuant to the Finance Documents on its behalf (including, without limitation, any person appointed under paragraph (c) of Clause 28.14 (</w:t>
      </w:r>
      <w:r>
        <w:rPr>
          <w:rFonts w:ascii="Arial" w:cs="Arial" w:eastAsia="Arial" w:hAnsi="Arial"/>
          <w:sz w:val="16"/>
          <w:szCs w:val="16"/>
          <w:i w:val="1"/>
          <w:iCs w:val="1"/>
          <w:color w:val="auto"/>
        </w:rPr>
        <w:t>Relationship with the Lenders</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964" w:right="40" w:hanging="655"/>
        <w:spacing w:after="0" w:line="277" w:lineRule="auto"/>
        <w:tabs>
          <w:tab w:leader="none" w:pos="1964" w:val="left"/>
        </w:tabs>
        <w:numPr>
          <w:ilvl w:val="1"/>
          <w:numId w:val="1127"/>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(i) or (ii) above;</w:t>
      </w:r>
    </w:p>
    <w:p>
      <w:pPr>
        <w:spacing w:after="0" w:line="103"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37" w:name="page738"/>
    <w:bookmarkEnd w:id="737"/>
    <w:p>
      <w:pPr>
        <w:jc w:val="both"/>
        <w:ind w:left="1200" w:right="260" w:hanging="655"/>
        <w:spacing w:after="0" w:line="263" w:lineRule="auto"/>
        <w:tabs>
          <w:tab w:leader="none" w:pos="1200" w:val="left"/>
        </w:tabs>
        <w:numPr>
          <w:ilvl w:val="0"/>
          <w:numId w:val="1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89" w:lineRule="exact"/>
        <w:rPr>
          <w:rFonts w:ascii="Arial" w:cs="Arial" w:eastAsia="Arial" w:hAnsi="Arial"/>
          <w:sz w:val="18"/>
          <w:szCs w:val="18"/>
          <w:color w:val="auto"/>
        </w:rPr>
      </w:pPr>
    </w:p>
    <w:p>
      <w:pPr>
        <w:ind w:left="1200" w:right="560" w:hanging="655"/>
        <w:spacing w:after="0" w:line="277" w:lineRule="auto"/>
        <w:tabs>
          <w:tab w:leader="none" w:pos="1200" w:val="left"/>
        </w:tabs>
        <w:numPr>
          <w:ilvl w:val="0"/>
          <w:numId w:val="1128"/>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75" w:lineRule="exact"/>
        <w:rPr>
          <w:rFonts w:ascii="Arial" w:cs="Arial" w:eastAsia="Arial" w:hAnsi="Arial"/>
          <w:sz w:val="18"/>
          <w:szCs w:val="18"/>
          <w:color w:val="auto"/>
        </w:rPr>
      </w:pPr>
    </w:p>
    <w:p>
      <w:pPr>
        <w:ind w:left="1200" w:right="300" w:hanging="655"/>
        <w:spacing w:after="0" w:line="277" w:lineRule="auto"/>
        <w:tabs>
          <w:tab w:leader="none" w:pos="1200" w:val="left"/>
        </w:tabs>
        <w:numPr>
          <w:ilvl w:val="0"/>
          <w:numId w:val="1128"/>
        </w:numPr>
        <w:rPr>
          <w:rFonts w:ascii="Arial" w:cs="Arial" w:eastAsia="Arial" w:hAnsi="Arial"/>
          <w:sz w:val="18"/>
          <w:szCs w:val="18"/>
          <w:color w:val="auto"/>
        </w:rPr>
      </w:pPr>
      <w:r>
        <w:rPr>
          <w:rFonts w:ascii="Arial" w:cs="Arial" w:eastAsia="Arial" w:hAnsi="Arial"/>
          <w:sz w:val="18"/>
          <w:szCs w:val="18"/>
          <w:color w:val="auto"/>
        </w:rPr>
        <w:t>to whom or for whose benefit that Finance Party charges, assigns or otherwise creates Security (or may do so) pursuant to Clause 25.8 (</w:t>
      </w:r>
      <w:r>
        <w:rPr>
          <w:rFonts w:ascii="Arial" w:cs="Arial" w:eastAsia="Arial" w:hAnsi="Arial"/>
          <w:sz w:val="18"/>
          <w:szCs w:val="18"/>
          <w:i w:val="1"/>
          <w:iCs w:val="1"/>
          <w:color w:val="auto"/>
        </w:rPr>
        <w:t>Security interests over Lenders’ rights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00" w:hanging="655"/>
        <w:spacing w:after="0"/>
        <w:tabs>
          <w:tab w:leader="none" w:pos="1200" w:val="left"/>
        </w:tabs>
        <w:numPr>
          <w:ilvl w:val="0"/>
          <w:numId w:val="1128"/>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130" w:lineRule="exact"/>
        <w:rPr>
          <w:rFonts w:ascii="Arial" w:cs="Arial" w:eastAsia="Arial" w:hAnsi="Arial"/>
          <w:sz w:val="18"/>
          <w:szCs w:val="18"/>
          <w:color w:val="auto"/>
        </w:rPr>
      </w:pPr>
    </w:p>
    <w:p>
      <w:pPr>
        <w:ind w:left="1200" w:hanging="655"/>
        <w:spacing w:after="0"/>
        <w:tabs>
          <w:tab w:leader="none" w:pos="1200" w:val="left"/>
        </w:tabs>
        <w:numPr>
          <w:ilvl w:val="0"/>
          <w:numId w:val="1128"/>
        </w:numPr>
        <w:rPr>
          <w:rFonts w:ascii="Arial" w:cs="Arial" w:eastAsia="Arial" w:hAnsi="Arial"/>
          <w:sz w:val="18"/>
          <w:szCs w:val="18"/>
          <w:color w:val="auto"/>
        </w:rPr>
      </w:pPr>
      <w:r>
        <w:rPr>
          <w:rFonts w:ascii="Arial" w:cs="Arial" w:eastAsia="Arial" w:hAnsi="Arial"/>
          <w:sz w:val="18"/>
          <w:szCs w:val="18"/>
          <w:color w:val="auto"/>
        </w:rPr>
        <w:t>with the prior written consent of the Borrower,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131" w:lineRule="exact"/>
        <w:rPr>
          <w:sz w:val="20"/>
          <w:szCs w:val="20"/>
          <w:color w:val="auto"/>
        </w:rPr>
      </w:pPr>
    </w:p>
    <w:p>
      <w:pPr>
        <w:jc w:val="both"/>
        <w:ind w:left="1740" w:hanging="533"/>
        <w:spacing w:after="0" w:line="259" w:lineRule="auto"/>
        <w:tabs>
          <w:tab w:leader="none" w:pos="1740" w:val="left"/>
        </w:tabs>
        <w:numPr>
          <w:ilvl w:val="1"/>
          <w:numId w:val="1129"/>
        </w:numPr>
        <w:rPr>
          <w:rFonts w:ascii="Arial" w:cs="Arial" w:eastAsia="Arial" w:hAnsi="Arial"/>
          <w:sz w:val="18"/>
          <w:szCs w:val="18"/>
          <w:color w:val="auto"/>
        </w:rPr>
      </w:pPr>
      <w:r>
        <w:rPr>
          <w:rFonts w:ascii="Arial" w:cs="Arial" w:eastAsia="Arial" w:hAnsi="Arial"/>
          <w:sz w:val="18"/>
          <w:szCs w:val="18"/>
          <w:color w:val="auto"/>
        </w:rPr>
        <w:t>in relation to paragraphs (b)(i), (ii) and (iii)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92" w:lineRule="exact"/>
        <w:rPr>
          <w:rFonts w:ascii="Arial" w:cs="Arial" w:eastAsia="Arial" w:hAnsi="Arial"/>
          <w:sz w:val="18"/>
          <w:szCs w:val="18"/>
          <w:color w:val="auto"/>
        </w:rPr>
      </w:pPr>
    </w:p>
    <w:p>
      <w:pPr>
        <w:ind w:left="1740" w:right="20" w:hanging="533"/>
        <w:spacing w:after="0" w:line="259" w:lineRule="auto"/>
        <w:tabs>
          <w:tab w:leader="none" w:pos="1740" w:val="left"/>
        </w:tabs>
        <w:numPr>
          <w:ilvl w:val="1"/>
          <w:numId w:val="1129"/>
        </w:numPr>
        <w:rPr>
          <w:rFonts w:ascii="Arial" w:cs="Arial" w:eastAsia="Arial" w:hAnsi="Arial"/>
          <w:sz w:val="18"/>
          <w:szCs w:val="18"/>
          <w:color w:val="auto"/>
        </w:rPr>
      </w:pPr>
      <w:r>
        <w:rPr>
          <w:rFonts w:ascii="Arial" w:cs="Arial" w:eastAsia="Arial" w:hAnsi="Arial"/>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92" w:lineRule="exact"/>
        <w:rPr>
          <w:rFonts w:ascii="Arial" w:cs="Arial" w:eastAsia="Arial" w:hAnsi="Arial"/>
          <w:sz w:val="18"/>
          <w:szCs w:val="18"/>
          <w:color w:val="auto"/>
        </w:rPr>
      </w:pPr>
    </w:p>
    <w:p>
      <w:pPr>
        <w:ind w:left="1740" w:hanging="533"/>
        <w:spacing w:after="0" w:line="259" w:lineRule="auto"/>
        <w:tabs>
          <w:tab w:leader="none" w:pos="1740" w:val="left"/>
        </w:tabs>
        <w:numPr>
          <w:ilvl w:val="1"/>
          <w:numId w:val="1129"/>
        </w:numPr>
        <w:rPr>
          <w:rFonts w:ascii="Arial" w:cs="Arial" w:eastAsia="Arial" w:hAnsi="Arial"/>
          <w:sz w:val="18"/>
          <w:szCs w:val="18"/>
          <w:color w:val="auto"/>
        </w:rPr>
      </w:pPr>
      <w:r>
        <w:rPr>
          <w:rFonts w:ascii="Arial" w:cs="Arial" w:eastAsia="Arial" w:hAnsi="Arial"/>
          <w:sz w:val="18"/>
          <w:szCs w:val="18"/>
          <w:color w:val="auto"/>
        </w:rPr>
        <w:t>in relation to paragraphs (b)(v), (vi) and (vii)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92" w:lineRule="exact"/>
        <w:rPr>
          <w:rFonts w:ascii="Arial" w:cs="Arial" w:eastAsia="Arial" w:hAnsi="Arial"/>
          <w:sz w:val="18"/>
          <w:szCs w:val="18"/>
          <w:color w:val="auto"/>
        </w:rPr>
      </w:pPr>
    </w:p>
    <w:p>
      <w:pPr>
        <w:ind w:left="540" w:right="120" w:hanging="535"/>
        <w:spacing w:after="0" w:line="254" w:lineRule="auto"/>
        <w:tabs>
          <w:tab w:leader="none" w:pos="540" w:val="left"/>
        </w:tabs>
        <w:numPr>
          <w:ilvl w:val="0"/>
          <w:numId w:val="1130"/>
        </w:numPr>
        <w:rPr>
          <w:rFonts w:ascii="Arial" w:cs="Arial" w:eastAsia="Arial" w:hAnsi="Arial"/>
          <w:sz w:val="18"/>
          <w:szCs w:val="18"/>
          <w:color w:val="auto"/>
        </w:rPr>
      </w:pPr>
      <w:r>
        <w:rPr>
          <w:rFonts w:ascii="Arial" w:cs="Arial" w:eastAsia="Arial" w:hAnsi="Arial"/>
          <w:sz w:val="18"/>
          <w:szCs w:val="18"/>
          <w:color w:val="auto"/>
        </w:rPr>
        <w:t>to any person appointed by that Finance Party or by a person to whom paragraph (b)(i) or (ii)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w:t>
      </w:r>
    </w:p>
    <w:p>
      <w:pPr>
        <w:spacing w:after="0" w:line="100" w:lineRule="exact"/>
        <w:rPr>
          <w:rFonts w:ascii="Arial" w:cs="Arial" w:eastAsia="Arial" w:hAnsi="Arial"/>
          <w:sz w:val="18"/>
          <w:szCs w:val="18"/>
          <w:color w:val="auto"/>
        </w:rPr>
      </w:pPr>
    </w:p>
    <w:p>
      <w:pPr>
        <w:ind w:left="540" w:right="80" w:hanging="535"/>
        <w:spacing w:after="0" w:line="255" w:lineRule="auto"/>
        <w:tabs>
          <w:tab w:leader="none" w:pos="540" w:val="left"/>
        </w:tabs>
        <w:numPr>
          <w:ilvl w:val="0"/>
          <w:numId w:val="1130"/>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(x) its confidential nature and that some or all of such Confidential Information may be price-sensitive information and (y) in the case of any Services and Right to Use Agreement Confidential Information, that the Group is subject to a duty of confidentiality to the government and/or the relevant public regulatory authorities of the Macau SAR; and</w:t>
      </w:r>
    </w:p>
    <w:p>
      <w:pPr>
        <w:spacing w:after="0" w:line="125" w:lineRule="exact"/>
        <w:rPr>
          <w:sz w:val="20"/>
          <w:szCs w:val="20"/>
          <w:color w:val="auto"/>
        </w:rPr>
      </w:pPr>
    </w:p>
    <w:p>
      <w:pPr>
        <w:jc w:val="both"/>
        <w:ind w:left="4660"/>
        <w:spacing w:after="0"/>
        <w:tabs>
          <w:tab w:leader="none" w:pos="80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38" w:name="page739"/>
    <w:bookmarkEnd w:id="738"/>
    <w:p>
      <w:pPr>
        <w:ind w:left="1300" w:right="60" w:hanging="535"/>
        <w:spacing w:after="0" w:line="271" w:lineRule="auto"/>
        <w:tabs>
          <w:tab w:leader="none" w:pos="1300" w:val="left"/>
        </w:tabs>
        <w:numPr>
          <w:ilvl w:val="0"/>
          <w:numId w:val="11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International Swaps and Derivatives Association, Inc. (“ISDA”) or any Credit Derivatives Determination Committee or sub-committee of ISDA where such disclosure is required by them in order to determine whether the obligations under the Finance Documents will be, or in order for the obligations under the Finance Documents to become, deliverable under a credit derivative transaction or other credit linked transaction which incorporates the 2009 ISDA Credit Derivatives Determinations Committees and Auction Settlement Supplement or other provisions substantially equivalent thereto if ISDA is informed of (x) its confidential nature and that some or all of such Confidential Information may be price-sensitive information and (y) in the case of any Services and Right to Use Agreement Confidential Information, that the Borrower Group is subject to a duty of confidentiality to the government and/or the relevant public regulatory authorities of the Macau SAR.</w:t>
      </w:r>
    </w:p>
    <w:p>
      <w:pPr>
        <w:spacing w:after="0" w:line="3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5"/>
          <w:szCs w:val="15"/>
          <w:b w:val="1"/>
          <w:bCs w:val="1"/>
          <w:color w:val="auto"/>
        </w:rPr>
        <w:t>Disclosure to numbering service providers</w:t>
      </w:r>
    </w:p>
    <w:p>
      <w:pPr>
        <w:spacing w:after="0" w:line="135" w:lineRule="exact"/>
        <w:rPr>
          <w:sz w:val="20"/>
          <w:szCs w:val="20"/>
          <w:color w:val="auto"/>
        </w:rPr>
      </w:pPr>
    </w:p>
    <w:p>
      <w:pPr>
        <w:jc w:val="both"/>
        <w:ind w:left="1300" w:right="520" w:hanging="535"/>
        <w:spacing w:after="0" w:line="263" w:lineRule="auto"/>
        <w:tabs>
          <w:tab w:leader="none" w:pos="1300" w:val="left"/>
        </w:tabs>
        <w:numPr>
          <w:ilvl w:val="0"/>
          <w:numId w:val="1132"/>
        </w:numPr>
        <w:rPr>
          <w:rFonts w:ascii="Arial" w:cs="Arial" w:eastAsia="Arial" w:hAnsi="Arial"/>
          <w:sz w:val="18"/>
          <w:szCs w:val="18"/>
          <w:color w:val="auto"/>
        </w:rPr>
      </w:pPr>
      <w:r>
        <w:rPr>
          <w:rFonts w:ascii="Arial" w:cs="Arial" w:eastAsia="Arial" w:hAnsi="Arial"/>
          <w:sz w:val="18"/>
          <w:szCs w:val="18"/>
          <w:color w:val="auto"/>
        </w:rPr>
        <w:t>Any Finance Party may disclose to any national or international numbering service provider appointed by that Finance Party to provide identification numbering services in respect of this Agreement, the Facilities and/or one or more Obligors the following information:</w:t>
      </w:r>
    </w:p>
    <w:p>
      <w:pPr>
        <w:spacing w:after="0" w:line="89"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Clause 41 (Governing Law):</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the name of the Agent;</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amounts of, and names of, the Facilities (and any tranches):</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currencies of the Facilities;</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type of Facilities;</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ranking of Facilities;</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Termination Date for Facilities;</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(xiii) above; and</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158"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39" w:name="page740"/>
    <w:bookmarkEnd w:id="739"/>
    <w:p>
      <w:pPr>
        <w:jc w:val="both"/>
        <w:ind w:left="1300" w:right="440" w:hanging="535"/>
        <w:spacing w:after="0" w:line="286" w:lineRule="auto"/>
        <w:tabs>
          <w:tab w:leader="none" w:pos="1300" w:val="left"/>
        </w:tabs>
        <w:numPr>
          <w:ilvl w:val="0"/>
          <w:numId w:val="11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acknowledge and agree that each identification number assigned to this Agreement, the Facilities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70" w:lineRule="exact"/>
        <w:rPr>
          <w:rFonts w:ascii="Arial" w:cs="Arial" w:eastAsia="Arial" w:hAnsi="Arial"/>
          <w:sz w:val="17"/>
          <w:szCs w:val="17"/>
          <w:color w:val="auto"/>
        </w:rPr>
      </w:pPr>
    </w:p>
    <w:p>
      <w:pPr>
        <w:ind w:left="1300" w:right="240" w:hanging="535"/>
        <w:spacing w:after="0" w:line="277" w:lineRule="auto"/>
        <w:tabs>
          <w:tab w:leader="none" w:pos="1300" w:val="left"/>
        </w:tabs>
        <w:numPr>
          <w:ilvl w:val="0"/>
          <w:numId w:val="1133"/>
        </w:numPr>
        <w:rPr>
          <w:rFonts w:ascii="Arial" w:cs="Arial" w:eastAsia="Arial" w:hAnsi="Arial"/>
          <w:sz w:val="18"/>
          <w:szCs w:val="18"/>
          <w:color w:val="auto"/>
        </w:rPr>
      </w:pPr>
      <w:r>
        <w:rPr>
          <w:rFonts w:ascii="Arial" w:cs="Arial" w:eastAsia="Arial" w:hAnsi="Arial"/>
          <w:sz w:val="18"/>
          <w:szCs w:val="18"/>
          <w:color w:val="auto"/>
        </w:rPr>
        <w:t>The Borrower represents that none of the information set out in paragraphs (i) to (xv) of paragraph (a) above is, nor will at any time be, unpublished price-sensitive information.</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1133"/>
        </w:numPr>
        <w:rPr>
          <w:rFonts w:ascii="Arial" w:cs="Arial" w:eastAsia="Arial" w:hAnsi="Arial"/>
          <w:sz w:val="18"/>
          <w:szCs w:val="18"/>
          <w:color w:val="auto"/>
        </w:rPr>
      </w:pPr>
      <w:r>
        <w:rPr>
          <w:rFonts w:ascii="Arial" w:cs="Arial" w:eastAsia="Arial" w:hAnsi="Arial"/>
          <w:sz w:val="18"/>
          <w:szCs w:val="18"/>
          <w:color w:val="auto"/>
        </w:rPr>
        <w:t>The Agent shall notify the Borrower and the other Finance Parties of:</w:t>
      </w:r>
    </w:p>
    <w:p>
      <w:pPr>
        <w:spacing w:after="0" w:line="130" w:lineRule="exact"/>
        <w:rPr>
          <w:rFonts w:ascii="Arial" w:cs="Arial" w:eastAsia="Arial" w:hAnsi="Arial"/>
          <w:sz w:val="18"/>
          <w:szCs w:val="18"/>
          <w:color w:val="auto"/>
        </w:rPr>
      </w:pPr>
    </w:p>
    <w:p>
      <w:pPr>
        <w:ind w:left="1960" w:right="40" w:hanging="655"/>
        <w:spacing w:after="0" w:line="277" w:lineRule="auto"/>
        <w:tabs>
          <w:tab w:leader="none" w:pos="1960" w:val="left"/>
        </w:tabs>
        <w:numPr>
          <w:ilvl w:val="1"/>
          <w:numId w:val="1133"/>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Facilities and/or one or more Obligors; and</w:t>
      </w:r>
    </w:p>
    <w:p>
      <w:pPr>
        <w:spacing w:after="0" w:line="75" w:lineRule="exact"/>
        <w:rPr>
          <w:rFonts w:ascii="Arial" w:cs="Arial" w:eastAsia="Arial" w:hAnsi="Arial"/>
          <w:sz w:val="18"/>
          <w:szCs w:val="18"/>
          <w:color w:val="auto"/>
        </w:rPr>
      </w:pPr>
    </w:p>
    <w:p>
      <w:pPr>
        <w:ind w:left="1960" w:right="220" w:hanging="655"/>
        <w:spacing w:after="0" w:line="277" w:lineRule="auto"/>
        <w:tabs>
          <w:tab w:leader="none" w:pos="1960" w:val="left"/>
        </w:tabs>
        <w:numPr>
          <w:ilvl w:val="1"/>
          <w:numId w:val="1133"/>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Facilities and/or one or more Obligors by such numbering service provider.</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38.4</w:t>
      </w:r>
      <w:r>
        <w:rPr>
          <w:sz w:val="20"/>
          <w:szCs w:val="20"/>
          <w:color w:val="auto"/>
        </w:rPr>
        <w:tab/>
      </w:r>
      <w:r>
        <w:rPr>
          <w:rFonts w:ascii="Arial" w:cs="Arial" w:eastAsia="Arial" w:hAnsi="Arial"/>
          <w:sz w:val="16"/>
          <w:szCs w:val="16"/>
          <w:b w:val="1"/>
          <w:bCs w:val="1"/>
          <w:color w:val="auto"/>
        </w:rPr>
        <w:t>Entire agreement</w:t>
      </w:r>
    </w:p>
    <w:p>
      <w:pPr>
        <w:spacing w:after="0" w:line="121" w:lineRule="exact"/>
        <w:rPr>
          <w:sz w:val="20"/>
          <w:szCs w:val="20"/>
          <w:color w:val="auto"/>
        </w:rPr>
      </w:pPr>
    </w:p>
    <w:p>
      <w:pPr>
        <w:ind w:left="760" w:right="180"/>
        <w:spacing w:after="0" w:line="263" w:lineRule="auto"/>
        <w:rPr>
          <w:sz w:val="20"/>
          <w:szCs w:val="20"/>
          <w:color w:val="auto"/>
        </w:rPr>
      </w:pPr>
      <w:r>
        <w:rPr>
          <w:rFonts w:ascii="Arial" w:cs="Arial" w:eastAsia="Arial" w:hAnsi="Arial"/>
          <w:sz w:val="18"/>
          <w:szCs w:val="18"/>
          <w:color w:val="auto"/>
        </w:rPr>
        <w:t>This Clause 38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38.5</w:t>
      </w:r>
      <w:r>
        <w:rPr>
          <w:sz w:val="20"/>
          <w:szCs w:val="20"/>
          <w:color w:val="auto"/>
        </w:rPr>
        <w:tab/>
      </w:r>
      <w:r>
        <w:rPr>
          <w:rFonts w:ascii="Arial" w:cs="Arial" w:eastAsia="Arial" w:hAnsi="Arial"/>
          <w:sz w:val="16"/>
          <w:szCs w:val="16"/>
          <w:b w:val="1"/>
          <w:bCs w:val="1"/>
          <w:color w:val="auto"/>
        </w:rPr>
        <w:t>Inside information</w:t>
      </w:r>
    </w:p>
    <w:p>
      <w:pPr>
        <w:spacing w:after="0" w:line="121" w:lineRule="exact"/>
        <w:rPr>
          <w:sz w:val="20"/>
          <w:szCs w:val="20"/>
          <w:color w:val="auto"/>
        </w:rPr>
      </w:pPr>
    </w:p>
    <w:p>
      <w:pPr>
        <w:jc w:val="both"/>
        <w:ind w:left="760" w:right="220"/>
        <w:spacing w:after="0" w:line="311" w:lineRule="auto"/>
        <w:rPr>
          <w:sz w:val="20"/>
          <w:szCs w:val="20"/>
          <w:color w:val="auto"/>
        </w:rPr>
      </w:pPr>
      <w:r>
        <w:rPr>
          <w:rFonts w:ascii="Arial" w:cs="Arial" w:eastAsia="Arial" w:hAnsi="Arial"/>
          <w:sz w:val="16"/>
          <w:szCs w:val="16"/>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2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38.6</w:t>
      </w:r>
      <w:r>
        <w:rPr>
          <w:sz w:val="20"/>
          <w:szCs w:val="20"/>
          <w:color w:val="auto"/>
        </w:rPr>
        <w:tab/>
      </w:r>
      <w:r>
        <w:rPr>
          <w:rFonts w:ascii="Arial" w:cs="Arial" w:eastAsia="Arial" w:hAnsi="Arial"/>
          <w:sz w:val="15"/>
          <w:szCs w:val="15"/>
          <w:b w:val="1"/>
          <w:bCs w:val="1"/>
          <w:color w:val="auto"/>
        </w:rPr>
        <w:t>Notification of disclosure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of the Finance Parties agrees (to the extent permitted by law and regulation) to inform the Borrower:</w:t>
      </w:r>
    </w:p>
    <w:p>
      <w:pPr>
        <w:spacing w:after="0" w:line="131" w:lineRule="exact"/>
        <w:rPr>
          <w:sz w:val="20"/>
          <w:szCs w:val="20"/>
          <w:color w:val="auto"/>
        </w:rPr>
      </w:pPr>
    </w:p>
    <w:p>
      <w:pPr>
        <w:ind w:left="1300" w:right="60" w:hanging="535"/>
        <w:spacing w:after="0" w:line="263" w:lineRule="auto"/>
        <w:tabs>
          <w:tab w:leader="none" w:pos="1300" w:val="left"/>
        </w:tabs>
        <w:numPr>
          <w:ilvl w:val="0"/>
          <w:numId w:val="1134"/>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(b)(v) of Clause 38.2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where such disclosure is made to any of the persons referred to in that paragraph during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its supervisory or regulatory function; and</w:t>
      </w:r>
    </w:p>
    <w:p>
      <w:pPr>
        <w:spacing w:after="0" w:line="89" w:lineRule="exact"/>
        <w:rPr>
          <w:rFonts w:ascii="Arial" w:cs="Arial" w:eastAsia="Arial" w:hAnsi="Arial"/>
          <w:sz w:val="18"/>
          <w:szCs w:val="18"/>
          <w:color w:val="auto"/>
        </w:rPr>
      </w:pPr>
    </w:p>
    <w:p>
      <w:pPr>
        <w:ind w:left="1300" w:hanging="535"/>
        <w:spacing w:after="0"/>
        <w:tabs>
          <w:tab w:leader="none" w:pos="1300" w:val="left"/>
        </w:tabs>
        <w:numPr>
          <w:ilvl w:val="0"/>
          <w:numId w:val="1134"/>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38.</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38.7</w:t>
      </w:r>
      <w:r>
        <w:rPr>
          <w:sz w:val="20"/>
          <w:szCs w:val="20"/>
          <w:color w:val="auto"/>
        </w:rPr>
        <w:tab/>
      </w:r>
      <w:r>
        <w:rPr>
          <w:rFonts w:ascii="Arial" w:cs="Arial" w:eastAsia="Arial" w:hAnsi="Arial"/>
          <w:sz w:val="16"/>
          <w:szCs w:val="16"/>
          <w:b w:val="1"/>
          <w:bCs w:val="1"/>
          <w:color w:val="auto"/>
        </w:rPr>
        <w:t>Continuing obligations</w:t>
      </w:r>
    </w:p>
    <w:p>
      <w:pPr>
        <w:spacing w:after="0" w:line="121" w:lineRule="exact"/>
        <w:rPr>
          <w:sz w:val="20"/>
          <w:szCs w:val="20"/>
          <w:color w:val="auto"/>
        </w:rPr>
      </w:pPr>
    </w:p>
    <w:p>
      <w:pPr>
        <w:ind w:left="760" w:right="380"/>
        <w:spacing w:after="0" w:line="277" w:lineRule="auto"/>
        <w:rPr>
          <w:sz w:val="20"/>
          <w:szCs w:val="20"/>
          <w:color w:val="auto"/>
        </w:rPr>
      </w:pPr>
      <w:r>
        <w:rPr>
          <w:rFonts w:ascii="Arial" w:cs="Arial" w:eastAsia="Arial" w:hAnsi="Arial"/>
          <w:sz w:val="18"/>
          <w:szCs w:val="18"/>
          <w:color w:val="auto"/>
        </w:rPr>
        <w:t>The obligations in this Clause 38 are continuing and, in particular, shall survive and remain binding on each Finance Party for a period of twelve months from the earlier of:</w:t>
      </w:r>
    </w:p>
    <w:p>
      <w:pPr>
        <w:spacing w:after="0" w:line="76" w:lineRule="exact"/>
        <w:rPr>
          <w:sz w:val="20"/>
          <w:szCs w:val="20"/>
          <w:color w:val="auto"/>
        </w:rPr>
      </w:pPr>
    </w:p>
    <w:p>
      <w:pPr>
        <w:ind w:left="1300" w:right="100" w:hanging="535"/>
        <w:spacing w:after="0" w:line="277" w:lineRule="auto"/>
        <w:tabs>
          <w:tab w:leader="none" w:pos="1300" w:val="left"/>
        </w:tabs>
        <w:numPr>
          <w:ilvl w:val="0"/>
          <w:numId w:val="1135"/>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the Finance Documents have been paid in full and all Commitments have been cancelled or otherwise cease to be available; and</w:t>
      </w:r>
    </w:p>
    <w:p>
      <w:pPr>
        <w:spacing w:after="0" w:line="75" w:lineRule="exact"/>
        <w:rPr>
          <w:rFonts w:ascii="Arial" w:cs="Arial" w:eastAsia="Arial" w:hAnsi="Arial"/>
          <w:sz w:val="18"/>
          <w:szCs w:val="18"/>
          <w:color w:val="auto"/>
        </w:rPr>
      </w:pPr>
    </w:p>
    <w:p>
      <w:pPr>
        <w:ind w:left="1300" w:hanging="535"/>
        <w:spacing w:after="0"/>
        <w:tabs>
          <w:tab w:leader="none" w:pos="1300" w:val="left"/>
        </w:tabs>
        <w:numPr>
          <w:ilvl w:val="0"/>
          <w:numId w:val="1135"/>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158"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40" w:name="page741"/>
    <w:bookmarkEnd w:id="740"/>
    <w:p>
      <w:pPr>
        <w:ind w:left="4"/>
        <w:spacing w:after="0"/>
        <w:tabs>
          <w:tab w:leader="none" w:pos="7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38.8</w:t>
      </w:r>
      <w:r>
        <w:rPr>
          <w:sz w:val="20"/>
          <w:szCs w:val="20"/>
          <w:color w:val="auto"/>
        </w:rPr>
        <w:tab/>
      </w:r>
      <w:r>
        <w:rPr>
          <w:rFonts w:ascii="Arial" w:cs="Arial" w:eastAsia="Arial" w:hAnsi="Arial"/>
          <w:sz w:val="16"/>
          <w:szCs w:val="16"/>
          <w:b w:val="1"/>
          <w:bCs w:val="1"/>
          <w:color w:val="auto"/>
        </w:rPr>
        <w:t>Tax Disclosure</w:t>
      </w:r>
    </w:p>
    <w:p>
      <w:pPr>
        <w:spacing w:after="0" w:line="121" w:lineRule="exact"/>
        <w:rPr>
          <w:sz w:val="20"/>
          <w:szCs w:val="20"/>
          <w:color w:val="auto"/>
        </w:rPr>
      </w:pPr>
    </w:p>
    <w:p>
      <w:pPr>
        <w:ind w:left="764" w:right="60"/>
        <w:spacing w:after="0" w:line="255" w:lineRule="auto"/>
        <w:rPr>
          <w:sz w:val="20"/>
          <w:szCs w:val="20"/>
          <w:color w:val="auto"/>
        </w:rPr>
      </w:pPr>
      <w:r>
        <w:rPr>
          <w:rFonts w:ascii="Arial" w:cs="Arial" w:eastAsia="Arial" w:hAnsi="Arial"/>
          <w:sz w:val="18"/>
          <w:szCs w:val="18"/>
          <w:color w:val="auto"/>
        </w:rPr>
        <w:t>Notwithstanding any of the provisions of the Finance Documents, the Obligors and the Finance Parties hereby agree that each Party and each employee, representative or other agent of each Party may disclose to any and all persons, without limitation of any kind, the “tax structure” and “tax treatment” (in each case within the meaning of the U.S. Treasury Regulation Section 1.6011-4) of the Facility and any materials of any kind (including opinions or other tax analyses) that are provided to any of the foregoing relating to such tax structure and tax treatment to the extent, but only to the extent, necessary for the transaction to avoid being considered a confidential transaction for purposes of U.S. Treasury Regulation section 1.6011-4(b)(3).</w:t>
      </w:r>
    </w:p>
    <w:p>
      <w:pPr>
        <w:spacing w:after="0" w:line="337" w:lineRule="exact"/>
        <w:rPr>
          <w:sz w:val="20"/>
          <w:szCs w:val="20"/>
          <w:color w:val="auto"/>
        </w:rPr>
      </w:pPr>
    </w:p>
    <w:p>
      <w:pPr>
        <w:ind w:left="764" w:hanging="764"/>
        <w:spacing w:after="0"/>
        <w:tabs>
          <w:tab w:leader="none" w:pos="764" w:val="left"/>
        </w:tabs>
        <w:numPr>
          <w:ilvl w:val="0"/>
          <w:numId w:val="113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764"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314" w:lineRule="exact"/>
        <w:rPr>
          <w:rFonts w:ascii="Arial" w:cs="Arial" w:eastAsia="Arial" w:hAnsi="Arial"/>
          <w:sz w:val="18"/>
          <w:szCs w:val="18"/>
          <w:b w:val="1"/>
          <w:bCs w:val="1"/>
          <w:color w:val="auto"/>
        </w:rPr>
      </w:pPr>
    </w:p>
    <w:p>
      <w:pPr>
        <w:ind w:left="764" w:hanging="764"/>
        <w:spacing w:after="0"/>
        <w:tabs>
          <w:tab w:leader="none" w:pos="764" w:val="left"/>
        </w:tabs>
        <w:numPr>
          <w:ilvl w:val="0"/>
          <w:numId w:val="1136"/>
        </w:numPr>
        <w:rPr>
          <w:rFonts w:ascii="Arial" w:cs="Arial" w:eastAsia="Arial" w:hAnsi="Arial"/>
          <w:sz w:val="18"/>
          <w:szCs w:val="18"/>
          <w:b w:val="1"/>
          <w:bCs w:val="1"/>
          <w:color w:val="auto"/>
        </w:rPr>
      </w:pPr>
      <w:r>
        <w:rPr>
          <w:rFonts w:ascii="Arial" w:cs="Arial" w:eastAsia="Arial" w:hAnsi="Arial"/>
          <w:sz w:val="18"/>
          <w:szCs w:val="18"/>
          <w:b w:val="1"/>
          <w:bCs w:val="1"/>
          <w:color w:val="auto"/>
        </w:rPr>
        <w:t>USA Patriot Act</w:t>
      </w:r>
    </w:p>
    <w:p>
      <w:pPr>
        <w:spacing w:after="0" w:line="121" w:lineRule="exact"/>
        <w:rPr>
          <w:rFonts w:ascii="Arial" w:cs="Arial" w:eastAsia="Arial" w:hAnsi="Arial"/>
          <w:sz w:val="18"/>
          <w:szCs w:val="18"/>
          <w:b w:val="1"/>
          <w:bCs w:val="1"/>
          <w:color w:val="auto"/>
        </w:rPr>
      </w:pPr>
    </w:p>
    <w:p>
      <w:pPr>
        <w:jc w:val="both"/>
        <w:ind w:left="764"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Lender hereby notifies each Obligor that pursuant to the requirements of the USA Patriot Act, such Lender is required to obtain, verify and record information that identifies such Obligor, which information includes the name and address of such Obligor and other information that will allow such Lender to identify such Obligor in accordance with the USA Patriot Act.</w:t>
      </w:r>
    </w:p>
    <w:p>
      <w:pPr>
        <w:spacing w:after="0" w:line="116"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41" w:name="page742"/>
    <w:bookmarkEnd w:id="74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GOVERNING LAW AND ENFORCEMENT</w:t>
      </w:r>
    </w:p>
    <w:p>
      <w:pPr>
        <w:spacing w:after="0" w:line="234" w:lineRule="exact"/>
        <w:rPr>
          <w:sz w:val="20"/>
          <w:szCs w:val="20"/>
          <w:color w:val="auto"/>
        </w:rPr>
      </w:pPr>
    </w:p>
    <w:p>
      <w:pPr>
        <w:ind w:left="764" w:hanging="764"/>
        <w:spacing w:after="0"/>
        <w:tabs>
          <w:tab w:leader="none" w:pos="764" w:val="left"/>
        </w:tabs>
        <w:numPr>
          <w:ilvl w:val="0"/>
          <w:numId w:val="113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41.1</w:t>
      </w:r>
      <w:r>
        <w:rPr>
          <w:rFonts w:ascii="Arial" w:cs="Arial" w:eastAsia="Arial" w:hAnsi="Arial"/>
          <w:sz w:val="16"/>
          <w:szCs w:val="16"/>
          <w:b w:val="1"/>
          <w:bCs w:val="1"/>
          <w:color w:val="auto"/>
        </w:rPr>
        <w:t>Governing law</w:t>
      </w:r>
    </w:p>
    <w:p>
      <w:pPr>
        <w:spacing w:after="0" w:line="121" w:lineRule="exact"/>
        <w:rPr>
          <w:rFonts w:ascii="Arial" w:cs="Arial" w:eastAsia="Arial" w:hAnsi="Arial"/>
          <w:sz w:val="18"/>
          <w:szCs w:val="18"/>
          <w:b w:val="1"/>
          <w:bCs w:val="1"/>
          <w:color w:val="auto"/>
        </w:rPr>
      </w:pPr>
    </w:p>
    <w:p>
      <w:pPr>
        <w:ind w:left="764"/>
        <w:spacing w:after="0"/>
        <w:rPr>
          <w:rFonts w:ascii="Arial" w:cs="Arial" w:eastAsia="Arial" w:hAnsi="Arial"/>
          <w:sz w:val="18"/>
          <w:szCs w:val="18"/>
          <w:b w:val="1"/>
          <w:bCs w:val="1"/>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37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5"/>
          <w:szCs w:val="15"/>
          <w:b w:val="1"/>
          <w:bCs w:val="1"/>
          <w:color w:val="auto"/>
        </w:rPr>
        <w:t>Schedule 10 (</w:t>
      </w:r>
      <w:r>
        <w:rPr>
          <w:rFonts w:ascii="Arial" w:cs="Arial" w:eastAsia="Arial" w:hAnsi="Arial"/>
          <w:sz w:val="15"/>
          <w:szCs w:val="15"/>
          <w:b w:val="1"/>
          <w:bCs w:val="1"/>
          <w:i w:val="1"/>
          <w:iCs w:val="1"/>
          <w:color w:val="auto"/>
        </w:rPr>
        <w:t>Covenants</w:t>
      </w:r>
      <w:r>
        <w:rPr>
          <w:rFonts w:ascii="Arial" w:cs="Arial" w:eastAsia="Arial" w:hAnsi="Arial"/>
          <w:sz w:val="15"/>
          <w:szCs w:val="15"/>
          <w:b w:val="1"/>
          <w:bCs w:val="1"/>
          <w:color w:val="auto"/>
        </w:rPr>
        <w:t>) and Schedule 11 (</w:t>
      </w:r>
      <w:r>
        <w:rPr>
          <w:rFonts w:ascii="Arial" w:cs="Arial" w:eastAsia="Arial" w:hAnsi="Arial"/>
          <w:sz w:val="15"/>
          <w:szCs w:val="15"/>
          <w:b w:val="1"/>
          <w:bCs w:val="1"/>
          <w:i w:val="1"/>
          <w:iCs w:val="1"/>
          <w:color w:val="auto"/>
        </w:rPr>
        <w:t>Definitions</w:t>
      </w:r>
      <w:r>
        <w:rPr>
          <w:rFonts w:ascii="Arial" w:cs="Arial" w:eastAsia="Arial" w:hAnsi="Arial"/>
          <w:sz w:val="15"/>
          <w:szCs w:val="15"/>
          <w:b w:val="1"/>
          <w:bCs w:val="1"/>
          <w:color w:val="auto"/>
        </w:rPr>
        <w:t>)</w:t>
      </w:r>
    </w:p>
    <w:p>
      <w:pPr>
        <w:spacing w:after="0" w:line="121" w:lineRule="exact"/>
        <w:rPr>
          <w:sz w:val="20"/>
          <w:szCs w:val="20"/>
          <w:color w:val="auto"/>
        </w:rPr>
      </w:pPr>
    </w:p>
    <w:p>
      <w:pPr>
        <w:ind w:left="764" w:right="400"/>
        <w:spacing w:after="0" w:line="277" w:lineRule="auto"/>
        <w:rPr>
          <w:sz w:val="20"/>
          <w:szCs w:val="20"/>
          <w:color w:val="auto"/>
        </w:rPr>
      </w:pPr>
      <w:r>
        <w:rPr>
          <w:rFonts w:ascii="Arial" w:cs="Arial" w:eastAsia="Arial" w:hAnsi="Arial"/>
          <w:sz w:val="18"/>
          <w:szCs w:val="18"/>
          <w:color w:val="auto"/>
        </w:rPr>
        <w:t>Without prejudice to Clause 41.1 (</w:t>
      </w:r>
      <w:r>
        <w:rPr>
          <w:rFonts w:ascii="Arial" w:cs="Arial" w:eastAsia="Arial" w:hAnsi="Arial"/>
          <w:sz w:val="18"/>
          <w:szCs w:val="18"/>
          <w:i w:val="1"/>
          <w:iCs w:val="1"/>
          <w:color w:val="auto"/>
        </w:rPr>
        <w:t>Governing law</w:t>
      </w:r>
      <w:r>
        <w:rPr>
          <w:rFonts w:ascii="Arial" w:cs="Arial" w:eastAsia="Arial" w:hAnsi="Arial"/>
          <w:sz w:val="18"/>
          <w:szCs w:val="18"/>
          <w:color w:val="auto"/>
        </w:rPr>
        <w:t>), the Parties agree that Schedule 10 (</w:t>
      </w:r>
      <w:r>
        <w:rPr>
          <w:rFonts w:ascii="Arial" w:cs="Arial" w:eastAsia="Arial" w:hAnsi="Arial"/>
          <w:sz w:val="18"/>
          <w:szCs w:val="18"/>
          <w:i w:val="1"/>
          <w:iCs w:val="1"/>
          <w:color w:val="auto"/>
        </w:rPr>
        <w:t>Covenants</w:t>
      </w:r>
      <w:r>
        <w:rPr>
          <w:rFonts w:ascii="Arial" w:cs="Arial" w:eastAsia="Arial" w:hAnsi="Arial"/>
          <w:sz w:val="18"/>
          <w:szCs w:val="18"/>
          <w:color w:val="auto"/>
        </w:rPr>
        <w:t>) and Schedule 11 (</w:t>
      </w:r>
      <w:r>
        <w:rPr>
          <w:rFonts w:ascii="Arial" w:cs="Arial" w:eastAsia="Arial" w:hAnsi="Arial"/>
          <w:sz w:val="18"/>
          <w:szCs w:val="18"/>
          <w:i w:val="1"/>
          <w:iCs w:val="1"/>
          <w:color w:val="auto"/>
        </w:rPr>
        <w:t>Definitions</w:t>
      </w:r>
      <w:r>
        <w:rPr>
          <w:rFonts w:ascii="Arial" w:cs="Arial" w:eastAsia="Arial" w:hAnsi="Arial"/>
          <w:sz w:val="18"/>
          <w:szCs w:val="18"/>
          <w:color w:val="auto"/>
        </w:rPr>
        <w:t>) shall be construed in accordance with New York law.</w:t>
      </w:r>
    </w:p>
    <w:p>
      <w:pPr>
        <w:spacing w:after="0" w:line="315" w:lineRule="exact"/>
        <w:rPr>
          <w:sz w:val="20"/>
          <w:szCs w:val="20"/>
          <w:color w:val="auto"/>
        </w:rPr>
      </w:pPr>
    </w:p>
    <w:p>
      <w:pPr>
        <w:ind w:left="764" w:hanging="764"/>
        <w:spacing w:after="0"/>
        <w:tabs>
          <w:tab w:leader="none" w:pos="764" w:val="left"/>
        </w:tabs>
        <w:numPr>
          <w:ilvl w:val="0"/>
          <w:numId w:val="113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6"/>
          <w:szCs w:val="16"/>
          <w:b w:val="1"/>
          <w:bCs w:val="1"/>
          <w:color w:val="auto"/>
        </w:rPr>
        <w:t>Jurisdiction of English courts</w:t>
      </w:r>
    </w:p>
    <w:p>
      <w:pPr>
        <w:spacing w:after="0" w:line="135" w:lineRule="exact"/>
        <w:rPr>
          <w:sz w:val="20"/>
          <w:szCs w:val="20"/>
          <w:color w:val="auto"/>
        </w:rPr>
      </w:pPr>
    </w:p>
    <w:p>
      <w:pPr>
        <w:ind w:left="1304" w:right="60" w:hanging="535"/>
        <w:spacing w:after="0" w:line="263" w:lineRule="auto"/>
        <w:tabs>
          <w:tab w:leader="none" w:pos="1304" w:val="left"/>
        </w:tabs>
        <w:numPr>
          <w:ilvl w:val="0"/>
          <w:numId w:val="1139"/>
        </w:numPr>
        <w:rPr>
          <w:rFonts w:ascii="Arial" w:cs="Arial" w:eastAsia="Arial" w:hAnsi="Arial"/>
          <w:sz w:val="18"/>
          <w:szCs w:val="18"/>
          <w:color w:val="auto"/>
        </w:rPr>
      </w:pPr>
      <w:r>
        <w:rPr>
          <w:rFonts w:ascii="Arial" w:cs="Arial" w:eastAsia="Arial" w:hAnsi="Arial"/>
          <w:sz w:val="18"/>
          <w:szCs w:val="18"/>
          <w:color w:val="auto"/>
        </w:rPr>
        <w:t>The courts of England have non-exclusive jurisdiction to settle any dispute arising out of or in connection with this Agreement (including a dispute regarding the existence, validity or termination of this Agreement or any non-contractual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304" w:right="20" w:hanging="535"/>
        <w:spacing w:after="0" w:line="277" w:lineRule="auto"/>
        <w:tabs>
          <w:tab w:leader="none" w:pos="1304" w:val="left"/>
        </w:tabs>
        <w:numPr>
          <w:ilvl w:val="0"/>
          <w:numId w:val="1139"/>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75" w:lineRule="exact"/>
        <w:rPr>
          <w:rFonts w:ascii="Arial" w:cs="Arial" w:eastAsia="Arial" w:hAnsi="Arial"/>
          <w:sz w:val="18"/>
          <w:szCs w:val="18"/>
          <w:color w:val="auto"/>
        </w:rPr>
      </w:pPr>
    </w:p>
    <w:p>
      <w:pPr>
        <w:ind w:left="1304" w:right="40" w:hanging="535"/>
        <w:spacing w:after="0" w:line="286" w:lineRule="auto"/>
        <w:tabs>
          <w:tab w:leader="none" w:pos="1304" w:val="left"/>
        </w:tabs>
        <w:numPr>
          <w:ilvl w:val="0"/>
          <w:numId w:val="1139"/>
        </w:numPr>
        <w:rPr>
          <w:rFonts w:ascii="Arial" w:cs="Arial" w:eastAsia="Arial" w:hAnsi="Arial"/>
          <w:sz w:val="17"/>
          <w:szCs w:val="17"/>
          <w:color w:val="auto"/>
        </w:rPr>
      </w:pPr>
      <w:r>
        <w:rPr>
          <w:rFonts w:ascii="Arial" w:cs="Arial" w:eastAsia="Arial" w:hAnsi="Arial"/>
          <w:sz w:val="17"/>
          <w:szCs w:val="17"/>
          <w:color w:val="auto"/>
        </w:rPr>
        <w:t>This Clause 42.1 is for the benefit of the Finance Parties and Secured Parties only. As a result, no Finance Party or Secured Party shall be prevented from taking proceedings relating to a Dispute in any other courts with jurisdiction. To the extent allowed by law, the Finance Parties and Secured Parties may take concurrent proceedings in any number of jurisdictions.</w:t>
      </w:r>
    </w:p>
    <w:p>
      <w:pPr>
        <w:spacing w:after="0" w:line="3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5"/>
          <w:szCs w:val="15"/>
          <w:b w:val="1"/>
          <w:bCs w:val="1"/>
          <w:color w:val="auto"/>
        </w:rPr>
        <w:t>Service of process</w:t>
      </w:r>
    </w:p>
    <w:p>
      <w:pPr>
        <w:spacing w:after="0" w:line="135" w:lineRule="exact"/>
        <w:rPr>
          <w:sz w:val="20"/>
          <w:szCs w:val="20"/>
          <w:color w:val="auto"/>
        </w:rPr>
      </w:pPr>
    </w:p>
    <w:p>
      <w:pPr>
        <w:ind w:left="1304" w:hanging="535"/>
        <w:spacing w:after="0"/>
        <w:tabs>
          <w:tab w:leader="none" w:pos="1304" w:val="left"/>
        </w:tabs>
        <w:numPr>
          <w:ilvl w:val="0"/>
          <w:numId w:val="1140"/>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each Obligor:</w:t>
      </w:r>
    </w:p>
    <w:p>
      <w:pPr>
        <w:spacing w:after="0" w:line="130" w:lineRule="exact"/>
        <w:rPr>
          <w:rFonts w:ascii="Arial" w:cs="Arial" w:eastAsia="Arial" w:hAnsi="Arial"/>
          <w:sz w:val="18"/>
          <w:szCs w:val="18"/>
          <w:color w:val="auto"/>
        </w:rPr>
      </w:pPr>
    </w:p>
    <w:p>
      <w:pPr>
        <w:ind w:left="1964" w:right="760" w:hanging="655"/>
        <w:spacing w:after="0" w:line="277" w:lineRule="auto"/>
        <w:tabs>
          <w:tab w:leader="none" w:pos="1964" w:val="left"/>
        </w:tabs>
        <w:numPr>
          <w:ilvl w:val="1"/>
          <w:numId w:val="1140"/>
        </w:numPr>
        <w:rPr>
          <w:rFonts w:ascii="Arial" w:cs="Arial" w:eastAsia="Arial" w:hAnsi="Arial"/>
          <w:sz w:val="18"/>
          <w:szCs w:val="18"/>
          <w:color w:val="auto"/>
        </w:rPr>
      </w:pPr>
      <w:r>
        <w:rPr>
          <w:rFonts w:ascii="Arial" w:cs="Arial" w:eastAsia="Arial" w:hAnsi="Arial"/>
          <w:sz w:val="18"/>
          <w:szCs w:val="18"/>
          <w:color w:val="auto"/>
        </w:rPr>
        <w:t>irrevocably appoints Law Debenture Corporate Service Limited as its agent for service of process in relation to any proceedings before the English courts in connection with any Finance Document; and</w:t>
      </w:r>
    </w:p>
    <w:p>
      <w:pPr>
        <w:spacing w:after="0" w:line="75" w:lineRule="exact"/>
        <w:rPr>
          <w:rFonts w:ascii="Arial" w:cs="Arial" w:eastAsia="Arial" w:hAnsi="Arial"/>
          <w:sz w:val="18"/>
          <w:szCs w:val="18"/>
          <w:color w:val="auto"/>
        </w:rPr>
      </w:pPr>
    </w:p>
    <w:p>
      <w:pPr>
        <w:ind w:left="1964" w:right="500" w:hanging="655"/>
        <w:spacing w:after="0" w:line="277" w:lineRule="auto"/>
        <w:tabs>
          <w:tab w:leader="none" w:pos="1964" w:val="left"/>
        </w:tabs>
        <w:numPr>
          <w:ilvl w:val="1"/>
          <w:numId w:val="1140"/>
        </w:numPr>
        <w:rPr>
          <w:rFonts w:ascii="Arial" w:cs="Arial" w:eastAsia="Arial" w:hAnsi="Arial"/>
          <w:sz w:val="18"/>
          <w:szCs w:val="18"/>
          <w:color w:val="auto"/>
        </w:rPr>
      </w:pPr>
      <w:r>
        <w:rPr>
          <w:rFonts w:ascii="Arial" w:cs="Arial" w:eastAsia="Arial" w:hAnsi="Arial"/>
          <w:sz w:val="18"/>
          <w:szCs w:val="18"/>
          <w:color w:val="auto"/>
        </w:rPr>
        <w:t>agrees that failure by an agent for service of process to notify the relevant Obligor of the process will not invalidate the proceedings concerned.</w:t>
      </w:r>
    </w:p>
    <w:p>
      <w:pPr>
        <w:spacing w:after="0" w:line="75" w:lineRule="exact"/>
        <w:rPr>
          <w:rFonts w:ascii="Arial" w:cs="Arial" w:eastAsia="Arial" w:hAnsi="Arial"/>
          <w:sz w:val="18"/>
          <w:szCs w:val="18"/>
          <w:color w:val="auto"/>
        </w:rPr>
      </w:pPr>
    </w:p>
    <w:p>
      <w:pPr>
        <w:jc w:val="both"/>
        <w:ind w:left="1304" w:right="100" w:hanging="535"/>
        <w:spacing w:after="0" w:line="311" w:lineRule="auto"/>
        <w:tabs>
          <w:tab w:leader="none" w:pos="1304" w:val="left"/>
        </w:tabs>
        <w:numPr>
          <w:ilvl w:val="0"/>
          <w:numId w:val="1140"/>
        </w:numPr>
        <w:rPr>
          <w:rFonts w:ascii="Arial" w:cs="Arial" w:eastAsia="Arial" w:hAnsi="Arial"/>
          <w:sz w:val="16"/>
          <w:szCs w:val="16"/>
          <w:color w:val="auto"/>
        </w:rPr>
      </w:pPr>
      <w:r>
        <w:rPr>
          <w:rFonts w:ascii="Arial" w:cs="Arial" w:eastAsia="Arial" w:hAnsi="Arial"/>
          <w:sz w:val="16"/>
          <w:szCs w:val="16"/>
          <w:color w:val="auto"/>
        </w:rPr>
        <w:t>If any person appointed as an agent for service of process is unable for any reason to act as agent for service of process, the Borrower (on behalf of all the Obligors) must immediately (and in any event within three (3) Business Days of such event taking place) appoint another agent on terms acceptable to the Agent. Failing this, the Agent may appoint another agent for this purpose.</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2"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42" w:name="page743"/>
    <w:bookmarkEnd w:id="7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Parties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Facility A Lender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Name of Original Facility A Lender</w:t>
            </w:r>
          </w:p>
        </w:tc>
        <w:tc>
          <w:tcPr>
            <w:tcW w:w="4560" w:type="dxa"/>
            <w:vAlign w:val="bottom"/>
            <w:gridSpan w:val="2"/>
          </w:tcPr>
          <w:p>
            <w:pPr>
              <w:jc w:val="right"/>
              <w:ind w:right="1750"/>
              <w:spacing w:after="0"/>
              <w:rPr>
                <w:sz w:val="20"/>
                <w:szCs w:val="20"/>
                <w:color w:val="auto"/>
              </w:rPr>
            </w:pPr>
            <w:r>
              <w:rPr>
                <w:rFonts w:ascii="Arial" w:cs="Arial" w:eastAsia="Arial" w:hAnsi="Arial"/>
                <w:sz w:val="14"/>
                <w:szCs w:val="14"/>
                <w:b w:val="1"/>
                <w:bCs w:val="1"/>
                <w:color w:val="auto"/>
              </w:rPr>
              <w:t>Facility A Participation</w:t>
            </w:r>
          </w:p>
        </w:tc>
        <w:tc>
          <w:tcPr>
            <w:tcW w:w="0" w:type="dxa"/>
            <w:vAlign w:val="bottom"/>
          </w:tcPr>
          <w:p>
            <w:pPr>
              <w:spacing w:after="0"/>
              <w:rPr>
                <w:sz w:val="1"/>
                <w:szCs w:val="1"/>
                <w:color w:val="auto"/>
              </w:rPr>
            </w:pPr>
          </w:p>
        </w:tc>
      </w:tr>
      <w:tr>
        <w:trPr>
          <w:trHeight w:val="171"/>
        </w:trPr>
        <w:tc>
          <w:tcPr>
            <w:tcW w:w="6460" w:type="dxa"/>
            <w:vAlign w:val="bottom"/>
            <w:gridSpan w:val="2"/>
            <w:vMerge w:val="continue"/>
          </w:tcPr>
          <w:p>
            <w:pPr>
              <w:spacing w:after="0"/>
              <w:rPr>
                <w:sz w:val="14"/>
                <w:szCs w:val="14"/>
                <w:color w:val="auto"/>
              </w:rPr>
            </w:pPr>
          </w:p>
        </w:tc>
        <w:tc>
          <w:tcPr>
            <w:tcW w:w="4560" w:type="dxa"/>
            <w:vAlign w:val="bottom"/>
            <w:gridSpan w:val="2"/>
          </w:tcPr>
          <w:p>
            <w:pPr>
              <w:jc w:val="right"/>
              <w:ind w:right="2270"/>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Bank of China Limited, Macau Branch</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60" w:type="dxa"/>
            <w:vAlign w:val="bottom"/>
            <w:gridSpan w:val="2"/>
          </w:tcPr>
          <w:p>
            <w:pPr>
              <w:ind w:left="1760"/>
              <w:spacing w:after="0"/>
              <w:rPr>
                <w:sz w:val="20"/>
                <w:szCs w:val="20"/>
                <w:color w:val="auto"/>
              </w:rPr>
            </w:pPr>
            <w:r>
              <w:rPr>
                <w:rFonts w:ascii="Arial" w:cs="Arial" w:eastAsia="Arial" w:hAnsi="Arial"/>
                <w:sz w:val="18"/>
                <w:szCs w:val="18"/>
                <w:i w:val="1"/>
                <w:iCs w:val="1"/>
                <w:color w:val="auto"/>
              </w:rPr>
              <w:t>Total</w:t>
            </w:r>
          </w:p>
        </w:tc>
        <w:tc>
          <w:tcPr>
            <w:tcW w:w="27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Part 2</w:t>
            </w:r>
          </w:p>
        </w:tc>
        <w:tc>
          <w:tcPr>
            <w:tcW w:w="2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Original Revolving Facility Lender</w:t>
            </w:r>
          </w:p>
        </w:tc>
        <w:tc>
          <w:tcPr>
            <w:tcW w:w="27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46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Name of Original Revolving Facility Lender</w:t>
            </w:r>
          </w:p>
        </w:tc>
        <w:tc>
          <w:tcPr>
            <w:tcW w:w="4560" w:type="dxa"/>
            <w:vAlign w:val="bottom"/>
            <w:gridSpan w:val="2"/>
          </w:tcPr>
          <w:p>
            <w:pPr>
              <w:jc w:val="right"/>
              <w:ind w:right="1750"/>
              <w:spacing w:after="0"/>
              <w:rPr>
                <w:sz w:val="20"/>
                <w:szCs w:val="20"/>
                <w:color w:val="auto"/>
              </w:rPr>
            </w:pPr>
            <w:r>
              <w:rPr>
                <w:rFonts w:ascii="Arial" w:cs="Arial" w:eastAsia="Arial" w:hAnsi="Arial"/>
                <w:sz w:val="14"/>
                <w:szCs w:val="14"/>
                <w:b w:val="1"/>
                <w:bCs w:val="1"/>
                <w:color w:val="auto"/>
              </w:rPr>
              <w:t>Revolving Facility Commitment</w:t>
            </w:r>
          </w:p>
        </w:tc>
        <w:tc>
          <w:tcPr>
            <w:tcW w:w="0" w:type="dxa"/>
            <w:vAlign w:val="bottom"/>
          </w:tcPr>
          <w:p>
            <w:pPr>
              <w:spacing w:after="0"/>
              <w:rPr>
                <w:sz w:val="1"/>
                <w:szCs w:val="1"/>
                <w:color w:val="auto"/>
              </w:rPr>
            </w:pPr>
          </w:p>
        </w:tc>
      </w:tr>
      <w:tr>
        <w:trPr>
          <w:trHeight w:val="171"/>
        </w:trPr>
        <w:tc>
          <w:tcPr>
            <w:tcW w:w="6460" w:type="dxa"/>
            <w:vAlign w:val="bottom"/>
            <w:gridSpan w:val="2"/>
            <w:vMerge w:val="continue"/>
          </w:tcPr>
          <w:p>
            <w:pPr>
              <w:spacing w:after="0"/>
              <w:rPr>
                <w:sz w:val="14"/>
                <w:szCs w:val="14"/>
                <w:color w:val="auto"/>
              </w:rPr>
            </w:pPr>
          </w:p>
        </w:tc>
        <w:tc>
          <w:tcPr>
            <w:tcW w:w="4560" w:type="dxa"/>
            <w:vAlign w:val="bottom"/>
            <w:gridSpan w:val="2"/>
          </w:tcPr>
          <w:p>
            <w:pPr>
              <w:jc w:val="right"/>
              <w:ind w:right="2530"/>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Bank of China Limited, Macau Branch</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233,000,000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60" w:type="dxa"/>
            <w:vAlign w:val="bottom"/>
            <w:gridSpan w:val="2"/>
          </w:tcPr>
          <w:p>
            <w:pPr>
              <w:ind w:left="1760"/>
              <w:spacing w:after="0"/>
              <w:rPr>
                <w:sz w:val="20"/>
                <w:szCs w:val="20"/>
                <w:color w:val="auto"/>
              </w:rPr>
            </w:pPr>
            <w:r>
              <w:rPr>
                <w:rFonts w:ascii="Arial" w:cs="Arial" w:eastAsia="Arial" w:hAnsi="Arial"/>
                <w:sz w:val="18"/>
                <w:szCs w:val="18"/>
                <w:i w:val="1"/>
                <w:iCs w:val="1"/>
                <w:color w:val="auto"/>
              </w:rPr>
              <w:t>Total</w:t>
            </w:r>
          </w:p>
        </w:tc>
        <w:tc>
          <w:tcPr>
            <w:tcW w:w="2780" w:type="dxa"/>
            <w:vAlign w:val="bottom"/>
          </w:tcPr>
          <w:p>
            <w:pPr>
              <w:jc w:val="right"/>
              <w:spacing w:after="0"/>
              <w:rPr>
                <w:sz w:val="20"/>
                <w:szCs w:val="20"/>
                <w:color w:val="auto"/>
              </w:rPr>
            </w:pPr>
            <w:r>
              <w:rPr>
                <w:rFonts w:ascii="Arial" w:cs="Arial" w:eastAsia="Arial" w:hAnsi="Arial"/>
                <w:sz w:val="18"/>
                <w:szCs w:val="18"/>
                <w:color w:val="auto"/>
              </w:rPr>
              <w:t>233,000,000</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460" w:type="dxa"/>
            <w:vAlign w:val="bottom"/>
            <w:gridSpan w:val="2"/>
          </w:tcPr>
          <w:p>
            <w:pPr>
              <w:jc w:val="right"/>
              <w:ind w:right="670"/>
              <w:spacing w:after="0"/>
              <w:rPr>
                <w:sz w:val="20"/>
                <w:szCs w:val="20"/>
                <w:color w:val="auto"/>
              </w:rPr>
            </w:pPr>
            <w:r>
              <w:rPr>
                <w:rFonts w:ascii="Arial" w:cs="Arial" w:eastAsia="Arial" w:hAnsi="Arial"/>
                <w:sz w:val="18"/>
                <w:szCs w:val="18"/>
                <w:color w:val="auto"/>
              </w:rPr>
              <w:t>127</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Project Asgard (2020 A&amp;R) –</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w w:val="93"/>
              </w:rPr>
              <w:t>Amended and Restated</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Facilities Agreement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43" w:name="page744"/>
    <w:bookmarkEnd w:id="7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Guarantors</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Original Guarantor</w:t>
            </w:r>
          </w:p>
        </w:tc>
        <w:tc>
          <w:tcPr>
            <w:tcW w:w="2640" w:type="dxa"/>
            <w:vAlign w:val="bottom"/>
          </w:tcPr>
          <w:p>
            <w:pPr>
              <w:ind w:left="1160"/>
              <w:spacing w:after="0"/>
              <w:rPr>
                <w:sz w:val="20"/>
                <w:szCs w:val="20"/>
                <w:color w:val="auto"/>
              </w:rPr>
            </w:pPr>
            <w:r>
              <w:rPr>
                <w:rFonts w:ascii="Arial" w:cs="Arial" w:eastAsia="Arial" w:hAnsi="Arial"/>
                <w:sz w:val="14"/>
                <w:szCs w:val="14"/>
                <w:b w:val="1"/>
                <w:bCs w:val="1"/>
                <w:color w:val="auto"/>
              </w:rPr>
              <w:t>Jurisdiction of</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Registration Number</w:t>
            </w:r>
          </w:p>
        </w:tc>
        <w:tc>
          <w:tcPr>
            <w:tcW w:w="0" w:type="dxa"/>
            <w:vAlign w:val="bottom"/>
          </w:tcPr>
          <w:p>
            <w:pPr>
              <w:spacing w:after="0"/>
              <w:rPr>
                <w:sz w:val="1"/>
                <w:szCs w:val="1"/>
                <w:color w:val="auto"/>
              </w:rPr>
            </w:pPr>
          </w:p>
        </w:tc>
      </w:tr>
      <w:tr>
        <w:trPr>
          <w:trHeight w:val="161"/>
        </w:trPr>
        <w:tc>
          <w:tcPr>
            <w:tcW w:w="3820" w:type="dxa"/>
            <w:vAlign w:val="bottom"/>
            <w:vMerge w:val="continue"/>
          </w:tcPr>
          <w:p>
            <w:pPr>
              <w:spacing w:after="0"/>
              <w:rPr>
                <w:sz w:val="14"/>
                <w:szCs w:val="14"/>
                <w:color w:val="auto"/>
              </w:rPr>
            </w:pPr>
          </w:p>
        </w:tc>
        <w:tc>
          <w:tcPr>
            <w:tcW w:w="2640" w:type="dxa"/>
            <w:vAlign w:val="bottom"/>
          </w:tcPr>
          <w:p>
            <w:pPr>
              <w:ind w:left="1180"/>
              <w:spacing w:after="0"/>
              <w:rPr>
                <w:sz w:val="20"/>
                <w:szCs w:val="20"/>
                <w:color w:val="auto"/>
              </w:rPr>
            </w:pPr>
            <w:r>
              <w:rPr>
                <w:rFonts w:ascii="Arial" w:cs="Arial" w:eastAsia="Arial" w:hAnsi="Arial"/>
                <w:sz w:val="14"/>
                <w:szCs w:val="14"/>
                <w:b w:val="1"/>
                <w:bCs w:val="1"/>
                <w:color w:val="auto"/>
              </w:rPr>
              <w:t>incorporation</w:t>
            </w:r>
          </w:p>
        </w:tc>
        <w:tc>
          <w:tcPr>
            <w:tcW w:w="1860" w:type="dxa"/>
            <w:vAlign w:val="bottom"/>
          </w:tcPr>
          <w:p>
            <w:pPr>
              <w:jc w:val="right"/>
              <w:ind w:right="112"/>
              <w:spacing w:after="0"/>
              <w:rPr>
                <w:sz w:val="20"/>
                <w:szCs w:val="20"/>
                <w:color w:val="auto"/>
              </w:rPr>
            </w:pPr>
            <w:r>
              <w:rPr>
                <w:rFonts w:ascii="Arial" w:cs="Arial" w:eastAsia="Arial" w:hAnsi="Arial"/>
                <w:sz w:val="14"/>
                <w:szCs w:val="14"/>
                <w:b w:val="1"/>
                <w:bCs w:val="1"/>
                <w:color w:val="auto"/>
              </w:rPr>
              <w:t>(or equivalent)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Studio City Investments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British Virgin Islands</w:t>
            </w:r>
          </w:p>
        </w:tc>
        <w:tc>
          <w:tcPr>
            <w:tcW w:w="1860" w:type="dxa"/>
            <w:vAlign w:val="bottom"/>
          </w:tcPr>
          <w:p>
            <w:pPr>
              <w:jc w:val="right"/>
              <w:spacing w:after="0"/>
              <w:rPr>
                <w:sz w:val="20"/>
                <w:szCs w:val="20"/>
                <w:color w:val="auto"/>
              </w:rPr>
            </w:pPr>
            <w:r>
              <w:rPr>
                <w:rFonts w:ascii="Arial" w:cs="Arial" w:eastAsia="Arial" w:hAnsi="Arial"/>
                <w:sz w:val="18"/>
                <w:szCs w:val="18"/>
                <w:color w:val="auto"/>
              </w:rPr>
              <w:t>1673083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Studio City Holdings Two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British Virgin Islands</w:t>
            </w:r>
          </w:p>
        </w:tc>
        <w:tc>
          <w:tcPr>
            <w:tcW w:w="1860" w:type="dxa"/>
            <w:vAlign w:val="bottom"/>
          </w:tcPr>
          <w:p>
            <w:pPr>
              <w:jc w:val="right"/>
              <w:spacing w:after="0"/>
              <w:rPr>
                <w:sz w:val="20"/>
                <w:szCs w:val="20"/>
                <w:color w:val="auto"/>
              </w:rPr>
            </w:pPr>
            <w:r>
              <w:rPr>
                <w:rFonts w:ascii="Arial" w:cs="Arial" w:eastAsia="Arial" w:hAnsi="Arial"/>
                <w:sz w:val="18"/>
                <w:szCs w:val="18"/>
                <w:color w:val="auto"/>
              </w:rPr>
              <w:t>402572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Studio City Holdings Three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British Virgin Islands</w:t>
            </w:r>
          </w:p>
        </w:tc>
        <w:tc>
          <w:tcPr>
            <w:tcW w:w="1860" w:type="dxa"/>
            <w:vAlign w:val="bottom"/>
          </w:tcPr>
          <w:p>
            <w:pPr>
              <w:jc w:val="right"/>
              <w:spacing w:after="0"/>
              <w:rPr>
                <w:sz w:val="20"/>
                <w:szCs w:val="20"/>
                <w:color w:val="auto"/>
              </w:rPr>
            </w:pPr>
            <w:r>
              <w:rPr>
                <w:rFonts w:ascii="Arial" w:cs="Arial" w:eastAsia="Arial" w:hAnsi="Arial"/>
                <w:sz w:val="18"/>
                <w:szCs w:val="18"/>
                <w:color w:val="auto"/>
              </w:rPr>
              <w:t>1746781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Studio City Holdings Four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British Virgin Islands</w:t>
            </w:r>
          </w:p>
        </w:tc>
        <w:tc>
          <w:tcPr>
            <w:tcW w:w="1860" w:type="dxa"/>
            <w:vAlign w:val="bottom"/>
          </w:tcPr>
          <w:p>
            <w:pPr>
              <w:jc w:val="right"/>
              <w:spacing w:after="0"/>
              <w:rPr>
                <w:sz w:val="20"/>
                <w:szCs w:val="20"/>
                <w:color w:val="auto"/>
              </w:rPr>
            </w:pPr>
            <w:r>
              <w:rPr>
                <w:rFonts w:ascii="Arial" w:cs="Arial" w:eastAsia="Arial" w:hAnsi="Arial"/>
                <w:sz w:val="18"/>
                <w:szCs w:val="18"/>
                <w:color w:val="auto"/>
              </w:rPr>
              <w:t>1746782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SCP Holdings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British Virgin Islands</w:t>
            </w:r>
          </w:p>
        </w:tc>
        <w:tc>
          <w:tcPr>
            <w:tcW w:w="1860" w:type="dxa"/>
            <w:vAlign w:val="bottom"/>
          </w:tcPr>
          <w:p>
            <w:pPr>
              <w:jc w:val="right"/>
              <w:spacing w:after="0"/>
              <w:rPr>
                <w:sz w:val="20"/>
                <w:szCs w:val="20"/>
                <w:color w:val="auto"/>
              </w:rPr>
            </w:pPr>
            <w:r>
              <w:rPr>
                <w:rFonts w:ascii="Arial" w:cs="Arial" w:eastAsia="Arial" w:hAnsi="Arial"/>
                <w:sz w:val="18"/>
                <w:szCs w:val="18"/>
                <w:color w:val="auto"/>
              </w:rPr>
              <w:t>1697577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SCP One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British Virgin Islands</w:t>
            </w:r>
          </w:p>
        </w:tc>
        <w:tc>
          <w:tcPr>
            <w:tcW w:w="1860" w:type="dxa"/>
            <w:vAlign w:val="bottom"/>
          </w:tcPr>
          <w:p>
            <w:pPr>
              <w:jc w:val="right"/>
              <w:spacing w:after="0"/>
              <w:rPr>
                <w:sz w:val="20"/>
                <w:szCs w:val="20"/>
                <w:color w:val="auto"/>
              </w:rPr>
            </w:pPr>
            <w:r>
              <w:rPr>
                <w:rFonts w:ascii="Arial" w:cs="Arial" w:eastAsia="Arial" w:hAnsi="Arial"/>
                <w:sz w:val="18"/>
                <w:szCs w:val="18"/>
                <w:color w:val="auto"/>
              </w:rPr>
              <w:t>1697795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SCP Two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British Virgin Islands</w:t>
            </w:r>
          </w:p>
        </w:tc>
        <w:tc>
          <w:tcPr>
            <w:tcW w:w="1860" w:type="dxa"/>
            <w:vAlign w:val="bottom"/>
          </w:tcPr>
          <w:p>
            <w:pPr>
              <w:jc w:val="right"/>
              <w:spacing w:after="0"/>
              <w:rPr>
                <w:sz w:val="20"/>
                <w:szCs w:val="20"/>
                <w:color w:val="auto"/>
              </w:rPr>
            </w:pPr>
            <w:r>
              <w:rPr>
                <w:rFonts w:ascii="Arial" w:cs="Arial" w:eastAsia="Arial" w:hAnsi="Arial"/>
                <w:sz w:val="18"/>
                <w:szCs w:val="18"/>
                <w:color w:val="auto"/>
              </w:rPr>
              <w:t>1697797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SCIP Holdings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British Virgin Islands</w:t>
            </w:r>
          </w:p>
        </w:tc>
        <w:tc>
          <w:tcPr>
            <w:tcW w:w="1860" w:type="dxa"/>
            <w:vAlign w:val="bottom"/>
          </w:tcPr>
          <w:p>
            <w:pPr>
              <w:jc w:val="right"/>
              <w:spacing w:after="0"/>
              <w:rPr>
                <w:sz w:val="20"/>
                <w:szCs w:val="20"/>
                <w:color w:val="auto"/>
              </w:rPr>
            </w:pPr>
            <w:r>
              <w:rPr>
                <w:rFonts w:ascii="Arial" w:cs="Arial" w:eastAsia="Arial" w:hAnsi="Arial"/>
                <w:sz w:val="18"/>
                <w:szCs w:val="18"/>
                <w:color w:val="auto"/>
              </w:rPr>
              <w:t>1789810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Studio City Entertainment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Macau SAR</w:t>
            </w:r>
          </w:p>
        </w:tc>
        <w:tc>
          <w:tcPr>
            <w:tcW w:w="1860" w:type="dxa"/>
            <w:vAlign w:val="bottom"/>
          </w:tcPr>
          <w:p>
            <w:pPr>
              <w:jc w:val="right"/>
              <w:spacing w:after="0"/>
              <w:rPr>
                <w:sz w:val="20"/>
                <w:szCs w:val="20"/>
                <w:color w:val="auto"/>
              </w:rPr>
            </w:pPr>
            <w:r>
              <w:rPr>
                <w:rFonts w:ascii="Arial" w:cs="Arial" w:eastAsia="Arial" w:hAnsi="Arial"/>
                <w:sz w:val="18"/>
                <w:szCs w:val="18"/>
                <w:color w:val="auto"/>
              </w:rPr>
              <w:t>27610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Studio City Services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Macau SAR</w:t>
            </w:r>
          </w:p>
        </w:tc>
        <w:tc>
          <w:tcPr>
            <w:tcW w:w="1860" w:type="dxa"/>
            <w:vAlign w:val="bottom"/>
          </w:tcPr>
          <w:p>
            <w:pPr>
              <w:jc w:val="right"/>
              <w:spacing w:after="0"/>
              <w:rPr>
                <w:sz w:val="20"/>
                <w:szCs w:val="20"/>
                <w:color w:val="auto"/>
              </w:rPr>
            </w:pPr>
            <w:r>
              <w:rPr>
                <w:rFonts w:ascii="Arial" w:cs="Arial" w:eastAsia="Arial" w:hAnsi="Arial"/>
                <w:sz w:val="18"/>
                <w:szCs w:val="18"/>
                <w:color w:val="auto"/>
              </w:rPr>
              <w:t>40053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Studio City Hotels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Macau SAR</w:t>
            </w:r>
          </w:p>
        </w:tc>
        <w:tc>
          <w:tcPr>
            <w:tcW w:w="1860" w:type="dxa"/>
            <w:vAlign w:val="bottom"/>
          </w:tcPr>
          <w:p>
            <w:pPr>
              <w:jc w:val="right"/>
              <w:spacing w:after="0"/>
              <w:rPr>
                <w:sz w:val="20"/>
                <w:szCs w:val="20"/>
                <w:color w:val="auto"/>
              </w:rPr>
            </w:pPr>
            <w:r>
              <w:rPr>
                <w:rFonts w:ascii="Arial" w:cs="Arial" w:eastAsia="Arial" w:hAnsi="Arial"/>
                <w:sz w:val="18"/>
                <w:szCs w:val="18"/>
                <w:color w:val="auto"/>
              </w:rPr>
              <w:t>41334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Studio City Hospitality and Services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Macau SAR</w:t>
            </w:r>
          </w:p>
        </w:tc>
        <w:tc>
          <w:tcPr>
            <w:tcW w:w="1860" w:type="dxa"/>
            <w:vAlign w:val="bottom"/>
          </w:tcPr>
          <w:p>
            <w:pPr>
              <w:jc w:val="right"/>
              <w:spacing w:after="0"/>
              <w:rPr>
                <w:sz w:val="20"/>
                <w:szCs w:val="20"/>
                <w:color w:val="auto"/>
              </w:rPr>
            </w:pPr>
            <w:r>
              <w:rPr>
                <w:rFonts w:ascii="Arial" w:cs="Arial" w:eastAsia="Arial" w:hAnsi="Arial"/>
                <w:sz w:val="18"/>
                <w:szCs w:val="18"/>
                <w:color w:val="auto"/>
              </w:rPr>
              <w:t>40168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Studio City Developments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Macau SAR</w:t>
            </w:r>
          </w:p>
        </w:tc>
        <w:tc>
          <w:tcPr>
            <w:tcW w:w="1860" w:type="dxa"/>
            <w:vAlign w:val="bottom"/>
          </w:tcPr>
          <w:p>
            <w:pPr>
              <w:jc w:val="right"/>
              <w:spacing w:after="0"/>
              <w:rPr>
                <w:sz w:val="20"/>
                <w:szCs w:val="20"/>
                <w:color w:val="auto"/>
              </w:rPr>
            </w:pPr>
            <w:r>
              <w:rPr>
                <w:rFonts w:ascii="Arial" w:cs="Arial" w:eastAsia="Arial" w:hAnsi="Arial"/>
                <w:sz w:val="18"/>
                <w:szCs w:val="18"/>
                <w:color w:val="auto"/>
              </w:rPr>
              <w:t>14311</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Studio City Retail Services Limited</w:t>
            </w:r>
          </w:p>
        </w:tc>
        <w:tc>
          <w:tcPr>
            <w:tcW w:w="2640" w:type="dxa"/>
            <w:vAlign w:val="bottom"/>
          </w:tcPr>
          <w:p>
            <w:pPr>
              <w:ind w:left="560"/>
              <w:spacing w:after="0"/>
              <w:rPr>
                <w:sz w:val="20"/>
                <w:szCs w:val="20"/>
                <w:color w:val="auto"/>
              </w:rPr>
            </w:pPr>
            <w:r>
              <w:rPr>
                <w:rFonts w:ascii="Arial" w:cs="Arial" w:eastAsia="Arial" w:hAnsi="Arial"/>
                <w:sz w:val="18"/>
                <w:szCs w:val="18"/>
                <w:color w:val="auto"/>
              </w:rPr>
              <w:t>Macau SAR</w:t>
            </w:r>
          </w:p>
        </w:tc>
        <w:tc>
          <w:tcPr>
            <w:tcW w:w="1860" w:type="dxa"/>
            <w:vAlign w:val="bottom"/>
          </w:tcPr>
          <w:p>
            <w:pPr>
              <w:jc w:val="right"/>
              <w:spacing w:after="0"/>
              <w:rPr>
                <w:sz w:val="20"/>
                <w:szCs w:val="20"/>
                <w:color w:val="auto"/>
              </w:rPr>
            </w:pPr>
            <w:r>
              <w:rPr>
                <w:rFonts w:ascii="Arial" w:cs="Arial" w:eastAsia="Arial" w:hAnsi="Arial"/>
                <w:sz w:val="18"/>
                <w:szCs w:val="18"/>
                <w:color w:val="auto"/>
              </w:rPr>
              <w:t>45208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44" w:name="page745"/>
    <w:bookmarkEnd w:id="74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Conditions precedent required to be delivered by an Additional Guarantor</w:t>
      </w:r>
    </w:p>
    <w:p>
      <w:pPr>
        <w:spacing w:after="0" w:line="116" w:lineRule="exact"/>
        <w:rPr>
          <w:sz w:val="20"/>
          <w:szCs w:val="20"/>
          <w:color w:val="auto"/>
        </w:rPr>
      </w:pPr>
    </w:p>
    <w:p>
      <w:pPr>
        <w:ind w:left="764" w:hanging="764"/>
        <w:spacing w:after="0"/>
        <w:tabs>
          <w:tab w:leader="none" w:pos="764"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An Accession Letter executed by the Additional Guarantor and the Borrower.</w:t>
      </w:r>
    </w:p>
    <w:p>
      <w:pPr>
        <w:spacing w:after="0" w:line="130" w:lineRule="exact"/>
        <w:rPr>
          <w:rFonts w:ascii="Arial" w:cs="Arial" w:eastAsia="Arial" w:hAnsi="Arial"/>
          <w:sz w:val="18"/>
          <w:szCs w:val="18"/>
          <w:color w:val="auto"/>
        </w:rPr>
      </w:pPr>
    </w:p>
    <w:p>
      <w:pPr>
        <w:ind w:left="764" w:hanging="764"/>
        <w:spacing w:after="0"/>
        <w:tabs>
          <w:tab w:leader="none" w:pos="764"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A copy of the Constitutional Documents of the Additional Guarantor.</w:t>
      </w:r>
    </w:p>
    <w:p>
      <w:pPr>
        <w:spacing w:after="0" w:line="130" w:lineRule="exact"/>
        <w:rPr>
          <w:rFonts w:ascii="Arial" w:cs="Arial" w:eastAsia="Arial" w:hAnsi="Arial"/>
          <w:sz w:val="18"/>
          <w:szCs w:val="18"/>
          <w:color w:val="auto"/>
        </w:rPr>
      </w:pPr>
    </w:p>
    <w:p>
      <w:pPr>
        <w:ind w:left="764" w:right="400" w:hanging="764"/>
        <w:spacing w:after="0" w:line="263" w:lineRule="auto"/>
        <w:tabs>
          <w:tab w:leader="none" w:pos="764"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In the case of any Additional Guarantor who is a US Person, a copy of a good standing certificate (including verification of tax status) or equivalent with respect to the Additional Guarantor, issued as of a recent date by the Secretary of State or other relevant State or other Governmental Authority.</w:t>
      </w:r>
    </w:p>
    <w:p>
      <w:pPr>
        <w:spacing w:after="0" w:line="89" w:lineRule="exact"/>
        <w:rPr>
          <w:rFonts w:ascii="Arial" w:cs="Arial" w:eastAsia="Arial" w:hAnsi="Arial"/>
          <w:sz w:val="18"/>
          <w:szCs w:val="18"/>
          <w:color w:val="auto"/>
        </w:rPr>
      </w:pPr>
    </w:p>
    <w:p>
      <w:pPr>
        <w:ind w:left="764" w:hanging="764"/>
        <w:spacing w:after="0"/>
        <w:tabs>
          <w:tab w:leader="none" w:pos="764"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or sole director of the Additional Guarantor:</w:t>
      </w:r>
    </w:p>
    <w:p>
      <w:pPr>
        <w:spacing w:after="0" w:line="130" w:lineRule="exact"/>
        <w:rPr>
          <w:rFonts w:ascii="Arial" w:cs="Arial" w:eastAsia="Arial" w:hAnsi="Arial"/>
          <w:sz w:val="18"/>
          <w:szCs w:val="18"/>
          <w:color w:val="auto"/>
        </w:rPr>
      </w:pPr>
    </w:p>
    <w:p>
      <w:pPr>
        <w:jc w:val="both"/>
        <w:ind w:left="1304" w:right="340" w:hanging="535"/>
        <w:spacing w:after="0" w:line="263" w:lineRule="auto"/>
        <w:tabs>
          <w:tab w:leader="none" w:pos="1304" w:val="left"/>
        </w:tabs>
        <w:numPr>
          <w:ilvl w:val="1"/>
          <w:numId w:val="1141"/>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Accession Letter and the Transaction Documents to which it is a party and resolving that it execute, deliver and perform the Accession Letter and any other Transaction Documents to which it is a party;</w:t>
      </w:r>
    </w:p>
    <w:p>
      <w:pPr>
        <w:spacing w:after="0" w:line="89" w:lineRule="exact"/>
        <w:rPr>
          <w:rFonts w:ascii="Arial" w:cs="Arial" w:eastAsia="Arial" w:hAnsi="Arial"/>
          <w:sz w:val="18"/>
          <w:szCs w:val="18"/>
          <w:color w:val="auto"/>
        </w:rPr>
      </w:pPr>
    </w:p>
    <w:p>
      <w:pPr>
        <w:ind w:left="1304" w:hanging="535"/>
        <w:spacing w:after="0"/>
        <w:tabs>
          <w:tab w:leader="none" w:pos="1304" w:val="left"/>
        </w:tabs>
        <w:numPr>
          <w:ilvl w:val="1"/>
          <w:numId w:val="1141"/>
        </w:numPr>
        <w:rPr>
          <w:rFonts w:ascii="Arial" w:cs="Arial" w:eastAsia="Arial" w:hAnsi="Arial"/>
          <w:sz w:val="17"/>
          <w:szCs w:val="17"/>
          <w:color w:val="auto"/>
        </w:rPr>
      </w:pPr>
      <w:r>
        <w:rPr>
          <w:rFonts w:ascii="Arial" w:cs="Arial" w:eastAsia="Arial" w:hAnsi="Arial"/>
          <w:sz w:val="17"/>
          <w:szCs w:val="17"/>
          <w:color w:val="auto"/>
        </w:rPr>
        <w:t>authorising a specified person or persons to execute the Accession Letter and other Transaction Documents on its behalf; and</w:t>
      </w:r>
    </w:p>
    <w:p>
      <w:pPr>
        <w:spacing w:after="0" w:line="142" w:lineRule="exact"/>
        <w:rPr>
          <w:rFonts w:ascii="Arial" w:cs="Arial" w:eastAsia="Arial" w:hAnsi="Arial"/>
          <w:sz w:val="17"/>
          <w:szCs w:val="17"/>
          <w:color w:val="auto"/>
        </w:rPr>
      </w:pPr>
    </w:p>
    <w:p>
      <w:pPr>
        <w:ind w:left="1304" w:hanging="535"/>
        <w:spacing w:after="0"/>
        <w:tabs>
          <w:tab w:leader="none" w:pos="1304" w:val="left"/>
        </w:tabs>
        <w:numPr>
          <w:ilvl w:val="1"/>
          <w:numId w:val="1141"/>
        </w:numPr>
        <w:rPr>
          <w:rFonts w:ascii="Arial" w:cs="Arial" w:eastAsia="Arial" w:hAnsi="Arial"/>
          <w:sz w:val="18"/>
          <w:szCs w:val="18"/>
          <w:color w:val="auto"/>
        </w:rPr>
      </w:pPr>
      <w:r>
        <w:rPr>
          <w:rFonts w:ascii="Arial" w:cs="Arial" w:eastAsia="Arial" w:hAnsi="Arial"/>
          <w:sz w:val="18"/>
          <w:szCs w:val="18"/>
          <w:color w:val="auto"/>
        </w:rPr>
        <w:t>authorising the Borrower to act as its agent in connection with the Finance Documents.</w:t>
      </w:r>
    </w:p>
    <w:p>
      <w:pPr>
        <w:spacing w:after="0" w:line="130" w:lineRule="exact"/>
        <w:rPr>
          <w:rFonts w:ascii="Arial" w:cs="Arial" w:eastAsia="Arial" w:hAnsi="Arial"/>
          <w:sz w:val="18"/>
          <w:szCs w:val="18"/>
          <w:color w:val="auto"/>
        </w:rPr>
      </w:pPr>
    </w:p>
    <w:p>
      <w:pPr>
        <w:ind w:left="764" w:hanging="764"/>
        <w:spacing w:after="0"/>
        <w:tabs>
          <w:tab w:leader="none" w:pos="764"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4 above.</w:t>
      </w:r>
    </w:p>
    <w:p>
      <w:pPr>
        <w:spacing w:after="0" w:line="130" w:lineRule="exact"/>
        <w:rPr>
          <w:rFonts w:ascii="Arial" w:cs="Arial" w:eastAsia="Arial" w:hAnsi="Arial"/>
          <w:sz w:val="18"/>
          <w:szCs w:val="18"/>
          <w:color w:val="auto"/>
        </w:rPr>
      </w:pPr>
    </w:p>
    <w:p>
      <w:pPr>
        <w:ind w:left="764" w:hanging="764"/>
        <w:spacing w:after="0" w:line="277" w:lineRule="auto"/>
        <w:tabs>
          <w:tab w:leader="none" w:pos="764"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A copy of a resolution signed by all the holders of the issued shares in each Additional Guarantor, approving the terms of, and the transactions contemplated by, the Transaction Documents to which it is a party.</w:t>
      </w:r>
    </w:p>
    <w:p>
      <w:pPr>
        <w:spacing w:after="0" w:line="75" w:lineRule="exact"/>
        <w:rPr>
          <w:rFonts w:ascii="Arial" w:cs="Arial" w:eastAsia="Arial" w:hAnsi="Arial"/>
          <w:sz w:val="18"/>
          <w:szCs w:val="18"/>
          <w:color w:val="auto"/>
        </w:rPr>
      </w:pPr>
    </w:p>
    <w:p>
      <w:pPr>
        <w:ind w:left="764" w:right="340" w:hanging="764"/>
        <w:spacing w:after="0" w:line="286" w:lineRule="auto"/>
        <w:tabs>
          <w:tab w:leader="none" w:pos="764" w:val="left"/>
        </w:tabs>
        <w:numPr>
          <w:ilvl w:val="0"/>
          <w:numId w:val="1141"/>
        </w:numPr>
        <w:rPr>
          <w:rFonts w:ascii="Arial" w:cs="Arial" w:eastAsia="Arial" w:hAnsi="Arial"/>
          <w:sz w:val="17"/>
          <w:szCs w:val="17"/>
          <w:color w:val="auto"/>
        </w:rPr>
      </w:pPr>
      <w:r>
        <w:rPr>
          <w:rFonts w:ascii="Arial" w:cs="Arial" w:eastAsia="Arial" w:hAnsi="Arial"/>
          <w:sz w:val="17"/>
          <w:szCs w:val="17"/>
          <w:color w:val="auto"/>
        </w:rPr>
        <w:t>A certificate of the Additional Guarantor (signed by a director) confirming that borrowing or guaranteeing or securing, as appropriate, the Total Commitments or the entry into or performance under any of the Transaction Documents to which it is a party would not cause any borrowing, guarantee, security or similar limit or any other Legal Requirement binding on it to be exceeded.</w:t>
      </w:r>
    </w:p>
    <w:p>
      <w:pPr>
        <w:spacing w:after="0" w:line="70" w:lineRule="exact"/>
        <w:rPr>
          <w:rFonts w:ascii="Arial" w:cs="Arial" w:eastAsia="Arial" w:hAnsi="Arial"/>
          <w:sz w:val="17"/>
          <w:szCs w:val="17"/>
          <w:color w:val="auto"/>
        </w:rPr>
      </w:pPr>
    </w:p>
    <w:p>
      <w:pPr>
        <w:ind w:left="764" w:right="40" w:hanging="764"/>
        <w:spacing w:after="0" w:line="263" w:lineRule="auto"/>
        <w:tabs>
          <w:tab w:leader="none" w:pos="764"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A certificate of an authorised signatory of the Additional Guarantor certifying that each document, copy document and other evidence listed in this Schedule 2 is correct, complete and in full force and effect and has not been amended or superseded as at a date no earlier than the date of the Accession Letter.</w:t>
      </w:r>
    </w:p>
    <w:p>
      <w:pPr>
        <w:spacing w:after="0" w:line="89" w:lineRule="exact"/>
        <w:rPr>
          <w:rFonts w:ascii="Arial" w:cs="Arial" w:eastAsia="Arial" w:hAnsi="Arial"/>
          <w:sz w:val="18"/>
          <w:szCs w:val="18"/>
          <w:color w:val="auto"/>
        </w:rPr>
      </w:pPr>
    </w:p>
    <w:p>
      <w:pPr>
        <w:ind w:left="764" w:hanging="764"/>
        <w:spacing w:after="0"/>
        <w:tabs>
          <w:tab w:leader="none" w:pos="764"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The following legal opinions:</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1"/>
          <w:numId w:val="1141"/>
        </w:numPr>
        <w:rPr>
          <w:rFonts w:ascii="Arial" w:cs="Arial" w:eastAsia="Arial" w:hAnsi="Arial"/>
          <w:sz w:val="18"/>
          <w:szCs w:val="18"/>
          <w:color w:val="auto"/>
        </w:rPr>
      </w:pPr>
      <w:r>
        <w:rPr>
          <w:rFonts w:ascii="Arial" w:cs="Arial" w:eastAsia="Arial" w:hAnsi="Arial"/>
          <w:sz w:val="18"/>
          <w:szCs w:val="18"/>
          <w:color w:val="auto"/>
        </w:rPr>
        <w:t>A legal opinion of the legal advisers to the Agent and the Common Security Agent, as to English law.</w:t>
      </w:r>
    </w:p>
    <w:p>
      <w:pPr>
        <w:spacing w:after="0" w:line="130" w:lineRule="exact"/>
        <w:rPr>
          <w:rFonts w:ascii="Arial" w:cs="Arial" w:eastAsia="Arial" w:hAnsi="Arial"/>
          <w:sz w:val="18"/>
          <w:szCs w:val="18"/>
          <w:color w:val="auto"/>
        </w:rPr>
      </w:pPr>
    </w:p>
    <w:p>
      <w:pPr>
        <w:ind w:left="1304" w:right="20" w:hanging="535"/>
        <w:spacing w:after="0" w:line="263" w:lineRule="auto"/>
        <w:tabs>
          <w:tab w:leader="none" w:pos="1304" w:val="left"/>
        </w:tabs>
        <w:numPr>
          <w:ilvl w:val="1"/>
          <w:numId w:val="1141"/>
        </w:numPr>
        <w:rPr>
          <w:rFonts w:ascii="Arial" w:cs="Arial" w:eastAsia="Arial" w:hAnsi="Arial"/>
          <w:sz w:val="18"/>
          <w:szCs w:val="18"/>
          <w:color w:val="auto"/>
        </w:rPr>
      </w:pPr>
      <w:r>
        <w:rPr>
          <w:rFonts w:ascii="Arial" w:cs="Arial" w:eastAsia="Arial" w:hAnsi="Arial"/>
          <w:sz w:val="18"/>
          <w:szCs w:val="18"/>
          <w:color w:val="auto"/>
        </w:rPr>
        <w:t>If the Additional Guarantor is incorporated in a jurisdiction other than England and Wales or is executing a Finance Document which is governed by a law other than English law, a legal opinion of the legal advisers to the Agent and the Common Security Agent in each of those jurisdictions.</w:t>
      </w:r>
    </w:p>
    <w:p>
      <w:pPr>
        <w:spacing w:after="0" w:line="89" w:lineRule="exact"/>
        <w:rPr>
          <w:rFonts w:ascii="Arial" w:cs="Arial" w:eastAsia="Arial" w:hAnsi="Arial"/>
          <w:sz w:val="18"/>
          <w:szCs w:val="18"/>
          <w:color w:val="auto"/>
        </w:rPr>
      </w:pPr>
    </w:p>
    <w:p>
      <w:pPr>
        <w:ind w:left="764" w:right="400" w:hanging="764"/>
        <w:spacing w:after="0" w:line="277" w:lineRule="auto"/>
        <w:tabs>
          <w:tab w:leader="none" w:pos="764"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Evidence that the agent for service of process specified in Clause 42.2 (</w:t>
      </w:r>
      <w:r>
        <w:rPr>
          <w:rFonts w:ascii="Arial" w:cs="Arial" w:eastAsia="Arial" w:hAnsi="Arial"/>
          <w:sz w:val="18"/>
          <w:szCs w:val="18"/>
          <w:i w:val="1"/>
          <w:iCs w:val="1"/>
          <w:color w:val="auto"/>
        </w:rPr>
        <w:t>Service of process</w:t>
      </w:r>
      <w:r>
        <w:rPr>
          <w:rFonts w:ascii="Arial" w:cs="Arial" w:eastAsia="Arial" w:hAnsi="Arial"/>
          <w:sz w:val="18"/>
          <w:szCs w:val="18"/>
          <w:color w:val="auto"/>
        </w:rPr>
        <w:t>) has accepted its appointment in relation to the proposed Additional Guarantor.</w:t>
      </w:r>
    </w:p>
    <w:p>
      <w:pPr>
        <w:spacing w:after="0" w:line="103"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45" w:name="page746"/>
    <w:bookmarkEnd w:id="745"/>
    <w:p>
      <w:pPr>
        <w:ind w:left="764" w:right="20" w:hanging="764"/>
        <w:spacing w:after="0" w:line="277" w:lineRule="auto"/>
        <w:tabs>
          <w:tab w:leader="none" w:pos="764" w:val="left"/>
        </w:tabs>
        <w:numPr>
          <w:ilvl w:val="0"/>
          <w:numId w:val="1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Security Documents which are required by the Agent to be executed by the proposed Additional Guarantor (and which are in form and substance substantially equivalent to those entered into by the existing Obligors).</w:t>
      </w:r>
    </w:p>
    <w:p>
      <w:pPr>
        <w:spacing w:after="0" w:line="75" w:lineRule="exact"/>
        <w:rPr>
          <w:rFonts w:ascii="Arial" w:cs="Arial" w:eastAsia="Arial" w:hAnsi="Arial"/>
          <w:sz w:val="18"/>
          <w:szCs w:val="18"/>
          <w:color w:val="auto"/>
        </w:rPr>
      </w:pPr>
    </w:p>
    <w:p>
      <w:pPr>
        <w:ind w:left="764" w:right="100" w:hanging="764"/>
        <w:spacing w:after="0" w:line="263" w:lineRule="auto"/>
        <w:tabs>
          <w:tab w:leader="none" w:pos="764" w:val="left"/>
        </w:tabs>
        <w:numPr>
          <w:ilvl w:val="0"/>
          <w:numId w:val="1142"/>
        </w:numPr>
        <w:rPr>
          <w:rFonts w:ascii="Arial" w:cs="Arial" w:eastAsia="Arial" w:hAnsi="Arial"/>
          <w:sz w:val="18"/>
          <w:szCs w:val="18"/>
          <w:color w:val="auto"/>
        </w:rPr>
      </w:pPr>
      <w:r>
        <w:rPr>
          <w:rFonts w:ascii="Arial" w:cs="Arial" w:eastAsia="Arial" w:hAnsi="Arial"/>
          <w:sz w:val="18"/>
          <w:szCs w:val="18"/>
          <w:color w:val="auto"/>
        </w:rPr>
        <w:t>Any notices, requests for undertakings or other documents required to be given or executed under the terms of those Transaction Security Documents, together with, where relevant, their due acknowledgement and agreement by the addressee or any other person expressed to be a party thereto.</w:t>
      </w:r>
    </w:p>
    <w:p>
      <w:pPr>
        <w:spacing w:after="0" w:line="89" w:lineRule="exact"/>
        <w:rPr>
          <w:rFonts w:ascii="Arial" w:cs="Arial" w:eastAsia="Arial" w:hAnsi="Arial"/>
          <w:sz w:val="18"/>
          <w:szCs w:val="18"/>
          <w:color w:val="auto"/>
        </w:rPr>
      </w:pPr>
    </w:p>
    <w:p>
      <w:pPr>
        <w:ind w:left="764" w:right="100" w:hanging="764"/>
        <w:spacing w:after="0" w:line="275" w:lineRule="auto"/>
        <w:tabs>
          <w:tab w:leader="none" w:pos="764" w:val="left"/>
        </w:tabs>
        <w:numPr>
          <w:ilvl w:val="0"/>
          <w:numId w:val="1142"/>
        </w:numPr>
        <w:rPr>
          <w:rFonts w:ascii="Arial" w:cs="Arial" w:eastAsia="Arial" w:hAnsi="Arial"/>
          <w:sz w:val="17"/>
          <w:szCs w:val="17"/>
          <w:color w:val="auto"/>
        </w:rPr>
      </w:pPr>
      <w:r>
        <w:rPr>
          <w:rFonts w:ascii="Arial" w:cs="Arial" w:eastAsia="Arial" w:hAnsi="Arial"/>
          <w:sz w:val="17"/>
          <w:szCs w:val="17"/>
          <w:color w:val="auto"/>
        </w:rPr>
        <w:t>Evidence that promptly after the execution of any Transaction Security Document by a company incorporated in the British Virgin Islands (a “</w:t>
      </w:r>
      <w:r>
        <w:rPr>
          <w:rFonts w:ascii="Arial" w:cs="Arial" w:eastAsia="Arial" w:hAnsi="Arial"/>
          <w:sz w:val="17"/>
          <w:szCs w:val="17"/>
          <w:b w:val="1"/>
          <w:bCs w:val="1"/>
          <w:color w:val="auto"/>
        </w:rPr>
        <w:t>BVI Company</w:t>
      </w:r>
      <w:r>
        <w:rPr>
          <w:rFonts w:ascii="Arial" w:cs="Arial" w:eastAsia="Arial" w:hAnsi="Arial"/>
          <w:sz w:val="17"/>
          <w:szCs w:val="17"/>
          <w:color w:val="auto"/>
        </w:rPr>
        <w:t>”), such BVI Company has instructed (i) its registered agent in the British Virgin Islands to create and maintain a Register of Charges that complies with the BVI Business Companies Act (as amended) (the “</w:t>
      </w:r>
      <w:r>
        <w:rPr>
          <w:rFonts w:ascii="Arial" w:cs="Arial" w:eastAsia="Arial" w:hAnsi="Arial"/>
          <w:sz w:val="17"/>
          <w:szCs w:val="17"/>
          <w:b w:val="1"/>
          <w:bCs w:val="1"/>
          <w:color w:val="auto"/>
        </w:rPr>
        <w:t>BBCA</w:t>
      </w:r>
      <w:r>
        <w:rPr>
          <w:rFonts w:ascii="Arial" w:cs="Arial" w:eastAsia="Arial" w:hAnsi="Arial"/>
          <w:sz w:val="17"/>
          <w:szCs w:val="17"/>
          <w:color w:val="auto"/>
        </w:rPr>
        <w:t>”), (ii) to enter particulars of the security created pursuant to such Transaction Security Document in such Register of Charges, and (iii) its registered agent to effect registration of such Transaction Security Document at the Registry pursuant to Section 163 of the BBCA.</w:t>
      </w:r>
    </w:p>
    <w:p>
      <w:pPr>
        <w:spacing w:after="0" w:line="81" w:lineRule="exact"/>
        <w:rPr>
          <w:rFonts w:ascii="Arial" w:cs="Arial" w:eastAsia="Arial" w:hAnsi="Arial"/>
          <w:sz w:val="17"/>
          <w:szCs w:val="17"/>
          <w:color w:val="auto"/>
        </w:rPr>
      </w:pPr>
    </w:p>
    <w:p>
      <w:pPr>
        <w:ind w:left="764" w:right="40" w:hanging="764"/>
        <w:spacing w:after="0" w:line="259" w:lineRule="auto"/>
        <w:tabs>
          <w:tab w:leader="none" w:pos="764" w:val="left"/>
        </w:tabs>
        <w:numPr>
          <w:ilvl w:val="0"/>
          <w:numId w:val="1142"/>
        </w:numPr>
        <w:rPr>
          <w:rFonts w:ascii="Arial" w:cs="Arial" w:eastAsia="Arial" w:hAnsi="Arial"/>
          <w:sz w:val="18"/>
          <w:szCs w:val="18"/>
          <w:color w:val="auto"/>
        </w:rPr>
      </w:pPr>
      <w:r>
        <w:rPr>
          <w:rFonts w:ascii="Arial" w:cs="Arial" w:eastAsia="Arial" w:hAnsi="Arial"/>
          <w:sz w:val="18"/>
          <w:szCs w:val="18"/>
          <w:color w:val="auto"/>
        </w:rPr>
        <w:t>Evidence that within 10 Business Days after the date of execution of any relevant Transaction Security Documents relating to shares in a BVI Company, (i) a notation of the security created by such Transaction Security Document has been made in the relevant Register of Members of such BVI Company pursuant to section 66(8) of the BBCA and (ii) a copy of such annotated Register of Members has been filed with the Registry.</w:t>
      </w:r>
    </w:p>
    <w:p>
      <w:pPr>
        <w:spacing w:after="0" w:line="92" w:lineRule="exact"/>
        <w:rPr>
          <w:rFonts w:ascii="Arial" w:cs="Arial" w:eastAsia="Arial" w:hAnsi="Arial"/>
          <w:sz w:val="18"/>
          <w:szCs w:val="18"/>
          <w:color w:val="auto"/>
        </w:rPr>
      </w:pPr>
    </w:p>
    <w:p>
      <w:pPr>
        <w:ind w:left="764" w:hanging="764"/>
        <w:spacing w:after="0"/>
        <w:tabs>
          <w:tab w:leader="none" w:pos="764" w:val="left"/>
        </w:tabs>
        <w:numPr>
          <w:ilvl w:val="0"/>
          <w:numId w:val="1142"/>
        </w:numPr>
        <w:rPr>
          <w:rFonts w:ascii="Arial" w:cs="Arial" w:eastAsia="Arial" w:hAnsi="Arial"/>
          <w:sz w:val="18"/>
          <w:szCs w:val="18"/>
          <w:color w:val="auto"/>
        </w:rPr>
      </w:pPr>
      <w:r>
        <w:rPr>
          <w:rFonts w:ascii="Arial" w:cs="Arial" w:eastAsia="Arial" w:hAnsi="Arial"/>
          <w:sz w:val="18"/>
          <w:szCs w:val="18"/>
          <w:color w:val="auto"/>
        </w:rPr>
        <w:t>A certified copy of each of the Registers of Members referred to and as annotated as set out in paragraph 14 above.</w:t>
      </w:r>
    </w:p>
    <w:p>
      <w:pPr>
        <w:spacing w:after="0" w:line="158"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46" w:name="page747"/>
    <w:bookmarkEnd w:id="74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Requests and notices</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Utilisation Request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Revolving Facility</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Studio City Company Limited as Borrower</w:t>
      </w:r>
    </w:p>
    <w:p>
      <w:pPr>
        <w:spacing w:after="0" w:line="117" w:lineRule="exact"/>
        <w:rPr>
          <w:sz w:val="20"/>
          <w:szCs w:val="20"/>
          <w:color w:val="auto"/>
        </w:rPr>
      </w:pPr>
    </w:p>
    <w:p>
      <w:pPr>
        <w:ind w:left="4"/>
        <w:spacing w:after="0"/>
        <w:tabs>
          <w:tab w:leader="none" w:pos="50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left="580"/>
        <w:spacing w:after="0" w:line="282" w:lineRule="auto"/>
        <w:rPr>
          <w:sz w:val="20"/>
          <w:szCs w:val="20"/>
          <w:color w:val="auto"/>
        </w:rPr>
      </w:pPr>
      <w:r>
        <w:rPr>
          <w:rFonts w:ascii="Arial" w:cs="Arial" w:eastAsia="Arial" w:hAnsi="Arial"/>
          <w:sz w:val="18"/>
          <w:szCs w:val="18"/>
          <w:b w:val="1"/>
          <w:bCs w:val="1"/>
          <w:color w:val="auto"/>
        </w:rPr>
        <w:t>Studio City Company Limited—Facilities Agreement originally dated 28 January 2013 (as amended and amended and restated from time to time) (the “Facilities Agreement”)</w:t>
      </w:r>
    </w:p>
    <w:p>
      <w:pPr>
        <w:spacing w:after="0" w:line="71" w:lineRule="exact"/>
        <w:rPr>
          <w:sz w:val="20"/>
          <w:szCs w:val="20"/>
          <w:color w:val="auto"/>
        </w:rPr>
      </w:pPr>
    </w:p>
    <w:p>
      <w:pPr>
        <w:ind w:left="764" w:right="160" w:hanging="764"/>
        <w:spacing w:after="0" w:line="277" w:lineRule="auto"/>
        <w:tabs>
          <w:tab w:leader="none" w:pos="764" w:val="left"/>
        </w:tabs>
        <w:numPr>
          <w:ilvl w:val="0"/>
          <w:numId w:val="1143"/>
        </w:numPr>
        <w:rPr>
          <w:rFonts w:ascii="Arial" w:cs="Arial" w:eastAsia="Arial" w:hAnsi="Arial"/>
          <w:sz w:val="18"/>
          <w:szCs w:val="18"/>
          <w:color w:val="auto"/>
        </w:rPr>
      </w:pPr>
      <w:r>
        <w:rPr>
          <w:rFonts w:ascii="Arial" w:cs="Arial" w:eastAsia="Arial" w:hAnsi="Arial"/>
          <w:sz w:val="18"/>
          <w:szCs w:val="18"/>
          <w:color w:val="auto"/>
        </w:rPr>
        <w:t>We refer to the Facilities Agreement. This is a Utilisation Request. Terms defined in the Facilities Agreement have the same meaning in this Utilisation Request unless given a different meaning in this Utilisation Request.</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143"/>
        </w:numPr>
        <w:rPr>
          <w:rFonts w:ascii="Arial" w:cs="Arial" w:eastAsia="Arial" w:hAnsi="Arial"/>
          <w:sz w:val="18"/>
          <w:szCs w:val="18"/>
          <w:color w:val="auto"/>
        </w:rPr>
      </w:pPr>
      <w:r>
        <w:rPr>
          <w:rFonts w:ascii="Arial" w:cs="Arial" w:eastAsia="Arial" w:hAnsi="Arial"/>
          <w:sz w:val="18"/>
          <w:szCs w:val="18"/>
          <w:color w:val="auto"/>
        </w:rPr>
        <w:t>We wish to borrow a Revolving Facility Loan on the following terms:</w:t>
      </w:r>
    </w:p>
    <w:p>
      <w:pPr>
        <w:sectPr>
          <w:pgSz w:w="11900" w:h="16838" w:orient="portrait"/>
          <w:cols w:equalWidth="0" w:num="1">
            <w:col w:w="11024"/>
          </w:cols>
          <w:pgMar w:left="436" w:top="270" w:right="439" w:bottom="1440" w:gutter="0" w:footer="0" w:header="0"/>
        </w:sectPr>
      </w:pPr>
    </w:p>
    <w:p>
      <w:pPr>
        <w:spacing w:after="0" w:line="252" w:lineRule="exact"/>
        <w:rPr>
          <w:sz w:val="20"/>
          <w:szCs w:val="20"/>
          <w:color w:val="auto"/>
        </w:rPr>
      </w:pPr>
    </w:p>
    <w:p>
      <w:pPr>
        <w:ind w:left="964"/>
        <w:spacing w:after="0"/>
        <w:rPr>
          <w:sz w:val="20"/>
          <w:szCs w:val="20"/>
          <w:color w:val="auto"/>
        </w:rPr>
      </w:pPr>
      <w:r>
        <w:rPr>
          <w:rFonts w:ascii="Arial" w:cs="Arial" w:eastAsia="Arial" w:hAnsi="Arial"/>
          <w:sz w:val="16"/>
          <w:szCs w:val="16"/>
          <w:color w:val="auto"/>
        </w:rPr>
        <w:t>Proposed Utilisation 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(or, if that is not a Business Day, the next Business Day)</w:t>
      </w:r>
    </w:p>
    <w:p>
      <w:pPr>
        <w:spacing w:after="0" w:line="139" w:lineRule="exact"/>
        <w:rPr>
          <w:sz w:val="20"/>
          <w:szCs w:val="20"/>
          <w:color w:val="auto"/>
        </w:rPr>
      </w:pPr>
    </w:p>
    <w:p>
      <w:pPr>
        <w:sectPr>
          <w:pgSz w:w="11900" w:h="16838" w:orient="portrait"/>
          <w:cols w:equalWidth="0" w:num="2">
            <w:col w:w="3244" w:space="720"/>
            <w:col w:w="7060"/>
          </w:cols>
          <w:pgMar w:left="436" w:top="270" w:right="439" w:bottom="1440" w:gutter="0" w:footer="0" w:header="0"/>
          <w:type w:val="continuous"/>
        </w:sectPr>
      </w:pPr>
    </w:p>
    <w:p>
      <w:pPr>
        <w:ind w:left="964"/>
        <w:spacing w:after="0"/>
        <w:rPr>
          <w:sz w:val="20"/>
          <w:szCs w:val="20"/>
          <w:color w:val="auto"/>
        </w:rPr>
      </w:pPr>
      <w:r>
        <w:rPr>
          <w:rFonts w:ascii="Arial" w:cs="Arial" w:eastAsia="Arial" w:hAnsi="Arial"/>
          <w:sz w:val="16"/>
          <w:szCs w:val="16"/>
          <w:color w:val="auto"/>
        </w:rPr>
        <w:t>Currency of Loan: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HK dollars</w:t>
      </w:r>
    </w:p>
    <w:p>
      <w:pPr>
        <w:spacing w:after="0" w:line="129" w:lineRule="exact"/>
        <w:rPr>
          <w:sz w:val="20"/>
          <w:szCs w:val="20"/>
          <w:color w:val="auto"/>
        </w:rPr>
      </w:pPr>
    </w:p>
    <w:p>
      <w:pPr>
        <w:sectPr>
          <w:pgSz w:w="11900" w:h="16838" w:orient="portrait"/>
          <w:cols w:equalWidth="0" w:num="2">
            <w:col w:w="3244" w:space="720"/>
            <w:col w:w="7060"/>
          </w:cols>
          <w:pgMar w:left="436" w:top="270" w:right="439" w:bottom="1440" w:gutter="0" w:footer="0" w:header="0"/>
          <w:type w:val="continuous"/>
        </w:sectPr>
      </w:pPr>
    </w:p>
    <w:p>
      <w:pPr>
        <w:ind w:left="944"/>
        <w:spacing w:after="0"/>
        <w:rPr>
          <w:sz w:val="20"/>
          <w:szCs w:val="20"/>
          <w:color w:val="auto"/>
        </w:rPr>
      </w:pPr>
      <w:r>
        <w:rPr>
          <w:rFonts w:ascii="Arial" w:cs="Arial" w:eastAsia="Arial" w:hAnsi="Arial"/>
          <w:sz w:val="17"/>
          <w:szCs w:val="17"/>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or, if less, the Available Facility</w:t>
      </w:r>
    </w:p>
    <w:p>
      <w:pPr>
        <w:spacing w:after="0" w:line="129" w:lineRule="exact"/>
        <w:rPr>
          <w:sz w:val="20"/>
          <w:szCs w:val="20"/>
          <w:color w:val="auto"/>
        </w:rPr>
      </w:pPr>
    </w:p>
    <w:p>
      <w:pPr>
        <w:sectPr>
          <w:pgSz w:w="11900" w:h="16838" w:orient="portrait"/>
          <w:cols w:equalWidth="0" w:num="2">
            <w:col w:w="3244" w:space="720"/>
            <w:col w:w="7060"/>
          </w:cols>
          <w:pgMar w:left="436" w:top="270" w:right="439" w:bottom="1440" w:gutter="0" w:footer="0" w:header="0"/>
          <w:type w:val="continuous"/>
        </w:sectPr>
      </w:pPr>
    </w:p>
    <w:p>
      <w:pPr>
        <w:ind w:left="964"/>
        <w:spacing w:after="0"/>
        <w:rPr>
          <w:sz w:val="20"/>
          <w:szCs w:val="20"/>
          <w:color w:val="auto"/>
        </w:rPr>
      </w:pPr>
      <w:r>
        <w:rPr>
          <w:rFonts w:ascii="Arial" w:cs="Arial" w:eastAsia="Arial" w:hAnsi="Arial"/>
          <w:sz w:val="16"/>
          <w:szCs w:val="16"/>
          <w:color w:val="auto"/>
        </w:rPr>
        <w:t>Interest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2">
            <w:col w:w="3244" w:space="720"/>
            <w:col w:w="7060"/>
          </w:cols>
          <w:pgMar w:left="436" w:top="270" w:right="439" w:bottom="1440" w:gutter="0" w:footer="0" w:header="0"/>
          <w:type w:val="continuous"/>
        </w:sectPr>
      </w:pPr>
    </w:p>
    <w:p>
      <w:pPr>
        <w:ind w:left="784"/>
        <w:spacing w:after="0"/>
        <w:rPr>
          <w:sz w:val="20"/>
          <w:szCs w:val="20"/>
          <w:color w:val="auto"/>
        </w:rPr>
      </w:pPr>
      <w:r>
        <w:rPr>
          <w:rFonts w:ascii="Arial" w:cs="Arial" w:eastAsia="Arial" w:hAnsi="Arial"/>
          <w:sz w:val="15"/>
          <w:szCs w:val="15"/>
          <w:color w:val="auto"/>
        </w:rPr>
        <w:t>Purpose: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ectPr>
          <w:pgSz w:w="11900" w:h="16838" w:orient="portrait"/>
          <w:cols w:equalWidth="0" w:num="2">
            <w:col w:w="3244" w:space="720"/>
            <w:col w:w="7060"/>
          </w:cols>
          <w:pgMar w:left="436" w:top="270" w:right="439" w:bottom="1440" w:gutter="0" w:footer="0" w:header="0"/>
          <w:type w:val="continuous"/>
        </w:sectPr>
      </w:pPr>
    </w:p>
    <w:p>
      <w:pPr>
        <w:ind w:left="764" w:hanging="764"/>
        <w:spacing w:after="0"/>
        <w:tabs>
          <w:tab w:leader="none" w:pos="764" w:val="left"/>
        </w:tabs>
        <w:numPr>
          <w:ilvl w:val="0"/>
          <w:numId w:val="1144"/>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130" w:lineRule="exact"/>
        <w:rPr>
          <w:rFonts w:ascii="Arial" w:cs="Arial" w:eastAsia="Arial" w:hAnsi="Arial"/>
          <w:sz w:val="18"/>
          <w:szCs w:val="18"/>
          <w:color w:val="auto"/>
        </w:rPr>
      </w:pPr>
    </w:p>
    <w:p>
      <w:pPr>
        <w:ind w:left="1304" w:right="260" w:hanging="535"/>
        <w:spacing w:after="0" w:line="263" w:lineRule="auto"/>
        <w:tabs>
          <w:tab w:leader="none" w:pos="1304" w:val="left"/>
        </w:tabs>
        <w:numPr>
          <w:ilvl w:val="1"/>
          <w:numId w:val="1144"/>
        </w:numPr>
        <w:rPr>
          <w:rFonts w:ascii="Arial" w:cs="Arial" w:eastAsia="Arial" w:hAnsi="Arial"/>
          <w:sz w:val="18"/>
          <w:szCs w:val="18"/>
          <w:color w:val="auto"/>
        </w:rPr>
      </w:pPr>
      <w:r>
        <w:rPr>
          <w:rFonts w:ascii="Arial" w:cs="Arial" w:eastAsia="Arial" w:hAnsi="Arial"/>
          <w:sz w:val="18"/>
          <w:szCs w:val="18"/>
          <w:color w:val="auto"/>
        </w:rPr>
        <w:t>the purpose specified above complies with the permitted use of the Revolving Facility under the Facilities Agreement and the restrictions set out in of Clause 5.5 (</w:t>
      </w:r>
      <w:r>
        <w:rPr>
          <w:rFonts w:ascii="Arial" w:cs="Arial" w:eastAsia="Arial" w:hAnsi="Arial"/>
          <w:sz w:val="18"/>
          <w:szCs w:val="18"/>
          <w:i w:val="1"/>
          <w:iCs w:val="1"/>
          <w:color w:val="auto"/>
        </w:rPr>
        <w:t>Limitations on Utilisations</w:t>
      </w:r>
      <w:r>
        <w:rPr>
          <w:rFonts w:ascii="Arial" w:cs="Arial" w:eastAsia="Arial" w:hAnsi="Arial"/>
          <w:sz w:val="18"/>
          <w:szCs w:val="18"/>
          <w:color w:val="auto"/>
        </w:rPr>
        <w:t>) of the Facilities Agreement and no part of the Loan will be applied otherwise than in accordance with such purpose; and</w:t>
      </w:r>
    </w:p>
    <w:p>
      <w:pPr>
        <w:spacing w:after="0" w:line="89" w:lineRule="exact"/>
        <w:rPr>
          <w:rFonts w:ascii="Arial" w:cs="Arial" w:eastAsia="Arial" w:hAnsi="Arial"/>
          <w:sz w:val="18"/>
          <w:szCs w:val="18"/>
          <w:color w:val="auto"/>
        </w:rPr>
      </w:pPr>
    </w:p>
    <w:p>
      <w:pPr>
        <w:ind w:left="1304" w:hanging="535"/>
        <w:spacing w:after="0"/>
        <w:tabs>
          <w:tab w:leader="none" w:pos="1304" w:val="left"/>
        </w:tabs>
        <w:numPr>
          <w:ilvl w:val="1"/>
          <w:numId w:val="1144"/>
        </w:numPr>
        <w:rPr>
          <w:rFonts w:ascii="Arial" w:cs="Arial" w:eastAsia="Arial" w:hAnsi="Arial"/>
          <w:sz w:val="18"/>
          <w:szCs w:val="18"/>
          <w:color w:val="auto"/>
        </w:rPr>
      </w:pPr>
      <w:r>
        <w:rPr>
          <w:rFonts w:ascii="Arial" w:cs="Arial" w:eastAsia="Arial" w:hAnsi="Arial"/>
          <w:sz w:val="18"/>
          <w:szCs w:val="18"/>
          <w:color w:val="auto"/>
        </w:rPr>
        <w:t>each condition specified in Clause 4.1 (</w:t>
      </w:r>
      <w:r>
        <w:rPr>
          <w:rFonts w:ascii="Arial" w:cs="Arial" w:eastAsia="Arial" w:hAnsi="Arial"/>
          <w:sz w:val="18"/>
          <w:szCs w:val="18"/>
          <w:i w:val="1"/>
          <w:iCs w:val="1"/>
          <w:color w:val="auto"/>
        </w:rPr>
        <w:t>Utilisation conditions precedent</w:t>
      </w:r>
      <w:r>
        <w:rPr>
          <w:rFonts w:ascii="Arial" w:cs="Arial" w:eastAsia="Arial" w:hAnsi="Arial"/>
          <w:sz w:val="18"/>
          <w:szCs w:val="18"/>
          <w:color w:val="auto"/>
        </w:rPr>
        <w:t>) is satisfied on the date of this Utilisation Request.</w:t>
      </w:r>
    </w:p>
    <w:p>
      <w:pPr>
        <w:spacing w:after="0" w:line="130" w:lineRule="exact"/>
        <w:rPr>
          <w:rFonts w:ascii="Arial" w:cs="Arial" w:eastAsia="Arial" w:hAnsi="Arial"/>
          <w:sz w:val="18"/>
          <w:szCs w:val="18"/>
          <w:color w:val="auto"/>
        </w:rPr>
      </w:pPr>
    </w:p>
    <w:p>
      <w:pPr>
        <w:ind w:left="764" w:right="920" w:hanging="764"/>
        <w:spacing w:after="0" w:line="277" w:lineRule="auto"/>
        <w:tabs>
          <w:tab w:leader="none" w:pos="764" w:val="left"/>
        </w:tabs>
        <w:numPr>
          <w:ilvl w:val="0"/>
          <w:numId w:val="1144"/>
        </w:numPr>
        <w:rPr>
          <w:rFonts w:ascii="Arial" w:cs="Arial" w:eastAsia="Arial" w:hAnsi="Arial"/>
          <w:sz w:val="18"/>
          <w:szCs w:val="18"/>
          <w:color w:val="auto"/>
        </w:rPr>
      </w:pPr>
      <w:r>
        <w:rPr>
          <w:rFonts w:ascii="Arial" w:cs="Arial" w:eastAsia="Arial" w:hAnsi="Arial"/>
          <w:sz w:val="18"/>
          <w:szCs w:val="18"/>
          <w:color w:val="auto"/>
        </w:rPr>
        <w:t>[This Revolving Facility Loan is to be made in [whole]/[part] for the purpose of refinancing [</w:t>
      </w:r>
      <w:r>
        <w:rPr>
          <w:rFonts w:ascii="Arial" w:cs="Arial" w:eastAsia="Arial" w:hAnsi="Arial"/>
          <w:sz w:val="18"/>
          <w:szCs w:val="18"/>
          <w:i w:val="1"/>
          <w:iCs w:val="1"/>
          <w:color w:val="auto"/>
        </w:rPr>
        <w:t>identify maturing Revolving Facility</w:t>
      </w:r>
      <w:r>
        <w:rPr>
          <w:rFonts w:ascii="Arial" w:cs="Arial" w:eastAsia="Arial" w:hAnsi="Arial"/>
          <w:sz w:val="18"/>
          <w:szCs w:val="18"/>
          <w:color w:val="auto"/>
        </w:rPr>
        <w:t xml:space="preserve"> </w:t>
      </w:r>
      <w:r>
        <w:rPr>
          <w:rFonts w:ascii="Arial" w:cs="Arial" w:eastAsia="Arial" w:hAnsi="Arial"/>
          <w:sz w:val="18"/>
          <w:szCs w:val="18"/>
          <w:i w:val="1"/>
          <w:iCs w:val="1"/>
          <w:color w:val="auto"/>
        </w:rPr>
        <w:t>Loan</w:t>
      </w:r>
      <w:r>
        <w:rPr>
          <w:rFonts w:ascii="Arial" w:cs="Arial" w:eastAsia="Arial" w:hAnsi="Arial"/>
          <w:sz w:val="18"/>
          <w:szCs w:val="18"/>
          <w:color w:val="auto"/>
        </w:rPr>
        <w:t>].]/[The proceeds of this Loan should be credited to [</w:t>
      </w:r>
      <w:r>
        <w:rPr>
          <w:rFonts w:ascii="Arial" w:cs="Arial" w:eastAsia="Arial" w:hAnsi="Arial"/>
          <w:sz w:val="18"/>
          <w:szCs w:val="18"/>
          <w:i w:val="1"/>
          <w:iCs w:val="1"/>
          <w:color w:val="auto"/>
        </w:rPr>
        <w:t>account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144"/>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7152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color w:val="auto"/>
        </w:rPr>
        <w:t>authorised signatory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Studio City Company Limited</w:t>
      </w:r>
    </w:p>
    <w:p>
      <w:pPr>
        <w:spacing w:after="0" w:line="143"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type w:val="continuous"/>
        </w:sectPr>
      </w:pPr>
    </w:p>
    <w:bookmarkStart w:id="747" w:name="page748"/>
    <w:bookmarkEnd w:id="74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Selection Notice</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Studio City Company Limited as Borrower</w:t>
      </w:r>
    </w:p>
    <w:p>
      <w:pPr>
        <w:spacing w:after="0" w:line="117" w:lineRule="exact"/>
        <w:rPr>
          <w:sz w:val="20"/>
          <w:szCs w:val="20"/>
          <w:color w:val="auto"/>
        </w:rPr>
      </w:pPr>
    </w:p>
    <w:p>
      <w:pPr>
        <w:ind w:left="4"/>
        <w:spacing w:after="0"/>
        <w:tabs>
          <w:tab w:leader="none" w:pos="50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left="440" w:right="140"/>
        <w:spacing w:after="0" w:line="282" w:lineRule="auto"/>
        <w:rPr>
          <w:sz w:val="20"/>
          <w:szCs w:val="20"/>
          <w:color w:val="auto"/>
        </w:rPr>
      </w:pPr>
      <w:r>
        <w:rPr>
          <w:rFonts w:ascii="Arial" w:cs="Arial" w:eastAsia="Arial" w:hAnsi="Arial"/>
          <w:sz w:val="18"/>
          <w:szCs w:val="18"/>
          <w:b w:val="1"/>
          <w:bCs w:val="1"/>
          <w:color w:val="auto"/>
        </w:rPr>
        <w:t>Studio City Company Limited—Facilities Agreement originally dated 28 January 2013 (as amended and amended and restated from time to time) (the “Facilities Agreement”)</w:t>
      </w:r>
    </w:p>
    <w:p>
      <w:pPr>
        <w:spacing w:after="0" w:line="71" w:lineRule="exact"/>
        <w:rPr>
          <w:sz w:val="20"/>
          <w:szCs w:val="20"/>
          <w:color w:val="auto"/>
        </w:rPr>
      </w:pPr>
    </w:p>
    <w:p>
      <w:pPr>
        <w:ind w:left="764" w:right="360" w:hanging="764"/>
        <w:spacing w:after="0" w:line="277" w:lineRule="auto"/>
        <w:tabs>
          <w:tab w:leader="none" w:pos="764" w:val="left"/>
        </w:tabs>
        <w:numPr>
          <w:ilvl w:val="0"/>
          <w:numId w:val="1145"/>
        </w:numPr>
        <w:rPr>
          <w:rFonts w:ascii="Arial" w:cs="Arial" w:eastAsia="Arial" w:hAnsi="Arial"/>
          <w:sz w:val="18"/>
          <w:szCs w:val="18"/>
          <w:color w:val="auto"/>
        </w:rPr>
      </w:pPr>
      <w:r>
        <w:rPr>
          <w:rFonts w:ascii="Arial" w:cs="Arial" w:eastAsia="Arial" w:hAnsi="Arial"/>
          <w:sz w:val="18"/>
          <w:szCs w:val="18"/>
          <w:color w:val="auto"/>
        </w:rPr>
        <w:t>We refer to the Facilities Agreement. This is a Selection Notice. Terms defined in the Facilities Agreement have the same meaning in this Selection Notice unless given a different meaning in this Selection Notice.</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145"/>
        </w:numPr>
        <w:rPr>
          <w:rFonts w:ascii="Arial" w:cs="Arial" w:eastAsia="Arial" w:hAnsi="Arial"/>
          <w:sz w:val="18"/>
          <w:szCs w:val="18"/>
          <w:color w:val="auto"/>
        </w:rPr>
      </w:pPr>
      <w:r>
        <w:rPr>
          <w:rFonts w:ascii="Arial" w:cs="Arial" w:eastAsia="Arial" w:hAnsi="Arial"/>
          <w:sz w:val="18"/>
          <w:szCs w:val="18"/>
          <w:color w:val="auto"/>
        </w:rPr>
        <w:t>The current Interest Period for the Facility A Loan will end on [●].</w:t>
      </w:r>
    </w:p>
    <w:p>
      <w:pPr>
        <w:spacing w:after="0" w:line="130" w:lineRule="exact"/>
        <w:rPr>
          <w:rFonts w:ascii="Arial" w:cs="Arial" w:eastAsia="Arial" w:hAnsi="Arial"/>
          <w:sz w:val="18"/>
          <w:szCs w:val="18"/>
          <w:color w:val="auto"/>
        </w:rPr>
      </w:pPr>
    </w:p>
    <w:p>
      <w:pPr>
        <w:ind w:left="764" w:hanging="764"/>
        <w:spacing w:after="0"/>
        <w:tabs>
          <w:tab w:leader="none" w:pos="764" w:val="left"/>
        </w:tabs>
        <w:numPr>
          <w:ilvl w:val="0"/>
          <w:numId w:val="1145"/>
        </w:numPr>
        <w:rPr>
          <w:rFonts w:ascii="Arial" w:cs="Arial" w:eastAsia="Arial" w:hAnsi="Arial"/>
          <w:sz w:val="18"/>
          <w:szCs w:val="18"/>
          <w:color w:val="auto"/>
        </w:rPr>
      </w:pPr>
      <w:r>
        <w:rPr>
          <w:rFonts w:ascii="Arial" w:cs="Arial" w:eastAsia="Arial" w:hAnsi="Arial"/>
          <w:sz w:val="18"/>
          <w:szCs w:val="18"/>
          <w:color w:val="auto"/>
        </w:rPr>
        <w:t>We request that the next Interest Period for the Facility A Loan is [●].</w:t>
      </w:r>
    </w:p>
    <w:p>
      <w:pPr>
        <w:spacing w:after="0" w:line="130" w:lineRule="exact"/>
        <w:rPr>
          <w:rFonts w:ascii="Arial" w:cs="Arial" w:eastAsia="Arial" w:hAnsi="Arial"/>
          <w:sz w:val="18"/>
          <w:szCs w:val="18"/>
          <w:color w:val="auto"/>
        </w:rPr>
      </w:pPr>
    </w:p>
    <w:p>
      <w:pPr>
        <w:ind w:left="764" w:hanging="764"/>
        <w:spacing w:after="0"/>
        <w:tabs>
          <w:tab w:leader="none" w:pos="764" w:val="left"/>
        </w:tabs>
        <w:numPr>
          <w:ilvl w:val="0"/>
          <w:numId w:val="1145"/>
        </w:numPr>
        <w:rPr>
          <w:rFonts w:ascii="Arial" w:cs="Arial" w:eastAsia="Arial" w:hAnsi="Arial"/>
          <w:sz w:val="18"/>
          <w:szCs w:val="18"/>
          <w:color w:val="auto"/>
        </w:rPr>
      </w:pPr>
      <w:r>
        <w:rPr>
          <w:rFonts w:ascii="Arial" w:cs="Arial" w:eastAsia="Arial" w:hAnsi="Arial"/>
          <w:sz w:val="18"/>
          <w:szCs w:val="18"/>
          <w:color w:val="auto"/>
        </w:rPr>
        <w:t>This Selection Notice is irrevocable.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7152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10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color w:val="auto"/>
        </w:rPr>
        <w:t>authorised signatory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Studio City Company Limited</w:t>
      </w:r>
    </w:p>
    <w:p>
      <w:pPr>
        <w:spacing w:after="0" w:line="143"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48" w:name="page749"/>
    <w:bookmarkEnd w:id="74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10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Form of Transfer Certificate</w:t>
      </w:r>
    </w:p>
    <w:p>
      <w:pPr>
        <w:spacing w:after="0" w:line="238"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as Agent and [●] as Intercreditor Agent</w:t>
      </w:r>
    </w:p>
    <w:p>
      <w:pPr>
        <w:spacing w:after="0" w:line="113"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The Existing Lender</w:t>
      </w:r>
      <w:r>
        <w:rPr>
          <w:rFonts w:ascii="Arial" w:cs="Arial" w:eastAsia="Arial" w:hAnsi="Arial"/>
          <w:sz w:val="18"/>
          <w:szCs w:val="18"/>
          <w:color w:val="auto"/>
        </w:rPr>
        <w:t>] (the “</w:t>
      </w:r>
      <w:r>
        <w:rPr>
          <w:rFonts w:ascii="Arial" w:cs="Arial" w:eastAsia="Arial" w:hAnsi="Arial"/>
          <w:sz w:val="18"/>
          <w:szCs w:val="18"/>
          <w:b w:val="1"/>
          <w:bCs w:val="1"/>
          <w:color w:val="auto"/>
        </w:rPr>
        <w:t>Existing Lender</w:t>
      </w:r>
      <w:r>
        <w:rPr>
          <w:rFonts w:ascii="Arial" w:cs="Arial" w:eastAsia="Arial" w:hAnsi="Arial"/>
          <w:sz w:val="18"/>
          <w:szCs w:val="18"/>
          <w:color w:val="auto"/>
        </w:rPr>
        <w:t>”) and [</w:t>
      </w:r>
      <w:r>
        <w:rPr>
          <w:rFonts w:ascii="Arial" w:cs="Arial" w:eastAsia="Arial" w:hAnsi="Arial"/>
          <w:sz w:val="18"/>
          <w:szCs w:val="18"/>
          <w:i w:val="1"/>
          <w:iCs w:val="1"/>
          <w:color w:val="auto"/>
        </w:rPr>
        <w:t>The New Lender</w:t>
      </w:r>
      <w:r>
        <w:rPr>
          <w:rFonts w:ascii="Arial" w:cs="Arial" w:eastAsia="Arial" w:hAnsi="Arial"/>
          <w:sz w:val="18"/>
          <w:szCs w:val="18"/>
          <w:color w:val="auto"/>
        </w:rPr>
        <w:t>]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left="440" w:right="140"/>
        <w:spacing w:after="0" w:line="282" w:lineRule="auto"/>
        <w:rPr>
          <w:sz w:val="20"/>
          <w:szCs w:val="20"/>
          <w:color w:val="auto"/>
        </w:rPr>
      </w:pPr>
      <w:r>
        <w:rPr>
          <w:rFonts w:ascii="Arial" w:cs="Arial" w:eastAsia="Arial" w:hAnsi="Arial"/>
          <w:sz w:val="18"/>
          <w:szCs w:val="18"/>
          <w:b w:val="1"/>
          <w:bCs w:val="1"/>
          <w:color w:val="auto"/>
        </w:rPr>
        <w:t>Studio City Company Limited—Facilities Agreement originally dated 28 January 2013 (as amended and amended and restated from time to time) (the “Facilities Agreement”)</w:t>
      </w:r>
    </w:p>
    <w:p>
      <w:pPr>
        <w:spacing w:after="0" w:line="71" w:lineRule="exact"/>
        <w:rPr>
          <w:sz w:val="20"/>
          <w:szCs w:val="20"/>
          <w:color w:val="auto"/>
        </w:rPr>
      </w:pPr>
    </w:p>
    <w:p>
      <w:pPr>
        <w:ind w:left="764" w:hanging="764"/>
        <w:spacing w:after="0"/>
        <w:tabs>
          <w:tab w:leader="none" w:pos="764" w:val="left"/>
        </w:tabs>
        <w:numPr>
          <w:ilvl w:val="0"/>
          <w:numId w:val="1146"/>
        </w:numPr>
        <w:rPr>
          <w:rFonts w:ascii="Arial" w:cs="Arial" w:eastAsia="Arial" w:hAnsi="Arial"/>
          <w:sz w:val="17"/>
          <w:szCs w:val="17"/>
          <w:color w:val="auto"/>
        </w:rPr>
      </w:pPr>
      <w:r>
        <w:rPr>
          <w:rFonts w:ascii="Arial" w:cs="Arial" w:eastAsia="Arial" w:hAnsi="Arial"/>
          <w:sz w:val="17"/>
          <w:szCs w:val="17"/>
          <w:color w:val="auto"/>
        </w:rPr>
        <w:t>We refer to the Facilities Agreement and to the Intercreditor Agreement (as defined in the Facilities Agreement). This agreement (the</w:t>
      </w:r>
    </w:p>
    <w:p>
      <w:pPr>
        <w:spacing w:after="0" w:line="34" w:lineRule="exact"/>
        <w:rPr>
          <w:rFonts w:ascii="Arial" w:cs="Arial" w:eastAsia="Arial" w:hAnsi="Arial"/>
          <w:sz w:val="17"/>
          <w:szCs w:val="17"/>
          <w:color w:val="auto"/>
        </w:rPr>
      </w:pPr>
    </w:p>
    <w:p>
      <w:pPr>
        <w:ind w:left="764" w:right="60"/>
        <w:spacing w:after="0" w:line="253"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take effect as a Transfer Certificate for the purpose of the Facilities Agreement and as a Creditor/Creditor Representative Accession Undertaking for the purposes of the Intercreditor Agreement (and as defined in the Intercreditor Agreement). Terms defined in or construed for the purposes of the Facilities Agreement have the same meaning in this Agreement unless given a different meaning in this Agreement.</w:t>
      </w:r>
    </w:p>
    <w:p>
      <w:pPr>
        <w:spacing w:after="0" w:line="98" w:lineRule="exact"/>
        <w:rPr>
          <w:rFonts w:ascii="Arial" w:cs="Arial" w:eastAsia="Arial" w:hAnsi="Arial"/>
          <w:sz w:val="17"/>
          <w:szCs w:val="17"/>
          <w:color w:val="auto"/>
        </w:rPr>
      </w:pPr>
    </w:p>
    <w:p>
      <w:pPr>
        <w:ind w:left="764" w:hanging="764"/>
        <w:spacing w:after="0"/>
        <w:tabs>
          <w:tab w:leader="none" w:pos="764" w:val="left"/>
        </w:tabs>
        <w:numPr>
          <w:ilvl w:val="0"/>
          <w:numId w:val="1146"/>
        </w:numPr>
        <w:rPr>
          <w:rFonts w:ascii="Arial" w:cs="Arial" w:eastAsia="Arial" w:hAnsi="Arial"/>
          <w:sz w:val="18"/>
          <w:szCs w:val="18"/>
          <w:color w:val="auto"/>
        </w:rPr>
      </w:pPr>
      <w:r>
        <w:rPr>
          <w:rFonts w:ascii="Arial" w:cs="Arial" w:eastAsia="Arial" w:hAnsi="Arial"/>
          <w:sz w:val="18"/>
          <w:szCs w:val="18"/>
          <w:color w:val="auto"/>
        </w:rPr>
        <w:t>We refer to Clause 25.5 (</w:t>
      </w:r>
      <w:r>
        <w:rPr>
          <w:rFonts w:ascii="Arial" w:cs="Arial" w:eastAsia="Arial" w:hAnsi="Arial"/>
          <w:sz w:val="18"/>
          <w:szCs w:val="18"/>
          <w:i w:val="1"/>
          <w:iCs w:val="1"/>
          <w:color w:val="auto"/>
        </w:rPr>
        <w:t>Procedure for transfer</w:t>
      </w:r>
      <w:r>
        <w:rPr>
          <w:rFonts w:ascii="Arial" w:cs="Arial" w:eastAsia="Arial" w:hAnsi="Arial"/>
          <w:sz w:val="18"/>
          <w:szCs w:val="18"/>
          <w:color w:val="auto"/>
        </w:rPr>
        <w:t>) of the Facilities Agreement:</w:t>
      </w:r>
    </w:p>
    <w:p>
      <w:pPr>
        <w:spacing w:after="0" w:line="130" w:lineRule="exact"/>
        <w:rPr>
          <w:rFonts w:ascii="Arial" w:cs="Arial" w:eastAsia="Arial" w:hAnsi="Arial"/>
          <w:sz w:val="18"/>
          <w:szCs w:val="18"/>
          <w:color w:val="auto"/>
        </w:rPr>
      </w:pPr>
    </w:p>
    <w:p>
      <w:pPr>
        <w:ind w:left="1304" w:right="20" w:hanging="535"/>
        <w:spacing w:after="0" w:line="263" w:lineRule="auto"/>
        <w:tabs>
          <w:tab w:leader="none" w:pos="1304" w:val="left"/>
        </w:tabs>
        <w:numPr>
          <w:ilvl w:val="1"/>
          <w:numId w:val="1146"/>
        </w:numPr>
        <w:rPr>
          <w:rFonts w:ascii="Arial" w:cs="Arial" w:eastAsia="Arial" w:hAnsi="Arial"/>
          <w:sz w:val="18"/>
          <w:szCs w:val="18"/>
          <w:color w:val="auto"/>
        </w:rPr>
      </w:pPr>
      <w:r>
        <w:rPr>
          <w:rFonts w:ascii="Arial" w:cs="Arial" w:eastAsia="Arial" w:hAnsi="Arial"/>
          <w:sz w:val="18"/>
          <w:szCs w:val="18"/>
          <w:color w:val="auto"/>
        </w:rPr>
        <w:t>The Existing Lender and the New Lender agree to the Existing Lender transferring to the New Lender by novation all or part of the Existing Lender’s Commitment(s) and/or all or part of the Existing Lender’s participation(s) in Loan(s), rights and obligations referred to in the Schedule in accordance with Clause 25.5 (</w:t>
      </w:r>
      <w:r>
        <w:rPr>
          <w:rFonts w:ascii="Arial" w:cs="Arial" w:eastAsia="Arial" w:hAnsi="Arial"/>
          <w:sz w:val="18"/>
          <w:szCs w:val="18"/>
          <w:i w:val="1"/>
          <w:iCs w:val="1"/>
          <w:color w:val="auto"/>
        </w:rPr>
        <w:t>Procedure for transfer</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304" w:right="200" w:hanging="535"/>
        <w:spacing w:after="0" w:line="311" w:lineRule="auto"/>
        <w:tabs>
          <w:tab w:leader="none" w:pos="1304" w:val="left"/>
        </w:tabs>
        <w:numPr>
          <w:ilvl w:val="1"/>
          <w:numId w:val="1146"/>
        </w:numPr>
        <w:rPr>
          <w:rFonts w:ascii="Arial" w:cs="Arial" w:eastAsia="Arial" w:hAnsi="Arial"/>
          <w:sz w:val="16"/>
          <w:szCs w:val="16"/>
          <w:color w:val="auto"/>
        </w:rPr>
      </w:pPr>
      <w:r>
        <w:rPr>
          <w:rFonts w:ascii="Arial" w:cs="Arial" w:eastAsia="Arial" w:hAnsi="Arial"/>
          <w:sz w:val="16"/>
          <w:szCs w:val="16"/>
          <w:color w:val="auto"/>
        </w:rPr>
        <w:t>The Existing Lender transfers to the New Lender all the rights of the Existing Lender under the Onshore Security Documents and in respect of the Transaction Security created or expressed to be created thereunder which correspond to that portion of the Existing Lender’s Commitment, rights and obligations referred to (if any) under the Onshore Security Documents in the Schedule.</w:t>
      </w:r>
    </w:p>
    <w:p>
      <w:pPr>
        <w:spacing w:after="0" w:line="54" w:lineRule="exact"/>
        <w:rPr>
          <w:rFonts w:ascii="Arial" w:cs="Arial" w:eastAsia="Arial" w:hAnsi="Arial"/>
          <w:sz w:val="16"/>
          <w:szCs w:val="16"/>
          <w:color w:val="auto"/>
        </w:rPr>
      </w:pPr>
    </w:p>
    <w:p>
      <w:pPr>
        <w:ind w:left="1304" w:right="560" w:hanging="535"/>
        <w:spacing w:after="0" w:line="342" w:lineRule="auto"/>
        <w:tabs>
          <w:tab w:leader="none" w:pos="1304" w:val="left"/>
        </w:tabs>
        <w:numPr>
          <w:ilvl w:val="1"/>
          <w:numId w:val="1146"/>
        </w:numPr>
        <w:rPr>
          <w:rFonts w:ascii="Arial" w:cs="Arial" w:eastAsia="Arial" w:hAnsi="Arial"/>
          <w:sz w:val="16"/>
          <w:szCs w:val="16"/>
          <w:color w:val="auto"/>
        </w:rPr>
      </w:pPr>
      <w:r>
        <w:rPr>
          <w:rFonts w:ascii="Arial" w:cs="Arial" w:eastAsia="Arial" w:hAnsi="Arial"/>
          <w:sz w:val="16"/>
          <w:szCs w:val="16"/>
          <w:color w:val="auto"/>
        </w:rPr>
        <w:t>The Existing Lender is released from all the obligations of the Existing Lender which correspond to that portion of the Existing Lender’s Commitment, rights and obligations referred to (if any) under the Onshore Security Documents in the Schedule.</w:t>
      </w:r>
    </w:p>
    <w:p>
      <w:pPr>
        <w:spacing w:after="0" w:line="29" w:lineRule="exact"/>
        <w:rPr>
          <w:rFonts w:ascii="Arial" w:cs="Arial" w:eastAsia="Arial" w:hAnsi="Arial"/>
          <w:sz w:val="16"/>
          <w:szCs w:val="16"/>
          <w:color w:val="auto"/>
        </w:rPr>
      </w:pPr>
    </w:p>
    <w:p>
      <w:pPr>
        <w:ind w:left="1304" w:hanging="535"/>
        <w:spacing w:after="0"/>
        <w:tabs>
          <w:tab w:leader="none" w:pos="1304" w:val="left"/>
        </w:tabs>
        <w:numPr>
          <w:ilvl w:val="1"/>
          <w:numId w:val="1146"/>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130" w:lineRule="exact"/>
        <w:rPr>
          <w:rFonts w:ascii="Arial" w:cs="Arial" w:eastAsia="Arial" w:hAnsi="Arial"/>
          <w:sz w:val="18"/>
          <w:szCs w:val="18"/>
          <w:color w:val="auto"/>
        </w:rPr>
      </w:pPr>
    </w:p>
    <w:p>
      <w:pPr>
        <w:ind w:left="1304" w:right="540" w:hanging="535"/>
        <w:spacing w:after="0" w:line="277" w:lineRule="auto"/>
        <w:tabs>
          <w:tab w:leader="none" w:pos="1304" w:val="left"/>
        </w:tabs>
        <w:numPr>
          <w:ilvl w:val="1"/>
          <w:numId w:val="1146"/>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33.2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146"/>
        </w:numPr>
        <w:rPr>
          <w:rFonts w:ascii="Arial" w:cs="Arial" w:eastAsia="Arial" w:hAnsi="Arial"/>
          <w:sz w:val="18"/>
          <w:szCs w:val="18"/>
          <w:color w:val="auto"/>
        </w:rPr>
      </w:pPr>
      <w:r>
        <w:rPr>
          <w:rFonts w:ascii="Arial" w:cs="Arial" w:eastAsia="Arial" w:hAnsi="Arial"/>
          <w:sz w:val="18"/>
          <w:szCs w:val="18"/>
          <w:color w:val="auto"/>
        </w:rPr>
        <w:t>The New Lender expressly acknowledges:</w:t>
      </w:r>
    </w:p>
    <w:p>
      <w:pPr>
        <w:spacing w:after="0" w:line="130" w:lineRule="exact"/>
        <w:rPr>
          <w:rFonts w:ascii="Arial" w:cs="Arial" w:eastAsia="Arial" w:hAnsi="Arial"/>
          <w:sz w:val="18"/>
          <w:szCs w:val="18"/>
          <w:color w:val="auto"/>
        </w:rPr>
      </w:pPr>
    </w:p>
    <w:p>
      <w:pPr>
        <w:ind w:left="1304" w:right="340" w:hanging="535"/>
        <w:spacing w:after="0" w:line="277" w:lineRule="auto"/>
        <w:tabs>
          <w:tab w:leader="none" w:pos="1304" w:val="left"/>
        </w:tabs>
        <w:numPr>
          <w:ilvl w:val="1"/>
          <w:numId w:val="1146"/>
        </w:numPr>
        <w:rPr>
          <w:rFonts w:ascii="Arial" w:cs="Arial" w:eastAsia="Arial" w:hAnsi="Arial"/>
          <w:sz w:val="18"/>
          <w:szCs w:val="18"/>
          <w:color w:val="auto"/>
        </w:rPr>
      </w:pPr>
      <w:r>
        <w:rPr>
          <w:rFonts w:ascii="Arial" w:cs="Arial" w:eastAsia="Arial" w:hAnsi="Arial"/>
          <w:sz w:val="18"/>
          <w:szCs w:val="18"/>
          <w:color w:val="auto"/>
        </w:rPr>
        <w:t>the limitations on the Existing Lender’s obligations set out in paragraph (c) of Clause 25.4 (</w:t>
      </w:r>
      <w:r>
        <w:rPr>
          <w:rFonts w:ascii="Arial" w:cs="Arial" w:eastAsia="Arial" w:hAnsi="Arial"/>
          <w:sz w:val="18"/>
          <w:szCs w:val="18"/>
          <w:i w:val="1"/>
          <w:iCs w:val="1"/>
          <w:color w:val="auto"/>
        </w:rPr>
        <w:t>Limitation of responsibility of Existing</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304" w:right="20" w:hanging="535"/>
        <w:spacing w:after="0" w:line="263" w:lineRule="auto"/>
        <w:tabs>
          <w:tab w:leader="none" w:pos="1304" w:val="left"/>
        </w:tabs>
        <w:numPr>
          <w:ilvl w:val="1"/>
          <w:numId w:val="1146"/>
        </w:numPr>
        <w:rPr>
          <w:rFonts w:ascii="Arial" w:cs="Arial" w:eastAsia="Arial" w:hAnsi="Arial"/>
          <w:sz w:val="18"/>
          <w:szCs w:val="18"/>
          <w:color w:val="auto"/>
        </w:rPr>
      </w:pPr>
      <w:r>
        <w:rPr>
          <w:rFonts w:ascii="Arial" w:cs="Arial" w:eastAsia="Arial" w:hAnsi="Arial"/>
          <w:sz w:val="18"/>
          <w:szCs w:val="18"/>
          <w:color w:val="auto"/>
        </w:rPr>
        <w:t>that it is the responsibility of the New Lender to ascertain whether any document is required or any formality or other condition requires to be satisfied to effect or perfect the transfer contemplated by this Transfer Certificate or otherwise to enable the New Lender to enjoy the full benefit of each Finance Document.</w:t>
      </w:r>
    </w:p>
    <w:p>
      <w:pPr>
        <w:spacing w:after="0" w:line="89" w:lineRule="exact"/>
        <w:rPr>
          <w:rFonts w:ascii="Arial" w:cs="Arial" w:eastAsia="Arial" w:hAnsi="Arial"/>
          <w:sz w:val="18"/>
          <w:szCs w:val="18"/>
          <w:color w:val="auto"/>
        </w:rPr>
      </w:pPr>
    </w:p>
    <w:p>
      <w:pPr>
        <w:ind w:left="764" w:hanging="764"/>
        <w:spacing w:after="0"/>
        <w:tabs>
          <w:tab w:leader="none" w:pos="764" w:val="left"/>
        </w:tabs>
        <w:numPr>
          <w:ilvl w:val="0"/>
          <w:numId w:val="1146"/>
        </w:numPr>
        <w:rPr>
          <w:rFonts w:ascii="Arial" w:cs="Arial" w:eastAsia="Arial" w:hAnsi="Arial"/>
          <w:sz w:val="17"/>
          <w:szCs w:val="17"/>
          <w:color w:val="auto"/>
        </w:rPr>
      </w:pPr>
      <w:r>
        <w:rPr>
          <w:rFonts w:ascii="Arial" w:cs="Arial" w:eastAsia="Arial" w:hAnsi="Arial"/>
          <w:sz w:val="17"/>
          <w:szCs w:val="17"/>
          <w:color w:val="auto"/>
        </w:rPr>
        <w:t>The New Lender confirms that it is a “New Lender” within the meaning of Clause 25.1 (</w:t>
      </w:r>
      <w:r>
        <w:rPr>
          <w:rFonts w:ascii="Arial" w:cs="Arial" w:eastAsia="Arial" w:hAnsi="Arial"/>
          <w:sz w:val="17"/>
          <w:szCs w:val="17"/>
          <w:i w:val="1"/>
          <w:iCs w:val="1"/>
          <w:color w:val="auto"/>
        </w:rPr>
        <w:t>Assignments and transfers by the Lenders</w:t>
      </w:r>
      <w:r>
        <w:rPr>
          <w:rFonts w:ascii="Arial" w:cs="Arial" w:eastAsia="Arial" w:hAnsi="Arial"/>
          <w:sz w:val="17"/>
          <w:szCs w:val="17"/>
          <w:color w:val="auto"/>
        </w:rPr>
        <w:t>).</w:t>
      </w:r>
    </w:p>
    <w:p>
      <w:pPr>
        <w:spacing w:after="0" w:line="169"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49" w:name="page750"/>
    <w:bookmarkEnd w:id="749"/>
    <w:p>
      <w:pPr>
        <w:ind w:left="764" w:hanging="764"/>
        <w:spacing w:after="0"/>
        <w:tabs>
          <w:tab w:leader="none" w:pos="764" w:val="left"/>
        </w:tabs>
        <w:numPr>
          <w:ilvl w:val="0"/>
          <w:numId w:val="1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10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New Lender confirms that it [is]/[is not] a Sponsor Affiliate.</w:t>
      </w:r>
    </w:p>
    <w:p>
      <w:pPr>
        <w:spacing w:after="0" w:line="130" w:lineRule="exact"/>
        <w:rPr>
          <w:rFonts w:ascii="Arial" w:cs="Arial" w:eastAsia="Arial" w:hAnsi="Arial"/>
          <w:sz w:val="18"/>
          <w:szCs w:val="18"/>
          <w:color w:val="auto"/>
        </w:rPr>
      </w:pPr>
    </w:p>
    <w:p>
      <w:pPr>
        <w:ind w:left="764" w:right="280" w:hanging="764"/>
        <w:spacing w:after="0" w:line="277" w:lineRule="auto"/>
        <w:tabs>
          <w:tab w:leader="none" w:pos="764" w:val="left"/>
        </w:tabs>
        <w:numPr>
          <w:ilvl w:val="0"/>
          <w:numId w:val="1147"/>
        </w:numPr>
        <w:rPr>
          <w:rFonts w:ascii="Arial" w:cs="Arial" w:eastAsia="Arial" w:hAnsi="Arial"/>
          <w:sz w:val="18"/>
          <w:szCs w:val="18"/>
          <w:color w:val="auto"/>
        </w:rPr>
      </w:pPr>
      <w:r>
        <w:rPr>
          <w:rFonts w:ascii="Arial" w:cs="Arial" w:eastAsia="Arial" w:hAnsi="Arial"/>
          <w:sz w:val="18"/>
          <w:szCs w:val="18"/>
          <w:color w:val="auto"/>
        </w:rPr>
        <w:t>We refer to clauses 25.5 (</w:t>
      </w:r>
      <w:r>
        <w:rPr>
          <w:rFonts w:ascii="Arial" w:cs="Arial" w:eastAsia="Arial" w:hAnsi="Arial"/>
          <w:sz w:val="18"/>
          <w:szCs w:val="18"/>
          <w:i w:val="1"/>
          <w:iCs w:val="1"/>
          <w:color w:val="auto"/>
        </w:rPr>
        <w:t>Change of Credit Facility Lender or Pari Passu Lender under an Existing Credit Facility or Pari Passu Facility</w:t>
      </w:r>
      <w:r>
        <w:rPr>
          <w:rFonts w:ascii="Arial" w:cs="Arial" w:eastAsia="Arial" w:hAnsi="Arial"/>
          <w:sz w:val="18"/>
          <w:szCs w:val="18"/>
          <w:color w:val="auto"/>
        </w:rPr>
        <w:t>) and 25.14 (</w:t>
      </w:r>
      <w:r>
        <w:rPr>
          <w:rFonts w:ascii="Arial" w:cs="Arial" w:eastAsia="Arial" w:hAnsi="Arial"/>
          <w:sz w:val="18"/>
          <w:szCs w:val="18"/>
          <w:i w:val="1"/>
          <w:iCs w:val="1"/>
          <w:color w:val="auto"/>
        </w:rPr>
        <w:t>Creditor/Creditor Representative Accession Undertaking</w:t>
      </w:r>
      <w:r>
        <w:rPr>
          <w:rFonts w:ascii="Arial" w:cs="Arial" w:eastAsia="Arial" w:hAnsi="Arial"/>
          <w:sz w:val="18"/>
          <w:szCs w:val="18"/>
          <w:color w:val="auto"/>
        </w:rPr>
        <w:t>) of the Intercreditor Agreement:</w:t>
      </w:r>
    </w:p>
    <w:p>
      <w:pPr>
        <w:spacing w:after="0" w:line="62" w:lineRule="exact"/>
        <w:rPr>
          <w:rFonts w:ascii="Arial" w:cs="Arial" w:eastAsia="Arial" w:hAnsi="Arial"/>
          <w:sz w:val="18"/>
          <w:szCs w:val="18"/>
          <w:color w:val="auto"/>
        </w:rPr>
      </w:pPr>
    </w:p>
    <w:p>
      <w:pPr>
        <w:ind w:left="764" w:right="80"/>
        <w:spacing w:after="0" w:line="257" w:lineRule="auto"/>
        <w:rPr>
          <w:rFonts w:ascii="Arial" w:cs="Arial" w:eastAsia="Arial" w:hAnsi="Arial"/>
          <w:sz w:val="18"/>
          <w:szCs w:val="18"/>
          <w:color w:val="auto"/>
        </w:rPr>
      </w:pPr>
      <w:r>
        <w:rPr>
          <w:rFonts w:ascii="Arial" w:cs="Arial" w:eastAsia="Arial" w:hAnsi="Arial"/>
          <w:sz w:val="18"/>
          <w:szCs w:val="18"/>
          <w:color w:val="auto"/>
        </w:rPr>
        <w:t>In consideration of the New Lender being accepted as a Credit Facility Lender (as defined in the Intercreditor Agreement) for the purposes of the Intercreditor Agreement, the Increase Lender confirms that, as from the Increase Date, it intends to be party to the Intercreditor Agreement as a Credit Facility Lender and undertakes to perform all the obligations expressed in the Intercreditor Agreement to be assumed by a Credit Facility Lender and agrees that it shall be bound by all the provisions of the Intercreditor Agreement, as if it had been an original party to the Intercreditor Agreement.</w:t>
      </w:r>
    </w:p>
    <w:p>
      <w:pPr>
        <w:spacing w:after="0" w:line="93" w:lineRule="exact"/>
        <w:rPr>
          <w:rFonts w:ascii="Arial" w:cs="Arial" w:eastAsia="Arial" w:hAnsi="Arial"/>
          <w:sz w:val="18"/>
          <w:szCs w:val="18"/>
          <w:color w:val="auto"/>
        </w:rPr>
      </w:pPr>
    </w:p>
    <w:p>
      <w:pPr>
        <w:ind w:left="764" w:right="60" w:hanging="764"/>
        <w:spacing w:after="0" w:line="277" w:lineRule="auto"/>
        <w:tabs>
          <w:tab w:leader="none" w:pos="764" w:val="left"/>
        </w:tabs>
        <w:numPr>
          <w:ilvl w:val="0"/>
          <w:numId w:val="1147"/>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this has the same effect as if the signatures on such counterparts were on a single copy of this Agreement.</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147"/>
        </w:numPr>
        <w:rPr>
          <w:rFonts w:ascii="Arial" w:cs="Arial" w:eastAsia="Arial" w:hAnsi="Arial"/>
          <w:sz w:val="16"/>
          <w:szCs w:val="16"/>
          <w:color w:val="auto"/>
        </w:rPr>
      </w:pPr>
      <w:r>
        <w:rPr>
          <w:rFonts w:ascii="Arial" w:cs="Arial" w:eastAsia="Arial" w:hAnsi="Arial"/>
          <w:sz w:val="16"/>
          <w:szCs w:val="16"/>
          <w:color w:val="auto"/>
        </w:rPr>
        <w:t>This Agreement and any non-contractual obligations arising out of or in connection with it are governed by the laws of England and Wales.</w:t>
      </w:r>
    </w:p>
    <w:p>
      <w:pPr>
        <w:spacing w:after="0" w:line="244" w:lineRule="exact"/>
        <w:rPr>
          <w:sz w:val="20"/>
          <w:szCs w:val="20"/>
          <w:color w:val="auto"/>
        </w:rPr>
      </w:pPr>
    </w:p>
    <w:p>
      <w:pPr>
        <w:ind w:left="4" w:right="520"/>
        <w:spacing w:after="0" w:line="289" w:lineRule="auto"/>
        <w:rPr>
          <w:sz w:val="20"/>
          <w:szCs w:val="20"/>
          <w:color w:val="auto"/>
        </w:rPr>
      </w:pPr>
      <w:r>
        <w:rPr>
          <w:rFonts w:ascii="Arial" w:cs="Arial" w:eastAsia="Arial" w:hAnsi="Arial"/>
          <w:sz w:val="17"/>
          <w:szCs w:val="17"/>
          <w:b w:val="1"/>
          <w:bCs w:val="1"/>
          <w:color w:val="auto"/>
        </w:rPr>
        <w:t>The execution of this Transfer Certificate may not entitle the New Lender to a proportionate share of the Transaction Security in all jurisdictions. It is the responsibility of the New Lender to ascertain whether any other documents or other formalities are required in any jurisdiction and, if so, to arrange for execution of those documents and completion of those formalities.</w:t>
      </w:r>
    </w:p>
    <w:p>
      <w:pPr>
        <w:spacing w:after="0" w:line="94"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50" w:name="page751"/>
    <w:bookmarkEnd w:id="7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10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Commitment/rights and obligations to be transferred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Office address, fax number and attention details for notices and account details for payments,</w:t>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Lender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New Lender</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This Agreement is accepted as a Transfer Certificate for the purposes of the Facilities Agreement by the Agent and as a Creditor/Agent Accession Undertaking for the purposes of and as defined in the Intercreditor Agreement by the Intercreditor Agent, and the Transfer Date is confirmed as [●].</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Intercreditor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Note: It is the New Lender’s responsibility to ascertain whether any other document is required, or any formality or other condition is required to be satisfied, to effect or perfect the transfer contemplated in this Transfer Certificate or to give the New Lender full enjoyment of all the Finance Documents.</w:t>
      </w:r>
    </w:p>
    <w:p>
      <w:pPr>
        <w:spacing w:after="0" w:line="116"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51" w:name="page752"/>
    <w:bookmarkEnd w:id="75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10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5</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Form of Assignment Agreement and Lender Accession Undertaking</w:t>
      </w:r>
    </w:p>
    <w:p>
      <w:pPr>
        <w:sectPr>
          <w:pgSz w:w="11900" w:h="16838" w:orient="portrait"/>
          <w:cols w:equalWidth="0" w:num="1">
            <w:col w:w="11024"/>
          </w:cols>
          <w:pgMar w:left="436" w:top="270" w:right="439" w:bottom="1440" w:gutter="0" w:footer="0" w:header="0"/>
        </w:sectPr>
      </w:pP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as Agent and [●] as Intercreditor Agent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Existing Lender</w:t>
      </w:r>
      <w:r>
        <w:rPr>
          <w:rFonts w:ascii="Arial" w:cs="Arial" w:eastAsia="Arial" w:hAnsi="Arial"/>
          <w:sz w:val="16"/>
          <w:szCs w:val="16"/>
          <w:color w:val="auto"/>
        </w:rPr>
        <w:t>] (the “</w:t>
      </w:r>
      <w:r>
        <w:rPr>
          <w:rFonts w:ascii="Arial" w:cs="Arial" w:eastAsia="Arial" w:hAnsi="Arial"/>
          <w:sz w:val="16"/>
          <w:szCs w:val="16"/>
          <w:b w:val="1"/>
          <w:bCs w:val="1"/>
          <w:color w:val="auto"/>
        </w:rPr>
        <w:t>Existing Lender</w:t>
      </w:r>
      <w:r>
        <w:rPr>
          <w:rFonts w:ascii="Arial" w:cs="Arial" w:eastAsia="Arial" w:hAnsi="Arial"/>
          <w:sz w:val="16"/>
          <w:szCs w:val="16"/>
          <w:color w:val="auto"/>
        </w:rPr>
        <w:t>”) and [</w:t>
      </w:r>
      <w:r>
        <w:rPr>
          <w:rFonts w:ascii="Arial" w:cs="Arial" w:eastAsia="Arial" w:hAnsi="Arial"/>
          <w:sz w:val="16"/>
          <w:szCs w:val="16"/>
          <w:i w:val="1"/>
          <w:iCs w:val="1"/>
          <w:color w:val="auto"/>
        </w:rPr>
        <w:t>The New Lender</w:t>
      </w:r>
      <w:r>
        <w:rPr>
          <w:rFonts w:ascii="Arial" w:cs="Arial" w:eastAsia="Arial" w:hAnsi="Arial"/>
          <w:sz w:val="16"/>
          <w:szCs w:val="16"/>
          <w:color w:val="auto"/>
        </w:rPr>
        <w:t>]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528" w:lineRule="exact"/>
        <w:rPr>
          <w:sz w:val="20"/>
          <w:szCs w:val="20"/>
          <w:color w:val="auto"/>
        </w:rPr>
      </w:pPr>
    </w:p>
    <w:p>
      <w:pPr>
        <w:sectPr>
          <w:pgSz w:w="11900" w:h="16838" w:orient="portrait"/>
          <w:cols w:equalWidth="0" w:num="2">
            <w:col w:w="484" w:space="180"/>
            <w:col w:w="10360"/>
          </w:cols>
          <w:pgMar w:left="436" w:top="270" w:right="439" w:bottom="1440" w:gutter="0" w:footer="0" w:header="0"/>
          <w:type w:val="continuous"/>
        </w:sectPr>
      </w:pPr>
    </w:p>
    <w:p>
      <w:pPr>
        <w:spacing w:after="0" w:line="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left="440" w:right="140"/>
        <w:spacing w:after="0" w:line="282" w:lineRule="auto"/>
        <w:rPr>
          <w:sz w:val="20"/>
          <w:szCs w:val="20"/>
          <w:color w:val="auto"/>
        </w:rPr>
      </w:pPr>
      <w:r>
        <w:rPr>
          <w:rFonts w:ascii="Arial" w:cs="Arial" w:eastAsia="Arial" w:hAnsi="Arial"/>
          <w:sz w:val="18"/>
          <w:szCs w:val="18"/>
          <w:b w:val="1"/>
          <w:bCs w:val="1"/>
          <w:color w:val="auto"/>
        </w:rPr>
        <w:t>Studio City Company Limited—Facilities Agreement originally dated 28 January 2013 (as amended and amended and restated from time to time) (the “Facilities Agreement”)</w:t>
      </w:r>
    </w:p>
    <w:p>
      <w:pPr>
        <w:spacing w:after="0" w:line="71" w:lineRule="exact"/>
        <w:rPr>
          <w:sz w:val="20"/>
          <w:szCs w:val="20"/>
          <w:color w:val="auto"/>
        </w:rPr>
      </w:pPr>
    </w:p>
    <w:p>
      <w:pPr>
        <w:ind w:left="764" w:right="20" w:hanging="764"/>
        <w:spacing w:after="0" w:line="296" w:lineRule="auto"/>
        <w:tabs>
          <w:tab w:leader="none" w:pos="764" w:val="left"/>
        </w:tabs>
        <w:numPr>
          <w:ilvl w:val="0"/>
          <w:numId w:val="1148"/>
        </w:numPr>
        <w:rPr>
          <w:rFonts w:ascii="Arial" w:cs="Arial" w:eastAsia="Arial" w:hAnsi="Arial"/>
          <w:sz w:val="16"/>
          <w:szCs w:val="16"/>
          <w:color w:val="auto"/>
        </w:rPr>
      </w:pPr>
      <w:r>
        <w:rPr>
          <w:rFonts w:ascii="Arial" w:cs="Arial" w:eastAsia="Arial" w:hAnsi="Arial"/>
          <w:sz w:val="16"/>
          <w:szCs w:val="16"/>
          <w:color w:val="auto"/>
        </w:rPr>
        <w:t>We refer to the Facilities Agreement and to the Intercreditor Agreement (as defined in the Facilities Agreement). This is an Assignment Agreement and Lender Accession Undertaking. This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shall take effect as an Assignment Agreement and Lender Accession Undertaking for the purpose of the Facilities Agreement and as a Creditor/Creditor Representative Accession Undertaking for the purposes of the Intercreditor Agreement (and as defined in the Intercreditor Agreement). Terms defined in or construed for the purposes of the Facilities Agreement have the same meaning in this Agreement unless given a different meaning in this Agreement.</w:t>
      </w:r>
    </w:p>
    <w:p>
      <w:pPr>
        <w:spacing w:after="0" w:line="66" w:lineRule="exact"/>
        <w:rPr>
          <w:rFonts w:ascii="Arial" w:cs="Arial" w:eastAsia="Arial" w:hAnsi="Arial"/>
          <w:sz w:val="16"/>
          <w:szCs w:val="16"/>
          <w:color w:val="auto"/>
        </w:rPr>
      </w:pPr>
    </w:p>
    <w:p>
      <w:pPr>
        <w:ind w:left="1304" w:hanging="535"/>
        <w:spacing w:after="0"/>
        <w:tabs>
          <w:tab w:leader="none" w:pos="1304" w:val="left"/>
        </w:tabs>
        <w:numPr>
          <w:ilvl w:val="1"/>
          <w:numId w:val="1148"/>
        </w:numPr>
        <w:rPr>
          <w:rFonts w:ascii="Arial" w:cs="Arial" w:eastAsia="Arial" w:hAnsi="Arial"/>
          <w:sz w:val="18"/>
          <w:szCs w:val="18"/>
          <w:color w:val="auto"/>
        </w:rPr>
      </w:pPr>
      <w:r>
        <w:rPr>
          <w:rFonts w:ascii="Arial" w:cs="Arial" w:eastAsia="Arial" w:hAnsi="Arial"/>
          <w:sz w:val="18"/>
          <w:szCs w:val="18"/>
          <w:color w:val="auto"/>
        </w:rPr>
        <w:t>We refer to Clause 25.6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of the Facilities Agreement.</w:t>
      </w:r>
    </w:p>
    <w:p>
      <w:pPr>
        <w:spacing w:after="0" w:line="130" w:lineRule="exact"/>
        <w:rPr>
          <w:rFonts w:ascii="Arial" w:cs="Arial" w:eastAsia="Arial" w:hAnsi="Arial"/>
          <w:sz w:val="18"/>
          <w:szCs w:val="18"/>
          <w:color w:val="auto"/>
        </w:rPr>
      </w:pPr>
    </w:p>
    <w:p>
      <w:pPr>
        <w:ind w:left="1304" w:right="60" w:hanging="535"/>
        <w:spacing w:after="0" w:line="275" w:lineRule="auto"/>
        <w:tabs>
          <w:tab w:leader="none" w:pos="1304" w:val="left"/>
        </w:tabs>
        <w:numPr>
          <w:ilvl w:val="1"/>
          <w:numId w:val="1148"/>
        </w:numPr>
        <w:rPr>
          <w:rFonts w:ascii="Arial" w:cs="Arial" w:eastAsia="Arial" w:hAnsi="Arial"/>
          <w:sz w:val="17"/>
          <w:szCs w:val="17"/>
          <w:color w:val="auto"/>
        </w:rPr>
      </w:pPr>
      <w:r>
        <w:rPr>
          <w:rFonts w:ascii="Arial" w:cs="Arial" w:eastAsia="Arial" w:hAnsi="Arial"/>
          <w:sz w:val="17"/>
          <w:szCs w:val="17"/>
          <w:color w:val="auto"/>
        </w:rPr>
        <w:t>The Existing Lender assigns absolutely to the New Lender all the rights of the Existing Lender under the Facilities Agreement, the other Finance Documents (excluding the Onshore Security Documents) and under the Onshore Security Documents and in respect of the Transaction Security created or expressed to be created thereunder which correspond to that portion of the Existing Lender’s Commitment(s) and/or all or part of the Existing Lender’s participation(s) in Loan(s) under the Facilities Agreement and its rights and obligations referred to (if any) under the Onshore Security Documents in the Schedule.</w:t>
      </w:r>
    </w:p>
    <w:p>
      <w:pPr>
        <w:spacing w:after="0" w:line="81" w:lineRule="exact"/>
        <w:rPr>
          <w:rFonts w:ascii="Arial" w:cs="Arial" w:eastAsia="Arial" w:hAnsi="Arial"/>
          <w:sz w:val="17"/>
          <w:szCs w:val="17"/>
          <w:color w:val="auto"/>
        </w:rPr>
      </w:pPr>
    </w:p>
    <w:p>
      <w:pPr>
        <w:ind w:left="1304" w:right="140" w:hanging="535"/>
        <w:spacing w:after="0" w:line="263" w:lineRule="auto"/>
        <w:tabs>
          <w:tab w:leader="none" w:pos="1304" w:val="left"/>
        </w:tabs>
        <w:numPr>
          <w:ilvl w:val="1"/>
          <w:numId w:val="1148"/>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and/or all or part of the Existing Lender’s participation(s) in Loan(s) under the Facilities Agreement and its rights and obligations referred to (if any) under the Onshore Security Documents in the Schedule.</w:t>
      </w:r>
    </w:p>
    <w:p>
      <w:pPr>
        <w:spacing w:after="0" w:line="89" w:lineRule="exact"/>
        <w:rPr>
          <w:rFonts w:ascii="Arial" w:cs="Arial" w:eastAsia="Arial" w:hAnsi="Arial"/>
          <w:sz w:val="18"/>
          <w:szCs w:val="18"/>
          <w:color w:val="auto"/>
        </w:rPr>
      </w:pPr>
    </w:p>
    <w:p>
      <w:pPr>
        <w:ind w:left="764" w:hanging="764"/>
        <w:spacing w:after="0"/>
        <w:tabs>
          <w:tab w:leader="none" w:pos="764" w:val="left"/>
        </w:tabs>
        <w:numPr>
          <w:ilvl w:val="0"/>
          <w:numId w:val="1148"/>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130" w:lineRule="exact"/>
        <w:rPr>
          <w:rFonts w:ascii="Arial" w:cs="Arial" w:eastAsia="Arial" w:hAnsi="Arial"/>
          <w:sz w:val="18"/>
          <w:szCs w:val="18"/>
          <w:color w:val="auto"/>
        </w:rPr>
      </w:pPr>
    </w:p>
    <w:p>
      <w:pPr>
        <w:ind w:left="764" w:hanging="764"/>
        <w:spacing w:after="0"/>
        <w:tabs>
          <w:tab w:leader="none" w:pos="764" w:val="left"/>
        </w:tabs>
        <w:numPr>
          <w:ilvl w:val="0"/>
          <w:numId w:val="1148"/>
        </w:numPr>
        <w:rPr>
          <w:rFonts w:ascii="Arial" w:cs="Arial" w:eastAsia="Arial" w:hAnsi="Arial"/>
          <w:sz w:val="18"/>
          <w:szCs w:val="18"/>
          <w:color w:val="auto"/>
        </w:rPr>
      </w:pPr>
      <w:r>
        <w:rPr>
          <w:rFonts w:ascii="Arial" w:cs="Arial" w:eastAsia="Arial" w:hAnsi="Arial"/>
          <w:sz w:val="18"/>
          <w:szCs w:val="18"/>
          <w:color w:val="auto"/>
        </w:rPr>
        <w:t>On the Transfer Date the New Lender becomes:</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1"/>
          <w:numId w:val="1148"/>
        </w:numPr>
        <w:rPr>
          <w:rFonts w:ascii="Arial" w:cs="Arial" w:eastAsia="Arial" w:hAnsi="Arial"/>
          <w:sz w:val="18"/>
          <w:szCs w:val="18"/>
          <w:color w:val="auto"/>
        </w:rPr>
      </w:pPr>
      <w:r>
        <w:rPr>
          <w:rFonts w:ascii="Arial" w:cs="Arial" w:eastAsia="Arial" w:hAnsi="Arial"/>
          <w:sz w:val="18"/>
          <w:szCs w:val="18"/>
          <w:color w:val="auto"/>
        </w:rPr>
        <w:t>party to the relevant Finance Documents (other than the Intercreditor Agreement) as a Lender; and</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1"/>
          <w:numId w:val="1148"/>
        </w:numPr>
        <w:rPr>
          <w:rFonts w:ascii="Arial" w:cs="Arial" w:eastAsia="Arial" w:hAnsi="Arial"/>
          <w:sz w:val="18"/>
          <w:szCs w:val="18"/>
          <w:color w:val="auto"/>
        </w:rPr>
      </w:pPr>
      <w:r>
        <w:rPr>
          <w:rFonts w:ascii="Arial" w:cs="Arial" w:eastAsia="Arial" w:hAnsi="Arial"/>
          <w:sz w:val="18"/>
          <w:szCs w:val="18"/>
          <w:color w:val="auto"/>
        </w:rPr>
        <w:t>party to the Intercreditor Agreement as a Credit Facility Lender.</w:t>
      </w:r>
    </w:p>
    <w:p>
      <w:pPr>
        <w:spacing w:after="0" w:line="130" w:lineRule="exact"/>
        <w:rPr>
          <w:rFonts w:ascii="Arial" w:cs="Arial" w:eastAsia="Arial" w:hAnsi="Arial"/>
          <w:sz w:val="18"/>
          <w:szCs w:val="18"/>
          <w:color w:val="auto"/>
        </w:rPr>
      </w:pPr>
    </w:p>
    <w:p>
      <w:pPr>
        <w:ind w:left="764" w:right="700" w:hanging="764"/>
        <w:spacing w:after="0" w:line="277" w:lineRule="auto"/>
        <w:tabs>
          <w:tab w:leader="none" w:pos="764" w:val="left"/>
        </w:tabs>
        <w:numPr>
          <w:ilvl w:val="0"/>
          <w:numId w:val="1148"/>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paragraph (c) of Clause 25.4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764" w:right="200" w:hanging="764"/>
        <w:spacing w:after="0" w:line="277" w:lineRule="auto"/>
        <w:tabs>
          <w:tab w:leader="none" w:pos="764" w:val="left"/>
        </w:tabs>
        <w:numPr>
          <w:ilvl w:val="0"/>
          <w:numId w:val="1148"/>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33.2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148"/>
        </w:numPr>
        <w:rPr>
          <w:rFonts w:ascii="Arial" w:cs="Arial" w:eastAsia="Arial" w:hAnsi="Arial"/>
          <w:sz w:val="18"/>
          <w:szCs w:val="18"/>
          <w:color w:val="auto"/>
        </w:rPr>
      </w:pPr>
      <w:r>
        <w:rPr>
          <w:rFonts w:ascii="Arial" w:cs="Arial" w:eastAsia="Arial" w:hAnsi="Arial"/>
          <w:sz w:val="18"/>
          <w:szCs w:val="18"/>
          <w:color w:val="auto"/>
        </w:rPr>
        <w:t>The New Lender confirms that it [is]/[is not] a Sponsor Affiliate.</w:t>
      </w:r>
    </w:p>
    <w:p>
      <w:pPr>
        <w:spacing w:after="0" w:line="158"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type w:val="continuous"/>
        </w:sectPr>
      </w:pPr>
    </w:p>
    <w:bookmarkStart w:id="752" w:name="page753"/>
    <w:bookmarkEnd w:id="752"/>
    <w:p>
      <w:pPr>
        <w:ind w:left="764" w:right="280" w:hanging="764"/>
        <w:spacing w:after="0" w:line="277" w:lineRule="auto"/>
        <w:tabs>
          <w:tab w:leader="none" w:pos="764" w:val="left"/>
        </w:tabs>
        <w:numPr>
          <w:ilvl w:val="0"/>
          <w:numId w:val="1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10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refer to clauses 25.5 (</w:t>
      </w:r>
      <w:r>
        <w:rPr>
          <w:rFonts w:ascii="Arial" w:cs="Arial" w:eastAsia="Arial" w:hAnsi="Arial"/>
          <w:sz w:val="18"/>
          <w:szCs w:val="18"/>
          <w:i w:val="1"/>
          <w:iCs w:val="1"/>
          <w:color w:val="auto"/>
        </w:rPr>
        <w:t>Change of Credit Facility Lender or Pari Passu Lender under an Existing Credit Facility or Pari Passu Facility</w:t>
      </w:r>
      <w:r>
        <w:rPr>
          <w:rFonts w:ascii="Arial" w:cs="Arial" w:eastAsia="Arial" w:hAnsi="Arial"/>
          <w:sz w:val="18"/>
          <w:szCs w:val="18"/>
          <w:color w:val="auto"/>
        </w:rPr>
        <w:t>) and 25.14 (</w:t>
      </w:r>
      <w:r>
        <w:rPr>
          <w:rFonts w:ascii="Arial" w:cs="Arial" w:eastAsia="Arial" w:hAnsi="Arial"/>
          <w:sz w:val="18"/>
          <w:szCs w:val="18"/>
          <w:i w:val="1"/>
          <w:iCs w:val="1"/>
          <w:color w:val="auto"/>
        </w:rPr>
        <w:t>Creditor/Creditor Representative Accession Undertaking</w:t>
      </w:r>
      <w:r>
        <w:rPr>
          <w:rFonts w:ascii="Arial" w:cs="Arial" w:eastAsia="Arial" w:hAnsi="Arial"/>
          <w:sz w:val="18"/>
          <w:szCs w:val="18"/>
          <w:color w:val="auto"/>
        </w:rPr>
        <w:t>) of the Intercreditor Agreement:</w:t>
      </w:r>
    </w:p>
    <w:p>
      <w:pPr>
        <w:spacing w:after="0" w:line="62" w:lineRule="exact"/>
        <w:rPr>
          <w:rFonts w:ascii="Arial" w:cs="Arial" w:eastAsia="Arial" w:hAnsi="Arial"/>
          <w:sz w:val="18"/>
          <w:szCs w:val="18"/>
          <w:color w:val="auto"/>
        </w:rPr>
      </w:pPr>
    </w:p>
    <w:p>
      <w:pPr>
        <w:ind w:left="764" w:right="80"/>
        <w:spacing w:after="0" w:line="257" w:lineRule="auto"/>
        <w:rPr>
          <w:rFonts w:ascii="Arial" w:cs="Arial" w:eastAsia="Arial" w:hAnsi="Arial"/>
          <w:sz w:val="18"/>
          <w:szCs w:val="18"/>
          <w:color w:val="auto"/>
        </w:rPr>
      </w:pPr>
      <w:r>
        <w:rPr>
          <w:rFonts w:ascii="Arial" w:cs="Arial" w:eastAsia="Arial" w:hAnsi="Arial"/>
          <w:sz w:val="18"/>
          <w:szCs w:val="18"/>
          <w:color w:val="auto"/>
        </w:rPr>
        <w:t>In consideration of the New Lender being accepted as a Credit Facility Lender (as defined in the Intercreditor Agreement) for the purposes of the Intercreditor Agreement, the Increase Lender confirms that, as from the Increase Date, it intends to be party to the Intercreditor Agreement as a Credit Facility Lender and undertakes to perform all the obligations expressed in the Intercreditor Agreement to be assumed by a Credit Facility Lender and agrees that it shall be bound by all the provisions of the Intercreditor Agreement, as if it had been an original party to the Intercreditor Agreement.</w:t>
      </w:r>
    </w:p>
    <w:p>
      <w:pPr>
        <w:spacing w:after="0" w:line="93" w:lineRule="exact"/>
        <w:rPr>
          <w:rFonts w:ascii="Arial" w:cs="Arial" w:eastAsia="Arial" w:hAnsi="Arial"/>
          <w:sz w:val="18"/>
          <w:szCs w:val="18"/>
          <w:color w:val="auto"/>
        </w:rPr>
      </w:pPr>
    </w:p>
    <w:p>
      <w:pPr>
        <w:jc w:val="both"/>
        <w:ind w:left="764" w:right="20" w:hanging="764"/>
        <w:spacing w:after="0" w:line="286" w:lineRule="auto"/>
        <w:tabs>
          <w:tab w:leader="none" w:pos="764" w:val="left"/>
        </w:tabs>
        <w:numPr>
          <w:ilvl w:val="0"/>
          <w:numId w:val="1149"/>
        </w:numPr>
        <w:rPr>
          <w:rFonts w:ascii="Arial" w:cs="Arial" w:eastAsia="Arial" w:hAnsi="Arial"/>
          <w:sz w:val="17"/>
          <w:szCs w:val="17"/>
          <w:color w:val="auto"/>
        </w:rPr>
      </w:pPr>
      <w:r>
        <w:rPr>
          <w:rFonts w:ascii="Arial" w:cs="Arial" w:eastAsia="Arial" w:hAnsi="Arial"/>
          <w:sz w:val="17"/>
          <w:szCs w:val="17"/>
          <w:color w:val="auto"/>
        </w:rPr>
        <w:t>This Agreement acts as notice to the Agent (on behalf of each Finance Party) and, upon delivery to the Borrower and the Parent in accordance with Clause 25.7 (</w:t>
      </w:r>
      <w:r>
        <w:rPr>
          <w:rFonts w:ascii="Arial" w:cs="Arial" w:eastAsia="Arial" w:hAnsi="Arial"/>
          <w:sz w:val="17"/>
          <w:szCs w:val="17"/>
          <w:i w:val="1"/>
          <w:iCs w:val="1"/>
          <w:color w:val="auto"/>
        </w:rPr>
        <w:t>Copy of assignments, transfer and accession documents to the Borrower and Parent</w:t>
      </w:r>
      <w:r>
        <w:rPr>
          <w:rFonts w:ascii="Arial" w:cs="Arial" w:eastAsia="Arial" w:hAnsi="Arial"/>
          <w:sz w:val="17"/>
          <w:szCs w:val="17"/>
          <w:color w:val="auto"/>
        </w:rPr>
        <w:t>), to the Borrower and to the Parent (for itself and for and on behalf of each other Obligor) of the assignment referred to in this Agreement.</w:t>
      </w:r>
    </w:p>
    <w:p>
      <w:pPr>
        <w:spacing w:after="0" w:line="70" w:lineRule="exact"/>
        <w:rPr>
          <w:rFonts w:ascii="Arial" w:cs="Arial" w:eastAsia="Arial" w:hAnsi="Arial"/>
          <w:sz w:val="17"/>
          <w:szCs w:val="17"/>
          <w:color w:val="auto"/>
        </w:rPr>
      </w:pPr>
    </w:p>
    <w:p>
      <w:pPr>
        <w:ind w:left="764" w:right="40" w:hanging="764"/>
        <w:spacing w:after="0" w:line="277" w:lineRule="auto"/>
        <w:tabs>
          <w:tab w:leader="none" w:pos="764" w:val="left"/>
        </w:tabs>
        <w:numPr>
          <w:ilvl w:val="0"/>
          <w:numId w:val="1149"/>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149"/>
        </w:numPr>
        <w:rPr>
          <w:rFonts w:ascii="Arial" w:cs="Arial" w:eastAsia="Arial" w:hAnsi="Arial"/>
          <w:sz w:val="16"/>
          <w:szCs w:val="16"/>
          <w:color w:val="auto"/>
        </w:rPr>
      </w:pPr>
      <w:r>
        <w:rPr>
          <w:rFonts w:ascii="Arial" w:cs="Arial" w:eastAsia="Arial" w:hAnsi="Arial"/>
          <w:sz w:val="16"/>
          <w:szCs w:val="16"/>
          <w:color w:val="auto"/>
        </w:rPr>
        <w:t>This Agreement and any non-contractual obligations arising out of or in connection with it are governed by the laws of England and Wales.</w:t>
      </w:r>
    </w:p>
    <w:p>
      <w:pPr>
        <w:spacing w:after="0" w:line="244" w:lineRule="exact"/>
        <w:rPr>
          <w:sz w:val="20"/>
          <w:szCs w:val="20"/>
          <w:color w:val="auto"/>
        </w:rPr>
      </w:pPr>
    </w:p>
    <w:p>
      <w:pPr>
        <w:ind w:left="4" w:right="260"/>
        <w:spacing w:after="0" w:line="314" w:lineRule="auto"/>
        <w:rPr>
          <w:sz w:val="20"/>
          <w:szCs w:val="20"/>
          <w:color w:val="auto"/>
        </w:rPr>
      </w:pPr>
      <w:r>
        <w:rPr>
          <w:rFonts w:ascii="Arial" w:cs="Arial" w:eastAsia="Arial" w:hAnsi="Arial"/>
          <w:sz w:val="16"/>
          <w:szCs w:val="16"/>
          <w:b w:val="1"/>
          <w:bCs w:val="1"/>
          <w:color w:val="auto"/>
        </w:rPr>
        <w:t>The execution of this Assignment Agreement and Lender Accession Undertaking may not entitle the New Lender to a proportionate share of the Transaction Security in all jurisdictions. It is the responsibility of the New Lender to ascertain whether any other documents or other formalities are required in any jurisdiction and, if so, to arrange for execution of those documents and completion of those formalities.</w:t>
      </w:r>
    </w:p>
    <w:p>
      <w:pPr>
        <w:spacing w:after="0" w:line="78"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53" w:name="page754"/>
    <w:bookmarkEnd w:id="7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10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Commitment/rights and obligations to be transferred by assignment, release and accession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office address, fax number and attention details for notices and account details for payments</w:t>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Lender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New Lender</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Agreement is accepted as an Assignment Agreement and Lender Accession Undertaking for the purposes of the Facilities Agreement by the Agent and as a Creditor/Agent Accession Undertaking for the purposes of and as defined in the Intercreditor Agreement by the Intercreditor Agent, and the Transfer Date is confirmed as [●].</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Signature of this Agreement by the Agent constitutes confirmation by the Agent of receipt of notice of the assignment referred to herein, which notice the Agent receives on behalf of each Finance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Intercreditor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Note: It is the New Lender’s responsibility to ascertain whether any other document is required, or any formality or other condition is required to be satisfied, to effect or perfect the transfer contemplated in this Assignment Agreement and Lender Accession Undertaking or to give the New Lender full enjoyment of all the Finance Documents.</w:t>
      </w:r>
    </w:p>
    <w:p>
      <w:pPr>
        <w:spacing w:after="0" w:line="116"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54" w:name="page755"/>
    <w:bookmarkEnd w:id="75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10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6</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Form of Accession Letter</w:t>
      </w:r>
    </w:p>
    <w:p>
      <w:pPr>
        <w:sectPr>
          <w:pgSz w:w="11900" w:h="16838" w:orient="portrait"/>
          <w:cols w:equalWidth="0" w:num="1">
            <w:col w:w="11024"/>
          </w:cols>
          <w:pgMar w:left="436" w:top="270" w:right="439" w:bottom="1440" w:gutter="0" w:footer="0" w:header="0"/>
        </w:sectPr>
      </w:pP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color w:val="auto"/>
        </w:rPr>
        <w:t>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as Agent and [●] as Intercreditor Agent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and Studio City Company Limited</w:t>
      </w:r>
    </w:p>
    <w:p>
      <w:pPr>
        <w:spacing w:after="0" w:line="524" w:lineRule="exact"/>
        <w:rPr>
          <w:sz w:val="20"/>
          <w:szCs w:val="20"/>
          <w:color w:val="auto"/>
        </w:rPr>
      </w:pPr>
    </w:p>
    <w:p>
      <w:pPr>
        <w:sectPr>
          <w:pgSz w:w="11900" w:h="16838" w:orient="portrait"/>
          <w:cols w:equalWidth="0" w:num="2">
            <w:col w:w="484" w:space="180"/>
            <w:col w:w="10360"/>
          </w:cols>
          <w:pgMar w:left="436" w:top="270" w:right="439" w:bottom="1440" w:gutter="0" w:footer="0" w:header="0"/>
          <w:type w:val="continuous"/>
        </w:sectPr>
      </w:pPr>
    </w:p>
    <w:p>
      <w:pPr>
        <w:spacing w:after="0" w:line="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left="440" w:right="140"/>
        <w:spacing w:after="0" w:line="282" w:lineRule="auto"/>
        <w:rPr>
          <w:sz w:val="20"/>
          <w:szCs w:val="20"/>
          <w:color w:val="auto"/>
        </w:rPr>
      </w:pPr>
      <w:r>
        <w:rPr>
          <w:rFonts w:ascii="Arial" w:cs="Arial" w:eastAsia="Arial" w:hAnsi="Arial"/>
          <w:sz w:val="18"/>
          <w:szCs w:val="18"/>
          <w:b w:val="1"/>
          <w:bCs w:val="1"/>
          <w:color w:val="auto"/>
        </w:rPr>
        <w:t>Studio City Company Limited—Facilities Agreement originally dated 28 January 2013 (as amended and amended and restated from time to time) (the “Facilities Agreement”)</w:t>
      </w:r>
    </w:p>
    <w:p>
      <w:pPr>
        <w:spacing w:after="0" w:line="189" w:lineRule="exact"/>
        <w:rPr>
          <w:sz w:val="20"/>
          <w:szCs w:val="20"/>
          <w:color w:val="auto"/>
        </w:rPr>
      </w:pPr>
    </w:p>
    <w:p>
      <w:pPr>
        <w:ind w:left="764" w:right="160" w:hanging="764"/>
        <w:spacing w:after="0" w:line="303" w:lineRule="auto"/>
        <w:tabs>
          <w:tab w:leader="none" w:pos="764" w:val="left"/>
        </w:tabs>
        <w:numPr>
          <w:ilvl w:val="0"/>
          <w:numId w:val="1150"/>
        </w:numPr>
        <w:rPr>
          <w:rFonts w:ascii="Arial" w:cs="Arial" w:eastAsia="Arial" w:hAnsi="Arial"/>
          <w:sz w:val="16"/>
          <w:szCs w:val="16"/>
          <w:color w:val="auto"/>
        </w:rPr>
      </w:pPr>
      <w:r>
        <w:rPr>
          <w:rFonts w:ascii="Arial" w:cs="Arial" w:eastAsia="Arial" w:hAnsi="Arial"/>
          <w:sz w:val="16"/>
          <w:szCs w:val="16"/>
          <w:color w:val="auto"/>
        </w:rPr>
        <w:t>We refer to the Facilities Agreement and to the Intercreditor Agreement (as defined in the Facilities Agreement). This deed (the “</w:t>
      </w:r>
      <w:r>
        <w:rPr>
          <w:rFonts w:ascii="Arial" w:cs="Arial" w:eastAsia="Arial" w:hAnsi="Arial"/>
          <w:sz w:val="16"/>
          <w:szCs w:val="16"/>
          <w:b w:val="1"/>
          <w:bCs w:val="1"/>
          <w:color w:val="auto"/>
        </w:rPr>
        <w:t>Accession</w:t>
      </w:r>
      <w:r>
        <w:rPr>
          <w:rFonts w:ascii="Arial" w:cs="Arial" w:eastAsia="Arial" w:hAnsi="Arial"/>
          <w:sz w:val="16"/>
          <w:szCs w:val="16"/>
          <w:color w:val="auto"/>
        </w:rPr>
        <w:t xml:space="preserve"> </w:t>
      </w:r>
      <w:r>
        <w:rPr>
          <w:rFonts w:ascii="Arial" w:cs="Arial" w:eastAsia="Arial" w:hAnsi="Arial"/>
          <w:sz w:val="16"/>
          <w:szCs w:val="16"/>
          <w:b w:val="1"/>
          <w:bCs w:val="1"/>
          <w:color w:val="auto"/>
        </w:rPr>
        <w:t>Deed</w:t>
      </w:r>
      <w:r>
        <w:rPr>
          <w:rFonts w:ascii="Arial" w:cs="Arial" w:eastAsia="Arial" w:hAnsi="Arial"/>
          <w:sz w:val="16"/>
          <w:szCs w:val="16"/>
          <w:color w:val="auto"/>
        </w:rPr>
        <w:t>”) shall take effect as an Accession Letter for the purpose of the Facilities Agreement and as a Debtor Accession Deed for the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Intercreditor Agreement (and as defined in the Intercreditor Agreement). Terms defined in the Facilities Agreement have the same meaning in paragraphs 1 to 4 of this Accession Deed unless given a different meaning in this Accession Deed.</w:t>
      </w:r>
    </w:p>
    <w:p>
      <w:pPr>
        <w:spacing w:after="0" w:line="60" w:lineRule="exact"/>
        <w:rPr>
          <w:rFonts w:ascii="Arial" w:cs="Arial" w:eastAsia="Arial" w:hAnsi="Arial"/>
          <w:sz w:val="16"/>
          <w:szCs w:val="16"/>
          <w:color w:val="auto"/>
        </w:rPr>
      </w:pPr>
    </w:p>
    <w:p>
      <w:pPr>
        <w:ind w:left="764" w:right="180" w:hanging="764"/>
        <w:spacing w:after="0" w:line="259" w:lineRule="auto"/>
        <w:tabs>
          <w:tab w:leader="none" w:pos="764" w:val="left"/>
        </w:tabs>
        <w:numPr>
          <w:ilvl w:val="0"/>
          <w:numId w:val="1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agrees to become an Additional Guarantor and to be bound by the terms of the Facilities Agreement and the other Finance Documents (other than the Intercreditor Agreement) as an Additional Guarantor pursuant to Clause 27.2 (</w:t>
      </w:r>
      <w:r>
        <w:rPr>
          <w:rFonts w:ascii="Arial" w:cs="Arial" w:eastAsia="Arial" w:hAnsi="Arial"/>
          <w:sz w:val="18"/>
          <w:szCs w:val="18"/>
          <w:i w:val="1"/>
          <w:iCs w:val="1"/>
          <w:color w:val="auto"/>
        </w:rPr>
        <w:t>Additional Guarantors</w:t>
      </w:r>
      <w:r>
        <w:rPr>
          <w:rFonts w:ascii="Arial" w:cs="Arial" w:eastAsia="Arial" w:hAnsi="Arial"/>
          <w:sz w:val="18"/>
          <w:szCs w:val="18"/>
          <w:color w:val="auto"/>
        </w:rPr>
        <w:t>) of the Facilities Agreement. [</w:t>
      </w:r>
      <w:r>
        <w:rPr>
          <w:rFonts w:ascii="Arial" w:cs="Arial" w:eastAsia="Arial" w:hAnsi="Arial"/>
          <w:sz w:val="18"/>
          <w:szCs w:val="18"/>
          <w:i w:val="1"/>
          <w:iCs w:val="1"/>
          <w:color w:val="auto"/>
        </w:rPr>
        <w:t>Subsidiary</w:t>
      </w:r>
      <w:r>
        <w:rPr>
          <w:rFonts w:ascii="Arial" w:cs="Arial" w:eastAsia="Arial" w:hAnsi="Arial"/>
          <w:sz w:val="18"/>
          <w:szCs w:val="18"/>
          <w:color w:val="auto"/>
        </w:rPr>
        <w:t>] is a company duly incorporated under the laws of [</w:t>
      </w:r>
      <w:r>
        <w:rPr>
          <w:rFonts w:ascii="Arial" w:cs="Arial" w:eastAsia="Arial" w:hAnsi="Arial"/>
          <w:sz w:val="18"/>
          <w:szCs w:val="18"/>
          <w:i w:val="1"/>
          <w:iCs w:val="1"/>
          <w:color w:val="auto"/>
        </w:rPr>
        <w:t>name of relevant jurisdiction</w:t>
      </w:r>
      <w:r>
        <w:rPr>
          <w:rFonts w:ascii="Arial" w:cs="Arial" w:eastAsia="Arial" w:hAnsi="Arial"/>
          <w:sz w:val="18"/>
          <w:szCs w:val="18"/>
          <w:color w:val="auto"/>
        </w:rPr>
        <w:t>] and is a limited liability company with registered number [●].</w:t>
      </w:r>
    </w:p>
    <w:p>
      <w:pPr>
        <w:spacing w:after="0" w:line="92" w:lineRule="exact"/>
        <w:rPr>
          <w:rFonts w:ascii="Arial" w:cs="Arial" w:eastAsia="Arial" w:hAnsi="Arial"/>
          <w:sz w:val="18"/>
          <w:szCs w:val="18"/>
          <w:color w:val="auto"/>
        </w:rPr>
      </w:pPr>
    </w:p>
    <w:p>
      <w:pPr>
        <w:ind w:left="764" w:right="6580" w:hanging="764"/>
        <w:spacing w:after="0" w:line="500" w:lineRule="auto"/>
        <w:tabs>
          <w:tab w:leader="none" w:pos="762" w:val="left"/>
        </w:tabs>
        <w:numPr>
          <w:ilvl w:val="0"/>
          <w:numId w:val="1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Subsidiary’s</w:t>
      </w:r>
      <w:r>
        <w:rPr>
          <w:rFonts w:ascii="Arial" w:cs="Arial" w:eastAsia="Arial" w:hAnsi="Arial"/>
          <w:sz w:val="18"/>
          <w:szCs w:val="18"/>
          <w:color w:val="auto"/>
        </w:rPr>
        <w:t>] administrative details are as follows: Address:</w:t>
      </w:r>
    </w:p>
    <w:p>
      <w:pPr>
        <w:spacing w:after="0" w:line="1" w:lineRule="exact"/>
        <w:rPr>
          <w:rFonts w:ascii="Arial" w:cs="Arial" w:eastAsia="Arial" w:hAnsi="Arial"/>
          <w:sz w:val="18"/>
          <w:szCs w:val="18"/>
          <w:color w:val="auto"/>
        </w:rPr>
      </w:pPr>
    </w:p>
    <w:p>
      <w:pPr>
        <w:jc w:val="both"/>
        <w:ind w:left="764" w:right="9580"/>
        <w:spacing w:after="0" w:line="546" w:lineRule="auto"/>
        <w:rPr>
          <w:rFonts w:ascii="Arial" w:cs="Arial" w:eastAsia="Arial" w:hAnsi="Arial"/>
          <w:sz w:val="18"/>
          <w:szCs w:val="18"/>
          <w:color w:val="auto"/>
        </w:rPr>
      </w:pPr>
      <w:r>
        <w:rPr>
          <w:rFonts w:ascii="Arial" w:cs="Arial" w:eastAsia="Arial" w:hAnsi="Arial"/>
          <w:sz w:val="17"/>
          <w:szCs w:val="17"/>
          <w:color w:val="auto"/>
        </w:rPr>
        <w:t>Fax No.: Attention</w:t>
      </w:r>
    </w:p>
    <w:p>
      <w:pPr>
        <w:spacing w:after="0" w:line="1" w:lineRule="exact"/>
        <w:rPr>
          <w:rFonts w:ascii="Arial" w:cs="Arial" w:eastAsia="Arial" w:hAnsi="Arial"/>
          <w:sz w:val="18"/>
          <w:szCs w:val="18"/>
          <w:color w:val="auto"/>
        </w:rPr>
      </w:pPr>
    </w:p>
    <w:p>
      <w:pPr>
        <w:ind w:left="764" w:hanging="764"/>
        <w:spacing w:after="0"/>
        <w:tabs>
          <w:tab w:leader="none" w:pos="764" w:val="left"/>
        </w:tabs>
        <w:numPr>
          <w:ilvl w:val="0"/>
          <w:numId w:val="1150"/>
        </w:numPr>
        <w:rPr>
          <w:rFonts w:ascii="Arial" w:cs="Arial" w:eastAsia="Arial" w:hAnsi="Arial"/>
          <w:sz w:val="17"/>
          <w:szCs w:val="17"/>
          <w:color w:val="auto"/>
        </w:rPr>
      </w:pPr>
      <w:r>
        <w:rPr>
          <w:rFonts w:ascii="Arial" w:cs="Arial" w:eastAsia="Arial" w:hAnsi="Arial"/>
          <w:sz w:val="17"/>
          <w:szCs w:val="17"/>
          <w:color w:val="auto"/>
        </w:rPr>
        <w:t>The Borrower and the Subsidiary make the Repeating Representations to the Finance Parties on the date of this Accession Deed.</w:t>
      </w:r>
    </w:p>
    <w:p>
      <w:pPr>
        <w:spacing w:after="0" w:line="138" w:lineRule="exact"/>
        <w:rPr>
          <w:rFonts w:ascii="Arial" w:cs="Arial" w:eastAsia="Arial" w:hAnsi="Arial"/>
          <w:sz w:val="17"/>
          <w:szCs w:val="17"/>
          <w:color w:val="auto"/>
        </w:rPr>
      </w:pPr>
    </w:p>
    <w:p>
      <w:pPr>
        <w:ind w:left="764" w:right="140" w:hanging="764"/>
        <w:spacing w:after="0" w:line="282" w:lineRule="auto"/>
        <w:tabs>
          <w:tab w:leader="none" w:pos="764" w:val="left"/>
        </w:tabs>
        <w:numPr>
          <w:ilvl w:val="0"/>
          <w:numId w:val="1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(for the purposes of this paragraph 5, the “</w:t>
      </w:r>
      <w:r>
        <w:rPr>
          <w:rFonts w:ascii="Arial" w:cs="Arial" w:eastAsia="Arial" w:hAnsi="Arial"/>
          <w:sz w:val="18"/>
          <w:szCs w:val="18"/>
          <w:b w:val="1"/>
          <w:bCs w:val="1"/>
          <w:color w:val="auto"/>
        </w:rPr>
        <w:t>Acceding Debtor</w:t>
      </w:r>
      <w:r>
        <w:rPr>
          <w:rFonts w:ascii="Arial" w:cs="Arial" w:eastAsia="Arial" w:hAnsi="Arial"/>
          <w:sz w:val="18"/>
          <w:szCs w:val="18"/>
          <w:color w:val="auto"/>
        </w:rPr>
        <w:t>”) intends to give a guarantee, indemnity or other assurance against loss in respect of liabilities under the following documents:</w:t>
      </w:r>
    </w:p>
    <w:p>
      <w:pPr>
        <w:spacing w:after="0" w:line="57" w:lineRule="exact"/>
        <w:rPr>
          <w:rFonts w:ascii="Arial" w:cs="Arial" w:eastAsia="Arial" w:hAnsi="Arial"/>
          <w:sz w:val="18"/>
          <w:szCs w:val="18"/>
          <w:color w:val="auto"/>
        </w:rPr>
      </w:pPr>
    </w:p>
    <w:p>
      <w:pPr>
        <w:ind w:left="764" w:right="5320"/>
        <w:spacing w:after="0" w:line="37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details (date, parties and description) of relevant documents</w:t>
      </w:r>
      <w:r>
        <w:rPr>
          <w:rFonts w:ascii="Arial" w:cs="Arial" w:eastAsia="Arial" w:hAnsi="Arial"/>
          <w:sz w:val="18"/>
          <w:szCs w:val="18"/>
          <w:color w:val="auto"/>
        </w:rPr>
        <w:t>] the “</w:t>
      </w:r>
      <w:r>
        <w:rPr>
          <w:rFonts w:ascii="Arial" w:cs="Arial" w:eastAsia="Arial" w:hAnsi="Arial"/>
          <w:sz w:val="18"/>
          <w:szCs w:val="18"/>
          <w:b w:val="1"/>
          <w:bCs w:val="1"/>
          <w:color w:val="auto"/>
        </w:rPr>
        <w:t>Relevant Documents</w:t>
      </w:r>
      <w:r>
        <w:rPr>
          <w:rFonts w:ascii="Arial" w:cs="Arial" w:eastAsia="Arial" w:hAnsi="Arial"/>
          <w:sz w:val="18"/>
          <w:szCs w:val="18"/>
          <w:color w:val="auto"/>
        </w:rPr>
        <w:t>”.</w:t>
      </w:r>
    </w:p>
    <w:p>
      <w:pPr>
        <w:ind w:left="764"/>
        <w:spacing w:after="0"/>
        <w:rPr>
          <w:rFonts w:ascii="Arial" w:cs="Arial" w:eastAsia="Arial" w:hAnsi="Arial"/>
          <w:sz w:val="18"/>
          <w:szCs w:val="18"/>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4" w:lineRule="exact"/>
        <w:rPr>
          <w:rFonts w:ascii="Arial" w:cs="Arial" w:eastAsia="Arial" w:hAnsi="Arial"/>
          <w:sz w:val="18"/>
          <w:szCs w:val="18"/>
          <w:color w:val="auto"/>
        </w:rPr>
      </w:pPr>
    </w:p>
    <w:p>
      <w:pPr>
        <w:ind w:left="1304" w:right="120" w:hanging="535"/>
        <w:spacing w:after="0" w:line="277" w:lineRule="auto"/>
        <w:tabs>
          <w:tab w:leader="none" w:pos="1304" w:val="left"/>
        </w:tabs>
        <w:numPr>
          <w:ilvl w:val="1"/>
          <w:numId w:val="1150"/>
        </w:numPr>
        <w:rPr>
          <w:rFonts w:ascii="Arial" w:cs="Arial" w:eastAsia="Arial" w:hAnsi="Arial"/>
          <w:sz w:val="18"/>
          <w:szCs w:val="18"/>
          <w:color w:val="auto"/>
        </w:rPr>
      </w:pPr>
      <w:r>
        <w:rPr>
          <w:rFonts w:ascii="Arial" w:cs="Arial" w:eastAsia="Arial" w:hAnsi="Arial"/>
          <w:sz w:val="18"/>
          <w:szCs w:val="18"/>
          <w:color w:val="auto"/>
        </w:rPr>
        <w:t>Terms defined in the Intercreditor Agreement shall, unless otherwise defined in this Agreement, bear the same meaning when used in this paragraph 5.</w:t>
      </w:r>
    </w:p>
    <w:p>
      <w:pPr>
        <w:spacing w:after="0" w:line="197" w:lineRule="exact"/>
        <w:rPr>
          <w:rFonts w:ascii="Arial" w:cs="Arial" w:eastAsia="Arial" w:hAnsi="Arial"/>
          <w:sz w:val="18"/>
          <w:szCs w:val="18"/>
          <w:color w:val="auto"/>
        </w:rPr>
      </w:pPr>
    </w:p>
    <w:p>
      <w:pPr>
        <w:ind w:left="1304" w:hanging="535"/>
        <w:spacing w:after="0"/>
        <w:tabs>
          <w:tab w:leader="none" w:pos="1304" w:val="left"/>
        </w:tabs>
        <w:numPr>
          <w:ilvl w:val="1"/>
          <w:numId w:val="1150"/>
        </w:numPr>
        <w:rPr>
          <w:rFonts w:ascii="Arial" w:cs="Arial" w:eastAsia="Arial" w:hAnsi="Arial"/>
          <w:sz w:val="18"/>
          <w:szCs w:val="18"/>
          <w:color w:val="auto"/>
        </w:rPr>
      </w:pPr>
      <w:r>
        <w:rPr>
          <w:rFonts w:ascii="Arial" w:cs="Arial" w:eastAsia="Arial" w:hAnsi="Arial"/>
          <w:sz w:val="18"/>
          <w:szCs w:val="18"/>
          <w:color w:val="auto"/>
        </w:rPr>
        <w:t>The Acceding Debtor and the Common Security Agent agree that the Common Security Agent shall hold:</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2"/>
          <w:numId w:val="1150"/>
        </w:numPr>
        <w:rPr>
          <w:rFonts w:ascii="Arial" w:cs="Arial" w:eastAsia="Arial" w:hAnsi="Arial"/>
          <w:sz w:val="18"/>
          <w:szCs w:val="18"/>
          <w:color w:val="auto"/>
        </w:rPr>
      </w:pPr>
      <w:r>
        <w:rPr>
          <w:rFonts w:ascii="Arial" w:cs="Arial" w:eastAsia="Arial" w:hAnsi="Arial"/>
          <w:sz w:val="18"/>
          <w:szCs w:val="18"/>
          <w:color w:val="auto"/>
        </w:rPr>
        <w:t>[any Security in respect of Liabilities created or expressed to be created pursuant to the Relevant Documents;</w:t>
      </w:r>
    </w:p>
    <w:p>
      <w:pPr>
        <w:spacing w:after="0" w:line="158"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type w:val="continuous"/>
        </w:sectPr>
      </w:pPr>
    </w:p>
    <w:bookmarkStart w:id="755" w:name="page756"/>
    <w:bookmarkEnd w:id="755"/>
    <w:p>
      <w:pPr>
        <w:ind w:left="1964" w:hanging="655"/>
        <w:spacing w:after="0"/>
        <w:tabs>
          <w:tab w:leader="none" w:pos="1964" w:val="left"/>
        </w:tabs>
        <w:numPr>
          <w:ilvl w:val="0"/>
          <w:numId w:val="1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10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proceeds of that Security; and]*</w:t>
      </w:r>
    </w:p>
    <w:p>
      <w:pPr>
        <w:spacing w:after="0" w:line="130" w:lineRule="exact"/>
        <w:rPr>
          <w:rFonts w:ascii="Arial" w:cs="Arial" w:eastAsia="Arial" w:hAnsi="Arial"/>
          <w:sz w:val="18"/>
          <w:szCs w:val="18"/>
          <w:color w:val="auto"/>
        </w:rPr>
      </w:pPr>
    </w:p>
    <w:p>
      <w:pPr>
        <w:ind w:left="1964" w:right="240" w:hanging="655"/>
        <w:spacing w:after="0" w:line="301" w:lineRule="auto"/>
        <w:tabs>
          <w:tab w:leader="none" w:pos="1964" w:val="left"/>
        </w:tabs>
        <w:numPr>
          <w:ilvl w:val="0"/>
          <w:numId w:val="1151"/>
        </w:numPr>
        <w:rPr>
          <w:rFonts w:ascii="Arial" w:cs="Arial" w:eastAsia="Arial" w:hAnsi="Arial"/>
          <w:sz w:val="16"/>
          <w:szCs w:val="16"/>
          <w:color w:val="auto"/>
        </w:rPr>
      </w:pPr>
      <w:r>
        <w:rPr>
          <w:rFonts w:ascii="Arial" w:cs="Arial" w:eastAsia="Arial" w:hAnsi="Arial"/>
          <w:sz w:val="16"/>
          <w:szCs w:val="16"/>
          <w:color w:val="auto"/>
        </w:rPr>
        <w:t>all obligations expressed to be undertaken by the Acceding Debtor to pay amounts in respect of the Liabilities to the Common Security Agent as trustee for the Secured Parties (in the Relevant Documents or otherwise) and secured by the Transaction Security together with all representations and warranties expressed to be given by the Acceding Debtor (in the Relevant Documents or otherwise) in favour of the Common Security Agent as trustee for the Secured Parties,</w:t>
      </w:r>
    </w:p>
    <w:p>
      <w:pPr>
        <w:spacing w:after="0" w:line="49"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on trust for the Secured Parties on the terms and conditions contained in the Intercreditor Agreement.</w:t>
      </w:r>
    </w:p>
    <w:p>
      <w:pPr>
        <w:spacing w:after="0" w:line="131" w:lineRule="exact"/>
        <w:rPr>
          <w:sz w:val="20"/>
          <w:szCs w:val="20"/>
          <w:color w:val="auto"/>
        </w:rPr>
      </w:pPr>
    </w:p>
    <w:p>
      <w:pPr>
        <w:ind w:left="1304" w:right="360" w:hanging="535"/>
        <w:spacing w:after="0" w:line="286" w:lineRule="auto"/>
        <w:tabs>
          <w:tab w:leader="none" w:pos="1304" w:val="left"/>
        </w:tabs>
        <w:numPr>
          <w:ilvl w:val="1"/>
          <w:numId w:val="1152"/>
        </w:numPr>
        <w:rPr>
          <w:rFonts w:ascii="Arial" w:cs="Arial" w:eastAsia="Arial" w:hAnsi="Arial"/>
          <w:sz w:val="17"/>
          <w:szCs w:val="17"/>
          <w:color w:val="auto"/>
        </w:rPr>
      </w:pPr>
      <w:r>
        <w:rPr>
          <w:rFonts w:ascii="Arial" w:cs="Arial" w:eastAsia="Arial" w:hAnsi="Arial"/>
          <w:sz w:val="17"/>
          <w:szCs w:val="17"/>
          <w:color w:val="auto"/>
        </w:rPr>
        <w:t>The Acceding Debtor confirms that it intends to be party to the Intercreditor Agreement as a Debtor, undertakes to perform all the obligations expressed to be assumed by a Debtor under the Intercreditor Agreement and agrees that it shall be bound by all the provisions of the Intercreditor Agreement as if it had been an original party to the Intercreditor Agreement.</w:t>
      </w:r>
    </w:p>
    <w:p>
      <w:pPr>
        <w:spacing w:after="0" w:line="70" w:lineRule="exact"/>
        <w:rPr>
          <w:rFonts w:ascii="Arial" w:cs="Arial" w:eastAsia="Arial" w:hAnsi="Arial"/>
          <w:sz w:val="17"/>
          <w:szCs w:val="17"/>
          <w:color w:val="auto"/>
        </w:rPr>
      </w:pPr>
    </w:p>
    <w:p>
      <w:pPr>
        <w:ind w:left="1304" w:right="80" w:hanging="535"/>
        <w:spacing w:after="0" w:line="257" w:lineRule="auto"/>
        <w:tabs>
          <w:tab w:leader="none" w:pos="1304" w:val="left"/>
        </w:tabs>
        <w:numPr>
          <w:ilvl w:val="1"/>
          <w:numId w:val="1152"/>
        </w:numPr>
        <w:rPr>
          <w:rFonts w:ascii="Arial" w:cs="Arial" w:eastAsia="Arial" w:hAnsi="Arial"/>
          <w:sz w:val="18"/>
          <w:szCs w:val="18"/>
          <w:color w:val="auto"/>
        </w:rPr>
      </w:pPr>
      <w:r>
        <w:rPr>
          <w:rFonts w:ascii="Arial" w:cs="Arial" w:eastAsia="Arial" w:hAnsi="Arial"/>
          <w:sz w:val="18"/>
          <w:szCs w:val="18"/>
          <w:color w:val="auto"/>
        </w:rPr>
        <w:t>[In consideration of the Acceding Debtor being accepted as an Intra-Group Lender for the purposes of the Intercreditor Agreement, the Acceding Debtor also confirms that it intends to be party to the Intercreditor Agreement as an Intra-Group Lender, and undertakes to perform all the obligations expressed in the Intercreditor Agreement to be assumed by an Intra-Group Lender and agrees that it shall be bound by all the provisions of the Intercreditor Agreement, as if it had been an original party to the Intercreditor Agreement].**</w:t>
      </w:r>
    </w:p>
    <w:p>
      <w:pPr>
        <w:spacing w:after="0" w:line="93" w:lineRule="exact"/>
        <w:rPr>
          <w:rFonts w:ascii="Arial" w:cs="Arial" w:eastAsia="Arial" w:hAnsi="Arial"/>
          <w:sz w:val="18"/>
          <w:szCs w:val="18"/>
          <w:color w:val="auto"/>
        </w:rPr>
      </w:pPr>
    </w:p>
    <w:p>
      <w:pPr>
        <w:ind w:left="764" w:right="380" w:hanging="764"/>
        <w:spacing w:after="0" w:line="277" w:lineRule="auto"/>
        <w:tabs>
          <w:tab w:leader="none" w:pos="764" w:val="left"/>
        </w:tabs>
        <w:numPr>
          <w:ilvl w:val="0"/>
          <w:numId w:val="1153"/>
        </w:numPr>
        <w:rPr>
          <w:rFonts w:ascii="Arial" w:cs="Arial" w:eastAsia="Arial" w:hAnsi="Arial"/>
          <w:sz w:val="18"/>
          <w:szCs w:val="18"/>
          <w:color w:val="auto"/>
        </w:rPr>
      </w:pPr>
      <w:r>
        <w:rPr>
          <w:rFonts w:ascii="Arial" w:cs="Arial" w:eastAsia="Arial" w:hAnsi="Arial"/>
          <w:sz w:val="18"/>
          <w:szCs w:val="18"/>
          <w:color w:val="auto"/>
        </w:rPr>
        <w:t>This Accession Deed and any non-contractual obligations arising out of or in connection with it are governed by the laws of England and Wales.</w:t>
      </w:r>
    </w:p>
    <w:p>
      <w:pPr>
        <w:spacing w:after="0" w:line="170" w:lineRule="exact"/>
        <w:rPr>
          <w:sz w:val="20"/>
          <w:szCs w:val="20"/>
          <w:color w:val="auto"/>
        </w:rPr>
      </w:pPr>
    </w:p>
    <w:p>
      <w:pPr>
        <w:ind w:left="4" w:right="140"/>
        <w:spacing w:after="0" w:line="308" w:lineRule="auto"/>
        <w:rPr>
          <w:sz w:val="20"/>
          <w:szCs w:val="20"/>
          <w:color w:val="auto"/>
        </w:rPr>
      </w:pPr>
      <w:r>
        <w:rPr>
          <w:rFonts w:ascii="Arial" w:cs="Arial" w:eastAsia="Arial" w:hAnsi="Arial"/>
          <w:sz w:val="17"/>
          <w:szCs w:val="17"/>
          <w:color w:val="auto"/>
        </w:rPr>
        <w:t>This Accession Deed has been signed on behalf of the Intercreditor Agent and the Common Security Agent (each, for the purposes of paragraphs 5 and 6 above, only), signed by the Borrower and executed as a deed by [</w:t>
      </w:r>
      <w:r>
        <w:rPr>
          <w:rFonts w:ascii="Arial" w:cs="Arial" w:eastAsia="Arial" w:hAnsi="Arial"/>
          <w:sz w:val="17"/>
          <w:szCs w:val="17"/>
          <w:i w:val="1"/>
          <w:iCs w:val="1"/>
          <w:color w:val="auto"/>
        </w:rPr>
        <w:t>Subsidiary</w:t>
      </w:r>
      <w:r>
        <w:rPr>
          <w:rFonts w:ascii="Arial" w:cs="Arial" w:eastAsia="Arial" w:hAnsi="Arial"/>
          <w:sz w:val="17"/>
          <w:szCs w:val="17"/>
          <w:color w:val="auto"/>
        </w:rPr>
        <w:t>] and is delivered on the date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77152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10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2" w:lineRule="exact"/>
        <w:rPr>
          <w:sz w:val="20"/>
          <w:szCs w:val="20"/>
          <w:color w:val="auto"/>
        </w:rPr>
      </w:pPr>
    </w:p>
    <w:p>
      <w:pPr>
        <w:ind w:left="424" w:right="600" w:hanging="424"/>
        <w:spacing w:after="0" w:line="258" w:lineRule="auto"/>
        <w:tabs>
          <w:tab w:leader="none" w:pos="424" w:val="left"/>
        </w:tabs>
        <w:numPr>
          <w:ilvl w:val="0"/>
          <w:numId w:val="1154"/>
        </w:numPr>
        <w:rPr>
          <w:rFonts w:ascii="Arial" w:cs="Arial" w:eastAsia="Arial" w:hAnsi="Arial"/>
          <w:sz w:val="18"/>
          <w:szCs w:val="18"/>
          <w:color w:val="auto"/>
        </w:rPr>
      </w:pPr>
      <w:r>
        <w:rPr>
          <w:rFonts w:ascii="Arial" w:cs="Arial" w:eastAsia="Arial" w:hAnsi="Arial"/>
          <w:sz w:val="18"/>
          <w:szCs w:val="18"/>
          <w:color w:val="auto"/>
        </w:rPr>
        <w:t>Include to the extent that the Security created in the Relevant Documents is expressed to be granted to the Security Agent as trustee for the Secured Parties.</w:t>
      </w:r>
    </w:p>
    <w:p>
      <w:pPr>
        <w:spacing w:after="0" w:line="1" w:lineRule="exact"/>
        <w:rPr>
          <w:sz w:val="20"/>
          <w:szCs w:val="20"/>
          <w:color w:val="auto"/>
        </w:rPr>
      </w:pPr>
    </w:p>
    <w:p>
      <w:pPr>
        <w:ind w:left="424" w:right="520" w:hanging="424"/>
        <w:spacing w:after="0" w:line="260" w:lineRule="auto"/>
        <w:tabs>
          <w:tab w:leader="none" w:pos="424" w:val="left"/>
        </w:tabs>
        <w:numPr>
          <w:ilvl w:val="0"/>
          <w:numId w:val="1155"/>
        </w:numPr>
        <w:rPr>
          <w:rFonts w:ascii="Arial" w:cs="Arial" w:eastAsia="Arial" w:hAnsi="Arial"/>
          <w:sz w:val="18"/>
          <w:szCs w:val="18"/>
          <w:color w:val="auto"/>
        </w:rPr>
      </w:pPr>
      <w:r>
        <w:rPr>
          <w:rFonts w:ascii="Arial" w:cs="Arial" w:eastAsia="Arial" w:hAnsi="Arial"/>
          <w:sz w:val="18"/>
          <w:szCs w:val="18"/>
          <w:color w:val="auto"/>
        </w:rPr>
        <w:t>Include this paragraph in the relevant Accession Deed if the Acceding Debtor is also to accede as an Intra-Group Lender to the Intercreditor Agreement.</w:t>
      </w:r>
    </w:p>
    <w:p>
      <w:pPr>
        <w:spacing w:after="0" w:line="118"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56" w:name="page757"/>
    <w:bookmarkEnd w:id="7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10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Subsidiary</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-119380</wp:posOffset>
            </wp:positionV>
            <wp:extent cx="162560" cy="65151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011">
                      <a:extLst>
                        <a:ext uri="{28A0092B-C50C-407E-A947-70E740481C1C}"/>
                      </a:extLst>
                    </a:blip>
                    <a:srcRect/>
                    <a:stretch>
                      <a:fillRect/>
                    </a:stretch>
                  </pic:blipFill>
                  <pic:spPr bwMode="auto">
                    <a:xfrm>
                      <a:off x="0" y="0"/>
                      <a:ext cx="162560" cy="6515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Executed</w:t>
      </w:r>
      <w:r>
        <w:rPr>
          <w:rFonts w:ascii="Arial" w:cs="Arial" w:eastAsia="Arial" w:hAnsi="Arial"/>
          <w:sz w:val="18"/>
          <w:szCs w:val="18"/>
          <w:color w:val="auto"/>
        </w:rPr>
        <w:t xml:space="preserve"> as a </w:t>
      </w:r>
      <w:r>
        <w:rPr>
          <w:rFonts w:ascii="Arial" w:cs="Arial" w:eastAsia="Arial" w:hAnsi="Arial"/>
          <w:sz w:val="18"/>
          <w:szCs w:val="18"/>
          <w:b w:val="1"/>
          <w:bCs w:val="1"/>
          <w:color w:val="auto"/>
        </w:rPr>
        <w:t>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i w:val="1"/>
          <w:iCs w:val="1"/>
          <w:color w:val="auto"/>
        </w:rPr>
        <w:t>Full name of Subsidiary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66040</wp:posOffset>
            </wp:positionV>
            <wp:extent cx="279463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0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160655</wp:posOffset>
            </wp:positionV>
            <wp:extent cx="3042920" cy="65151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13">
                      <a:extLst>
                        <a:ext uri="{28A0092B-C50C-407E-A947-70E740481C1C}"/>
                      </a:extLst>
                    </a:blip>
                    <a:srcRect/>
                    <a:stretch>
                      <a:fillRect/>
                    </a:stretch>
                  </pic:blipFill>
                  <pic:spPr bwMode="auto">
                    <a:xfrm>
                      <a:off x="0" y="0"/>
                      <a:ext cx="3042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Director/Secretary]</w:t>
      </w:r>
    </w:p>
    <w:p>
      <w:pPr>
        <w:spacing w:after="0" w:line="200" w:lineRule="exact"/>
        <w:rPr>
          <w:sz w:val="20"/>
          <w:szCs w:val="20"/>
          <w:color w:val="auto"/>
        </w:rPr>
      </w:pPr>
    </w:p>
    <w:p>
      <w:pPr>
        <w:spacing w:after="0" w:line="255" w:lineRule="exact"/>
        <w:rPr>
          <w:sz w:val="20"/>
          <w:szCs w:val="20"/>
          <w:color w:val="auto"/>
        </w:rPr>
      </w:pPr>
    </w:p>
    <w:p>
      <w:pPr>
        <w:ind w:left="6240"/>
        <w:spacing w:after="0"/>
        <w:rPr>
          <w:sz w:val="20"/>
          <w:szCs w:val="20"/>
          <w:color w:val="auto"/>
        </w:rPr>
      </w:pPr>
      <w:r>
        <w:rPr>
          <w:rFonts w:ascii="Arial" w:cs="Arial" w:eastAsia="Arial" w:hAnsi="Arial"/>
          <w:sz w:val="18"/>
          <w:szCs w:val="18"/>
          <w:b w:val="1"/>
          <w:bCs w:val="1"/>
          <w:i w:val="1"/>
          <w:i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151765</wp:posOffset>
            </wp:positionV>
            <wp:extent cx="162560" cy="65151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14">
                      <a:extLst>
                        <a:ext uri="{28A0092B-C50C-407E-A947-70E740481C1C}"/>
                      </a:extLst>
                    </a:blip>
                    <a:srcRect/>
                    <a:stretch>
                      <a:fillRect/>
                    </a:stretch>
                  </pic:blipFill>
                  <pic:spPr bwMode="auto">
                    <a:xfrm>
                      <a:off x="0" y="0"/>
                      <a:ext cx="162560" cy="65151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Executed</w:t>
      </w:r>
      <w:r>
        <w:rPr>
          <w:rFonts w:ascii="Arial" w:cs="Arial" w:eastAsia="Arial" w:hAnsi="Arial"/>
          <w:sz w:val="18"/>
          <w:szCs w:val="18"/>
          <w:color w:val="auto"/>
        </w:rPr>
        <w:t xml:space="preserve"> as a </w:t>
      </w:r>
      <w:r>
        <w:rPr>
          <w:rFonts w:ascii="Arial" w:cs="Arial" w:eastAsia="Arial" w:hAnsi="Arial"/>
          <w:sz w:val="18"/>
          <w:szCs w:val="18"/>
          <w:b w:val="1"/>
          <w:bCs w:val="1"/>
          <w:color w:val="auto"/>
        </w:rPr>
        <w:t>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i w:val="1"/>
          <w:iCs w:val="1"/>
          <w:color w:val="auto"/>
        </w:rPr>
        <w:t>Full name of Subsidiary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160020</wp:posOffset>
            </wp:positionV>
            <wp:extent cx="279463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160655</wp:posOffset>
            </wp:positionV>
            <wp:extent cx="3042920" cy="65151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16">
                      <a:extLst>
                        <a:ext uri="{28A0092B-C50C-407E-A947-70E740481C1C}"/>
                      </a:extLst>
                    </a:blip>
                    <a:srcRect/>
                    <a:stretch>
                      <a:fillRect/>
                    </a:stretch>
                  </pic:blipFill>
                  <pic:spPr bwMode="auto">
                    <a:xfrm>
                      <a:off x="0" y="0"/>
                      <a:ext cx="3042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279463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Occupation of 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158"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57" w:name="page758"/>
    <w:bookmarkEnd w:id="7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Intercreditor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name of current Intercreditor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Common Security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name of current Common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58" w:name="page759"/>
    <w:bookmarkEnd w:id="75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7</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Form of Resignation Letter</w:t>
      </w:r>
    </w:p>
    <w:p>
      <w:pPr>
        <w:spacing w:after="0" w:line="116"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as Agent and [●] as Intercreditor Agent</w:t>
      </w:r>
    </w:p>
    <w:p>
      <w:pPr>
        <w:spacing w:after="0" w:line="117"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resigning Obligor</w:t>
      </w:r>
      <w:r>
        <w:rPr>
          <w:rFonts w:ascii="Arial" w:cs="Arial" w:eastAsia="Arial" w:hAnsi="Arial"/>
          <w:sz w:val="18"/>
          <w:szCs w:val="18"/>
          <w:color w:val="auto"/>
        </w:rPr>
        <w:t>] and Studio City Company Limited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center"/>
        <w:ind w:left="440" w:right="140"/>
        <w:spacing w:after="0" w:line="282" w:lineRule="auto"/>
        <w:rPr>
          <w:sz w:val="20"/>
          <w:szCs w:val="20"/>
          <w:color w:val="auto"/>
        </w:rPr>
      </w:pPr>
      <w:r>
        <w:rPr>
          <w:rFonts w:ascii="Arial" w:cs="Arial" w:eastAsia="Arial" w:hAnsi="Arial"/>
          <w:sz w:val="18"/>
          <w:szCs w:val="18"/>
          <w:b w:val="1"/>
          <w:bCs w:val="1"/>
          <w:color w:val="auto"/>
        </w:rPr>
        <w:t>Studio City Company Limited—Facilities Agreement originally dated 28 January 2013 (as amended and amended and restated from time to time) (the “Facilities Agreement”)</w:t>
      </w:r>
    </w:p>
    <w:p>
      <w:pPr>
        <w:spacing w:after="0" w:line="71" w:lineRule="exact"/>
        <w:rPr>
          <w:sz w:val="20"/>
          <w:szCs w:val="20"/>
          <w:color w:val="auto"/>
        </w:rPr>
      </w:pPr>
    </w:p>
    <w:p>
      <w:pPr>
        <w:ind w:left="764" w:right="100" w:hanging="764"/>
        <w:spacing w:after="0" w:line="308" w:lineRule="auto"/>
        <w:tabs>
          <w:tab w:leader="none" w:pos="764" w:val="left"/>
        </w:tabs>
        <w:numPr>
          <w:ilvl w:val="0"/>
          <w:numId w:val="1156"/>
        </w:numPr>
        <w:rPr>
          <w:rFonts w:ascii="Arial" w:cs="Arial" w:eastAsia="Arial" w:hAnsi="Arial"/>
          <w:sz w:val="17"/>
          <w:szCs w:val="17"/>
          <w:color w:val="auto"/>
        </w:rPr>
      </w:pPr>
      <w:r>
        <w:rPr>
          <w:rFonts w:ascii="Arial" w:cs="Arial" w:eastAsia="Arial" w:hAnsi="Arial"/>
          <w:sz w:val="17"/>
          <w:szCs w:val="17"/>
          <w:color w:val="auto"/>
        </w:rPr>
        <w:t>We refer to the Facilities Agreement. This is a Resignation Letter. Terms defined in or construed for the purposes of the Facilities Agreement have the same meaning in this Resignation Letter unless given a different meaning in this Resignation Letter.</w:t>
      </w:r>
    </w:p>
    <w:p>
      <w:pPr>
        <w:spacing w:after="0" w:line="51" w:lineRule="exact"/>
        <w:rPr>
          <w:rFonts w:ascii="Arial" w:cs="Arial" w:eastAsia="Arial" w:hAnsi="Arial"/>
          <w:sz w:val="17"/>
          <w:szCs w:val="17"/>
          <w:color w:val="auto"/>
        </w:rPr>
      </w:pPr>
    </w:p>
    <w:p>
      <w:pPr>
        <w:ind w:left="764" w:right="280" w:hanging="764"/>
        <w:spacing w:after="0" w:line="277" w:lineRule="auto"/>
        <w:tabs>
          <w:tab w:leader="none" w:pos="764" w:val="left"/>
        </w:tabs>
        <w:numPr>
          <w:ilvl w:val="0"/>
          <w:numId w:val="1156"/>
        </w:numPr>
        <w:rPr>
          <w:rFonts w:ascii="Arial" w:cs="Arial" w:eastAsia="Arial" w:hAnsi="Arial"/>
          <w:sz w:val="18"/>
          <w:szCs w:val="18"/>
          <w:color w:val="auto"/>
        </w:rPr>
      </w:pPr>
      <w:r>
        <w:rPr>
          <w:rFonts w:ascii="Arial" w:cs="Arial" w:eastAsia="Arial" w:hAnsi="Arial"/>
          <w:sz w:val="18"/>
          <w:szCs w:val="18"/>
          <w:color w:val="auto"/>
        </w:rPr>
        <w:t>Pursuant to Clause 27.4 (</w:t>
      </w:r>
      <w:r>
        <w:rPr>
          <w:rFonts w:ascii="Arial" w:cs="Arial" w:eastAsia="Arial" w:hAnsi="Arial"/>
          <w:sz w:val="18"/>
          <w:szCs w:val="18"/>
          <w:i w:val="1"/>
          <w:iCs w:val="1"/>
          <w:color w:val="auto"/>
        </w:rPr>
        <w:t>Resignation of a Guarantor</w:t>
      </w:r>
      <w:r>
        <w:rPr>
          <w:rFonts w:ascii="Arial" w:cs="Arial" w:eastAsia="Arial" w:hAnsi="Arial"/>
          <w:sz w:val="18"/>
          <w:szCs w:val="18"/>
          <w:color w:val="auto"/>
        </w:rPr>
        <w:t>) of the Facilities Agreement, we request that [</w:t>
      </w:r>
      <w:r>
        <w:rPr>
          <w:rFonts w:ascii="Arial" w:cs="Arial" w:eastAsia="Arial" w:hAnsi="Arial"/>
          <w:sz w:val="18"/>
          <w:szCs w:val="18"/>
          <w:i w:val="1"/>
          <w:iCs w:val="1"/>
          <w:color w:val="auto"/>
        </w:rPr>
        <w:t>resigning Obligor</w:t>
      </w:r>
      <w:r>
        <w:rPr>
          <w:rFonts w:ascii="Arial" w:cs="Arial" w:eastAsia="Arial" w:hAnsi="Arial"/>
          <w:sz w:val="18"/>
          <w:szCs w:val="18"/>
          <w:color w:val="auto"/>
        </w:rPr>
        <w:t>] be released from its obligations as a Guarantor under the Facilities Agreement and the Finance Documents.</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156"/>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130" w:lineRule="exact"/>
        <w:rPr>
          <w:rFonts w:ascii="Arial" w:cs="Arial" w:eastAsia="Arial" w:hAnsi="Arial"/>
          <w:sz w:val="18"/>
          <w:szCs w:val="18"/>
          <w:color w:val="auto"/>
        </w:rPr>
      </w:pPr>
    </w:p>
    <w:p>
      <w:pPr>
        <w:ind w:left="1304" w:right="140" w:hanging="535"/>
        <w:spacing w:after="0" w:line="308" w:lineRule="auto"/>
        <w:tabs>
          <w:tab w:leader="none" w:pos="1304" w:val="left"/>
        </w:tabs>
        <w:numPr>
          <w:ilvl w:val="1"/>
          <w:numId w:val="1156"/>
        </w:numPr>
        <w:rPr>
          <w:rFonts w:ascii="Arial" w:cs="Arial" w:eastAsia="Arial" w:hAnsi="Arial"/>
          <w:sz w:val="17"/>
          <w:szCs w:val="17"/>
          <w:color w:val="auto"/>
        </w:rPr>
      </w:pPr>
      <w:r>
        <w:rPr>
          <w:rFonts w:ascii="Arial" w:cs="Arial" w:eastAsia="Arial" w:hAnsi="Arial"/>
          <w:sz w:val="17"/>
          <w:szCs w:val="17"/>
          <w:color w:val="auto"/>
        </w:rPr>
        <w:t>[such release is conditional upon repayment or prepayment in full of the Facilities and the payment of all other amounts then due and payable under the Finance Documents and the cancellation of all Commitments under the Finance Documents;]</w:t>
      </w:r>
    </w:p>
    <w:p>
      <w:pPr>
        <w:spacing w:after="0" w:line="51" w:lineRule="exact"/>
        <w:rPr>
          <w:rFonts w:ascii="Arial" w:cs="Arial" w:eastAsia="Arial" w:hAnsi="Arial"/>
          <w:sz w:val="17"/>
          <w:szCs w:val="17"/>
          <w:color w:val="auto"/>
        </w:rPr>
      </w:pPr>
    </w:p>
    <w:p>
      <w:pPr>
        <w:ind w:left="1304" w:right="40" w:hanging="535"/>
        <w:spacing w:after="0" w:line="259" w:lineRule="auto"/>
        <w:tabs>
          <w:tab w:leader="none" w:pos="1304" w:val="left"/>
        </w:tabs>
        <w:numPr>
          <w:ilvl w:val="1"/>
          <w:numId w:val="1156"/>
        </w:numPr>
        <w:rPr>
          <w:rFonts w:ascii="Arial" w:cs="Arial" w:eastAsia="Arial" w:hAnsi="Arial"/>
          <w:sz w:val="18"/>
          <w:szCs w:val="18"/>
          <w:color w:val="auto"/>
        </w:rPr>
      </w:pPr>
      <w:r>
        <w:rPr>
          <w:rFonts w:ascii="Arial" w:cs="Arial" w:eastAsia="Arial" w:hAnsi="Arial"/>
          <w:sz w:val="18"/>
          <w:szCs w:val="18"/>
          <w:color w:val="auto"/>
        </w:rPr>
        <w:t>[the Resigning Guarantor is being (or shares or equity interests in the Resigning Guarantor are being) disposed of (directly or indirectly) by way of a sale or disposal or reorganisation where such sale or disposal or reorganisation is expressly permitted under the Facilities Agreement or any other Finance Document in circumstances where the Resigning Guarantor will cease to be a Group Member;] [or]</w:t>
      </w:r>
    </w:p>
    <w:p>
      <w:pPr>
        <w:spacing w:after="0" w:line="92" w:lineRule="exact"/>
        <w:rPr>
          <w:rFonts w:ascii="Arial" w:cs="Arial" w:eastAsia="Arial" w:hAnsi="Arial"/>
          <w:sz w:val="18"/>
          <w:szCs w:val="18"/>
          <w:color w:val="auto"/>
        </w:rPr>
      </w:pPr>
    </w:p>
    <w:p>
      <w:pPr>
        <w:ind w:left="1304" w:hanging="535"/>
        <w:spacing w:after="0"/>
        <w:tabs>
          <w:tab w:leader="none" w:pos="1304" w:val="left"/>
        </w:tabs>
        <w:numPr>
          <w:ilvl w:val="1"/>
          <w:numId w:val="1156"/>
        </w:numPr>
        <w:rPr>
          <w:rFonts w:ascii="Arial" w:cs="Arial" w:eastAsia="Arial" w:hAnsi="Arial"/>
          <w:sz w:val="18"/>
          <w:szCs w:val="18"/>
          <w:color w:val="auto"/>
        </w:rPr>
      </w:pPr>
      <w:r>
        <w:rPr>
          <w:rFonts w:ascii="Arial" w:cs="Arial" w:eastAsia="Arial" w:hAnsi="Arial"/>
          <w:sz w:val="18"/>
          <w:szCs w:val="18"/>
          <w:color w:val="auto"/>
        </w:rPr>
        <w:t>[the Lenders have consented to the resignation of the Resigning Guarantor]; [or]</w:t>
      </w:r>
    </w:p>
    <w:p>
      <w:pPr>
        <w:spacing w:after="0" w:line="130" w:lineRule="exact"/>
        <w:rPr>
          <w:rFonts w:ascii="Arial" w:cs="Arial" w:eastAsia="Arial" w:hAnsi="Arial"/>
          <w:sz w:val="18"/>
          <w:szCs w:val="18"/>
          <w:color w:val="auto"/>
        </w:rPr>
      </w:pPr>
    </w:p>
    <w:p>
      <w:pPr>
        <w:ind w:left="764" w:hanging="764"/>
        <w:spacing w:after="0"/>
        <w:tabs>
          <w:tab w:leader="none" w:pos="764" w:val="left"/>
        </w:tabs>
        <w:numPr>
          <w:ilvl w:val="0"/>
          <w:numId w:val="1156"/>
        </w:numPr>
        <w:rPr>
          <w:rFonts w:ascii="Arial" w:cs="Arial" w:eastAsia="Arial" w:hAnsi="Arial"/>
          <w:sz w:val="18"/>
          <w:szCs w:val="18"/>
          <w:color w:val="auto"/>
        </w:rPr>
      </w:pPr>
      <w:r>
        <w:rPr>
          <w:rFonts w:ascii="Arial" w:cs="Arial" w:eastAsia="Arial" w:hAnsi="Arial"/>
          <w:sz w:val="18"/>
          <w:szCs w:val="18"/>
          <w:color w:val="auto"/>
        </w:rPr>
        <w:t>We confirm that no Event of Default is continuing.</w:t>
      </w:r>
    </w:p>
    <w:p>
      <w:pPr>
        <w:spacing w:after="0" w:line="130" w:lineRule="exact"/>
        <w:rPr>
          <w:rFonts w:ascii="Arial" w:cs="Arial" w:eastAsia="Arial" w:hAnsi="Arial"/>
          <w:sz w:val="18"/>
          <w:szCs w:val="18"/>
          <w:color w:val="auto"/>
        </w:rPr>
      </w:pPr>
    </w:p>
    <w:p>
      <w:pPr>
        <w:ind w:left="764" w:right="220" w:hanging="764"/>
        <w:spacing w:after="0" w:line="277" w:lineRule="auto"/>
        <w:tabs>
          <w:tab w:leader="none" w:pos="764" w:val="left"/>
        </w:tabs>
        <w:numPr>
          <w:ilvl w:val="0"/>
          <w:numId w:val="1156"/>
        </w:numPr>
        <w:rPr>
          <w:rFonts w:ascii="Arial" w:cs="Arial" w:eastAsia="Arial" w:hAnsi="Arial"/>
          <w:sz w:val="18"/>
          <w:szCs w:val="18"/>
          <w:color w:val="auto"/>
        </w:rPr>
      </w:pPr>
      <w:r>
        <w:rPr>
          <w:rFonts w:ascii="Arial" w:cs="Arial" w:eastAsia="Arial" w:hAnsi="Arial"/>
          <w:sz w:val="18"/>
          <w:szCs w:val="18"/>
          <w:color w:val="auto"/>
        </w:rPr>
        <w:t>This Resignation Letter and any non-contractual obligations arising out of or in connection with it are governed by the laws of England and Wales.</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Studio City Company Limited</w:t>
            </w:r>
          </w:p>
        </w:tc>
        <w:tc>
          <w:tcPr>
            <w:tcW w:w="5260" w:type="dxa"/>
            <w:vAlign w:val="bottom"/>
            <w:gridSpan w:val="3"/>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Resigning</w:t>
            </w:r>
            <w:r>
              <w:rPr>
                <w:rFonts w:ascii="Arial" w:cs="Arial" w:eastAsia="Arial" w:hAnsi="Arial"/>
                <w:sz w:val="18"/>
                <w:szCs w:val="18"/>
                <w:color w:val="auto"/>
              </w:rPr>
              <w:t xml:space="preserve"> </w:t>
            </w:r>
            <w:r>
              <w:rPr>
                <w:rFonts w:ascii="Arial" w:cs="Arial" w:eastAsia="Arial" w:hAnsi="Arial"/>
                <w:sz w:val="18"/>
                <w:szCs w:val="18"/>
                <w:b w:val="1"/>
                <w:bCs w:val="1"/>
                <w:color w:val="auto"/>
              </w:rPr>
              <w:t>Obligor</w:t>
            </w:r>
            <w:r>
              <w:rPr>
                <w:rFonts w:ascii="Arial" w:cs="Arial" w:eastAsia="Arial" w:hAnsi="Arial"/>
                <w:sz w:val="18"/>
                <w:szCs w:val="18"/>
                <w:color w:val="auto"/>
              </w:rPr>
              <w:t>]</w:t>
            </w:r>
          </w:p>
        </w:tc>
      </w:tr>
      <w:tr>
        <w:trPr>
          <w:trHeight w:val="432"/>
        </w:trPr>
        <w:tc>
          <w:tcPr>
            <w:tcW w:w="57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18"/>
                <w:szCs w:val="18"/>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Date:</w:t>
            </w:r>
          </w:p>
        </w:tc>
        <w:tc>
          <w:tcPr>
            <w:tcW w:w="5260" w:type="dxa"/>
            <w:vAlign w:val="bottom"/>
            <w:gridSpan w:val="3"/>
          </w:tcPr>
          <w:p>
            <w:pPr>
              <w:ind w:left="60"/>
              <w:spacing w:after="0"/>
              <w:rPr>
                <w:sz w:val="20"/>
                <w:szCs w:val="20"/>
                <w:color w:val="auto"/>
              </w:rPr>
            </w:pPr>
            <w:r>
              <w:rPr>
                <w:rFonts w:ascii="Arial" w:cs="Arial" w:eastAsia="Arial" w:hAnsi="Arial"/>
                <w:sz w:val="18"/>
                <w:szCs w:val="18"/>
                <w:color w:val="auto"/>
              </w:rPr>
              <w:t>Date:</w:t>
            </w:r>
          </w:p>
        </w:tc>
      </w:tr>
      <w:tr>
        <w:trPr>
          <w:trHeight w:val="350"/>
        </w:trPr>
        <w:tc>
          <w:tcPr>
            <w:tcW w:w="578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4"/>
                <w:szCs w:val="24"/>
                <w:color w:val="auto"/>
              </w:rPr>
            </w:pPr>
          </w:p>
        </w:tc>
        <w:tc>
          <w:tcPr>
            <w:tcW w:w="5200" w:type="dxa"/>
            <w:vAlign w:val="bottom"/>
            <w:gridSpan w:val="2"/>
          </w:tcPr>
          <w:p>
            <w:pPr>
              <w:jc w:val="right"/>
              <w:ind w:right="20"/>
              <w:spacing w:after="0"/>
              <w:rPr>
                <w:sz w:val="20"/>
                <w:szCs w:val="20"/>
                <w:color w:val="auto"/>
              </w:rPr>
            </w:pPr>
            <w:r>
              <w:rPr>
                <w:rFonts w:ascii="Arial" w:cs="Arial" w:eastAsia="Arial" w:hAnsi="Arial"/>
                <w:sz w:val="18"/>
                <w:szCs w:val="18"/>
                <w:color w:val="auto"/>
              </w:rPr>
              <w:t>Project Asgard (2020 A&amp;R) –</w:t>
            </w:r>
          </w:p>
        </w:tc>
      </w:tr>
      <w:tr>
        <w:trPr>
          <w:trHeight w:val="216"/>
        </w:trPr>
        <w:tc>
          <w:tcPr>
            <w:tcW w:w="5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0" w:type="dxa"/>
            <w:vAlign w:val="bottom"/>
            <w:gridSpan w:val="2"/>
          </w:tcPr>
          <w:p>
            <w:pPr>
              <w:jc w:val="right"/>
              <w:ind w:right="20"/>
              <w:spacing w:after="0"/>
              <w:rPr>
                <w:sz w:val="20"/>
                <w:szCs w:val="20"/>
                <w:color w:val="auto"/>
              </w:rPr>
            </w:pPr>
            <w:r>
              <w:rPr>
                <w:rFonts w:ascii="Arial" w:cs="Arial" w:eastAsia="Arial" w:hAnsi="Arial"/>
                <w:sz w:val="18"/>
                <w:szCs w:val="18"/>
                <w:color w:val="auto"/>
              </w:rPr>
              <w:t>Amended and Restated</w:t>
            </w:r>
          </w:p>
        </w:tc>
      </w:tr>
      <w:tr>
        <w:trPr>
          <w:trHeight w:val="230"/>
        </w:trPr>
        <w:tc>
          <w:tcPr>
            <w:tcW w:w="5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0" w:type="dxa"/>
            <w:vAlign w:val="bottom"/>
            <w:gridSpan w:val="2"/>
          </w:tcPr>
          <w:p>
            <w:pPr>
              <w:jc w:val="right"/>
              <w:ind w:right="20"/>
              <w:spacing w:after="0"/>
              <w:rPr>
                <w:sz w:val="20"/>
                <w:szCs w:val="20"/>
                <w:color w:val="auto"/>
              </w:rPr>
            </w:pPr>
            <w:r>
              <w:rPr>
                <w:rFonts w:ascii="Arial" w:cs="Arial" w:eastAsia="Arial" w:hAnsi="Arial"/>
                <w:sz w:val="18"/>
                <w:szCs w:val="18"/>
                <w:color w:val="auto"/>
              </w:rPr>
              <w:t>Facilities Agreement</w:t>
            </w:r>
          </w:p>
        </w:tc>
      </w:tr>
    </w:tbl>
    <w:p>
      <w:pPr>
        <w:sectPr>
          <w:pgSz w:w="11900" w:h="16838" w:orient="portrait"/>
          <w:cols w:equalWidth="0" w:num="1">
            <w:col w:w="11024"/>
          </w:cols>
          <w:pgMar w:left="436" w:top="270" w:right="439" w:bottom="1440" w:gutter="0" w:footer="0" w:header="0"/>
        </w:sectPr>
      </w:pPr>
    </w:p>
    <w:bookmarkStart w:id="759" w:name="page760"/>
    <w:bookmarkEnd w:id="75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8</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Forms of Notifiable Debt Purchase Transaction Notice</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Form of Notice on Entering into Notifiable Debt Purchase Transaction</w:t>
      </w:r>
    </w:p>
    <w:p>
      <w:pPr>
        <w:spacing w:after="0" w:line="238"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as Agent</w:t>
      </w:r>
    </w:p>
    <w:p>
      <w:pPr>
        <w:spacing w:after="0" w:line="131"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The Lender</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left="480" w:right="100"/>
        <w:spacing w:after="0" w:line="282" w:lineRule="auto"/>
        <w:rPr>
          <w:sz w:val="20"/>
          <w:szCs w:val="20"/>
          <w:color w:val="auto"/>
        </w:rPr>
      </w:pPr>
      <w:r>
        <w:rPr>
          <w:rFonts w:ascii="Arial" w:cs="Arial" w:eastAsia="Arial" w:hAnsi="Arial"/>
          <w:sz w:val="18"/>
          <w:szCs w:val="18"/>
          <w:b w:val="1"/>
          <w:bCs w:val="1"/>
          <w:color w:val="auto"/>
        </w:rPr>
        <w:t>Studio City Company Limited—Facilities Agreement originally dated 28 January 2013 (as amended and amended and restated from time to time) (the “Facilities Agreement”)</w:t>
      </w:r>
    </w:p>
    <w:p>
      <w:pPr>
        <w:spacing w:after="0" w:line="71" w:lineRule="exact"/>
        <w:rPr>
          <w:sz w:val="20"/>
          <w:szCs w:val="20"/>
          <w:color w:val="auto"/>
        </w:rPr>
      </w:pPr>
    </w:p>
    <w:p>
      <w:pPr>
        <w:ind w:left="764" w:right="40" w:hanging="764"/>
        <w:spacing w:after="0" w:line="263" w:lineRule="auto"/>
        <w:tabs>
          <w:tab w:leader="none" w:pos="764" w:val="left"/>
        </w:tabs>
        <w:numPr>
          <w:ilvl w:val="0"/>
          <w:numId w:val="1157"/>
        </w:numPr>
        <w:rPr>
          <w:rFonts w:ascii="Arial" w:cs="Arial" w:eastAsia="Arial" w:hAnsi="Arial"/>
          <w:sz w:val="18"/>
          <w:szCs w:val="18"/>
          <w:color w:val="auto"/>
        </w:rPr>
      </w:pPr>
      <w:r>
        <w:rPr>
          <w:rFonts w:ascii="Arial" w:cs="Arial" w:eastAsia="Arial" w:hAnsi="Arial"/>
          <w:sz w:val="18"/>
          <w:szCs w:val="18"/>
          <w:color w:val="auto"/>
        </w:rPr>
        <w:t>We refer to paragraph (b) of Clause 26.2 (</w:t>
      </w:r>
      <w:r>
        <w:rPr>
          <w:rFonts w:ascii="Arial" w:cs="Arial" w:eastAsia="Arial" w:hAnsi="Arial"/>
          <w:sz w:val="18"/>
          <w:szCs w:val="18"/>
          <w:i w:val="1"/>
          <w:iCs w:val="1"/>
          <w:color w:val="auto"/>
        </w:rPr>
        <w:t>Disenfranchisement on Debt Purchase Transactions entered into by Sponsor Affiliates</w:t>
      </w:r>
      <w:r>
        <w:rPr>
          <w:rFonts w:ascii="Arial" w:cs="Arial" w:eastAsia="Arial" w:hAnsi="Arial"/>
          <w:sz w:val="18"/>
          <w:szCs w:val="18"/>
          <w:color w:val="auto"/>
        </w:rPr>
        <w:t>) of the Facilities Agreement. Terms defined in the Facilities Agreement have the same meaning in this notice unless given a different meaning in this notice.</w:t>
      </w:r>
    </w:p>
    <w:p>
      <w:pPr>
        <w:spacing w:after="0" w:line="89" w:lineRule="exact"/>
        <w:rPr>
          <w:rFonts w:ascii="Arial" w:cs="Arial" w:eastAsia="Arial" w:hAnsi="Arial"/>
          <w:sz w:val="18"/>
          <w:szCs w:val="18"/>
          <w:color w:val="auto"/>
        </w:rPr>
      </w:pPr>
    </w:p>
    <w:p>
      <w:pPr>
        <w:ind w:left="764" w:hanging="764"/>
        <w:spacing w:after="0"/>
        <w:tabs>
          <w:tab w:leader="none" w:pos="764" w:val="left"/>
        </w:tabs>
        <w:numPr>
          <w:ilvl w:val="0"/>
          <w:numId w:val="1157"/>
        </w:numPr>
        <w:rPr>
          <w:rFonts w:ascii="Arial" w:cs="Arial" w:eastAsia="Arial" w:hAnsi="Arial"/>
          <w:sz w:val="18"/>
          <w:szCs w:val="18"/>
          <w:color w:val="auto"/>
        </w:rPr>
      </w:pPr>
      <w:r>
        <w:rPr>
          <w:rFonts w:ascii="Arial" w:cs="Arial" w:eastAsia="Arial" w:hAnsi="Arial"/>
          <w:sz w:val="18"/>
          <w:szCs w:val="18"/>
          <w:color w:val="auto"/>
        </w:rPr>
        <w:t>We have entered into a Notifiable Debt Purchase Transaction.</w:t>
      </w:r>
    </w:p>
    <w:p>
      <w:pPr>
        <w:spacing w:after="0" w:line="130" w:lineRule="exact"/>
        <w:rPr>
          <w:rFonts w:ascii="Arial" w:cs="Arial" w:eastAsia="Arial" w:hAnsi="Arial"/>
          <w:sz w:val="18"/>
          <w:szCs w:val="18"/>
          <w:color w:val="auto"/>
        </w:rPr>
      </w:pPr>
    </w:p>
    <w:p>
      <w:pPr>
        <w:ind w:left="764" w:hanging="764"/>
        <w:spacing w:after="0"/>
        <w:tabs>
          <w:tab w:leader="none" w:pos="764" w:val="left"/>
        </w:tabs>
        <w:numPr>
          <w:ilvl w:val="0"/>
          <w:numId w:val="1157"/>
        </w:numPr>
        <w:rPr>
          <w:rFonts w:ascii="Arial" w:cs="Arial" w:eastAsia="Arial" w:hAnsi="Arial"/>
          <w:sz w:val="16"/>
          <w:szCs w:val="16"/>
          <w:color w:val="auto"/>
        </w:rPr>
      </w:pPr>
      <w:r>
        <w:rPr>
          <w:rFonts w:ascii="Arial" w:cs="Arial" w:eastAsia="Arial" w:hAnsi="Arial"/>
          <w:sz w:val="16"/>
          <w:szCs w:val="16"/>
          <w:color w:val="auto"/>
        </w:rPr>
        <w:t>The Notifiable Debt Purchase Transaction referred to in paragraph 2 above relates to the amount of our Commitment(s) as set out below.</w:t>
      </w:r>
    </w:p>
    <w:p>
      <w:pPr>
        <w:sectPr>
          <w:pgSz w:w="11900" w:h="16838" w:orient="portrait"/>
          <w:cols w:equalWidth="0" w:num="1">
            <w:col w:w="11024"/>
          </w:cols>
          <w:pgMar w:left="436" w:top="270" w:right="4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784"/>
        <w:spacing w:after="0"/>
        <w:rPr>
          <w:sz w:val="20"/>
          <w:szCs w:val="20"/>
          <w:color w:val="auto"/>
        </w:rPr>
      </w:pPr>
      <w:r>
        <w:rPr>
          <w:rFonts w:ascii="Arial" w:cs="Arial" w:eastAsia="Arial" w:hAnsi="Arial"/>
          <w:sz w:val="13"/>
          <w:szCs w:val="13"/>
          <w:b w:val="1"/>
          <w:bCs w:val="1"/>
          <w:color w:val="auto"/>
        </w:rPr>
        <w:t>Commitment</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Amount of our Commitment to which Notifiable Debt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Transaction relates (HK$)</w:t>
      </w:r>
    </w:p>
    <w:p>
      <w:pPr>
        <w:spacing w:after="0" w:line="23" w:lineRule="exact"/>
        <w:rPr>
          <w:sz w:val="20"/>
          <w:szCs w:val="20"/>
          <w:color w:val="auto"/>
        </w:rPr>
      </w:pPr>
    </w:p>
    <w:p>
      <w:pPr>
        <w:sectPr>
          <w:pgSz w:w="11900" w:h="16838" w:orient="portrait"/>
          <w:cols w:equalWidth="0" w:num="2">
            <w:col w:w="2344" w:space="720"/>
            <w:col w:w="7960"/>
          </w:cols>
          <w:pgMar w:left="436" w:top="270" w:right="439" w:bottom="1440" w:gutter="0" w:footer="0" w:header="0"/>
          <w:type w:val="continuous"/>
        </w:sectPr>
      </w:pPr>
    </w:p>
    <w:p>
      <w:pPr>
        <w:ind w:left="784"/>
        <w:spacing w:after="0"/>
        <w:rPr>
          <w:sz w:val="20"/>
          <w:szCs w:val="20"/>
          <w:color w:val="auto"/>
        </w:rPr>
      </w:pPr>
      <w:r>
        <w:rPr>
          <w:rFonts w:ascii="Arial" w:cs="Arial" w:eastAsia="Arial" w:hAnsi="Arial"/>
          <w:sz w:val="17"/>
          <w:szCs w:val="17"/>
          <w:color w:val="auto"/>
        </w:rPr>
        <w:t>Revolving Facility</w:t>
      </w:r>
    </w:p>
    <w:p>
      <w:pPr>
        <w:spacing w:after="0" w:line="6" w:lineRule="exact"/>
        <w:rPr>
          <w:sz w:val="20"/>
          <w:szCs w:val="20"/>
          <w:color w:val="auto"/>
        </w:rPr>
      </w:pPr>
    </w:p>
    <w:p>
      <w:pPr>
        <w:ind w:left="784"/>
        <w:spacing w:after="0"/>
        <w:rPr>
          <w:sz w:val="20"/>
          <w:szCs w:val="20"/>
          <w:color w:val="auto"/>
        </w:rPr>
      </w:pPr>
      <w:r>
        <w:rPr>
          <w:rFonts w:ascii="Arial" w:cs="Arial" w:eastAsia="Arial" w:hAnsi="Arial"/>
          <w:sz w:val="18"/>
          <w:szCs w:val="18"/>
          <w:color w:val="auto"/>
        </w:rPr>
        <w:t>Commitment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amount of that Commitment to which the relevant Debt Purchase Transaction applies</w:t>
      </w:r>
      <w:r>
        <w:rPr>
          <w:rFonts w:ascii="Arial" w:cs="Arial" w:eastAsia="Arial" w:hAnsi="Arial"/>
          <w:sz w:val="16"/>
          <w:szCs w:val="16"/>
          <w:color w:val="auto"/>
        </w:rPr>
        <w:t>]</w:t>
      </w:r>
    </w:p>
    <w:p>
      <w:pPr>
        <w:spacing w:after="0" w:line="423" w:lineRule="exact"/>
        <w:rPr>
          <w:sz w:val="20"/>
          <w:szCs w:val="20"/>
          <w:color w:val="auto"/>
        </w:rPr>
      </w:pPr>
    </w:p>
    <w:p>
      <w:pPr>
        <w:sectPr>
          <w:pgSz w:w="11900" w:h="16838" w:orient="portrait"/>
          <w:cols w:equalWidth="0" w:num="2">
            <w:col w:w="2344" w:space="720"/>
            <w:col w:w="7960"/>
          </w:cols>
          <w:pgMar w:left="436" w:top="270" w:right="439" w:bottom="1440" w:gutter="0" w:footer="0" w:header="0"/>
          <w:type w:val="continuous"/>
        </w:sectPr>
      </w:pP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[Lender]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type w:val="continuous"/>
        </w:sectPr>
      </w:pPr>
    </w:p>
    <w:bookmarkStart w:id="760" w:name="page761"/>
    <w:bookmarkEnd w:id="76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w:t>
      </w:r>
    </w:p>
    <w:p>
      <w:pPr>
        <w:spacing w:after="0" w:line="27" w:lineRule="exact"/>
        <w:rPr>
          <w:sz w:val="20"/>
          <w:szCs w:val="20"/>
          <w:color w:val="auto"/>
        </w:rPr>
      </w:pPr>
    </w:p>
    <w:p>
      <w:pPr>
        <w:ind w:left="4" w:right="440"/>
        <w:spacing w:after="0" w:line="260" w:lineRule="auto"/>
        <w:rPr>
          <w:sz w:val="20"/>
          <w:szCs w:val="20"/>
          <w:color w:val="auto"/>
        </w:rPr>
      </w:pPr>
      <w:r>
        <w:rPr>
          <w:rFonts w:ascii="Arial" w:cs="Arial" w:eastAsia="Arial" w:hAnsi="Arial"/>
          <w:sz w:val="18"/>
          <w:szCs w:val="18"/>
          <w:b w:val="1"/>
          <w:bCs w:val="1"/>
          <w:color w:val="auto"/>
        </w:rPr>
        <w:t>Form of Notice on Termination of Notifiable Debt Purchase Transaction/Notifiable Debt Purchase Transaction Ceasing to be with Sponsor Affiliate</w:t>
      </w:r>
    </w:p>
    <w:p>
      <w:pPr>
        <w:spacing w:after="0" w:line="212"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as Agent</w:t>
      </w:r>
    </w:p>
    <w:p>
      <w:pPr>
        <w:spacing w:after="0" w:line="117"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The Lender</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left="480" w:right="100"/>
        <w:spacing w:after="0" w:line="282" w:lineRule="auto"/>
        <w:rPr>
          <w:sz w:val="20"/>
          <w:szCs w:val="20"/>
          <w:color w:val="auto"/>
        </w:rPr>
      </w:pPr>
      <w:r>
        <w:rPr>
          <w:rFonts w:ascii="Arial" w:cs="Arial" w:eastAsia="Arial" w:hAnsi="Arial"/>
          <w:sz w:val="18"/>
          <w:szCs w:val="18"/>
          <w:b w:val="1"/>
          <w:bCs w:val="1"/>
          <w:color w:val="auto"/>
        </w:rPr>
        <w:t>Studio City Company Limited—Facilities Agreement originally dated 28 January 2013 (as amended and amended and restated from time to time) (the “Facilities Agreement”)</w:t>
      </w:r>
    </w:p>
    <w:p>
      <w:pPr>
        <w:spacing w:after="0" w:line="71" w:lineRule="exact"/>
        <w:rPr>
          <w:sz w:val="20"/>
          <w:szCs w:val="20"/>
          <w:color w:val="auto"/>
        </w:rPr>
      </w:pPr>
    </w:p>
    <w:p>
      <w:pPr>
        <w:ind w:left="764" w:right="40" w:hanging="764"/>
        <w:spacing w:after="0" w:line="263" w:lineRule="auto"/>
        <w:tabs>
          <w:tab w:leader="none" w:pos="764" w:val="left"/>
        </w:tabs>
        <w:numPr>
          <w:ilvl w:val="0"/>
          <w:numId w:val="1158"/>
        </w:numPr>
        <w:rPr>
          <w:rFonts w:ascii="Arial" w:cs="Arial" w:eastAsia="Arial" w:hAnsi="Arial"/>
          <w:sz w:val="18"/>
          <w:szCs w:val="18"/>
          <w:color w:val="auto"/>
        </w:rPr>
      </w:pPr>
      <w:r>
        <w:rPr>
          <w:rFonts w:ascii="Arial" w:cs="Arial" w:eastAsia="Arial" w:hAnsi="Arial"/>
          <w:sz w:val="18"/>
          <w:szCs w:val="18"/>
          <w:color w:val="auto"/>
        </w:rPr>
        <w:t>We refer to paragraph (b) of Clause 26.2 (</w:t>
      </w:r>
      <w:r>
        <w:rPr>
          <w:rFonts w:ascii="Arial" w:cs="Arial" w:eastAsia="Arial" w:hAnsi="Arial"/>
          <w:sz w:val="18"/>
          <w:szCs w:val="18"/>
          <w:i w:val="1"/>
          <w:iCs w:val="1"/>
          <w:color w:val="auto"/>
        </w:rPr>
        <w:t>Disenfranchisement on Debt Purchase Transactions entered into by Sponsor Affiliates</w:t>
      </w:r>
      <w:r>
        <w:rPr>
          <w:rFonts w:ascii="Arial" w:cs="Arial" w:eastAsia="Arial" w:hAnsi="Arial"/>
          <w:sz w:val="18"/>
          <w:szCs w:val="18"/>
          <w:color w:val="auto"/>
        </w:rPr>
        <w:t>) of the Facilities Agreement. Terms defined in the Facilities Agreement have the same meaning in this notice unless given a different meaning in this notice.</w:t>
      </w:r>
    </w:p>
    <w:p>
      <w:pPr>
        <w:spacing w:after="0" w:line="89" w:lineRule="exact"/>
        <w:rPr>
          <w:rFonts w:ascii="Arial" w:cs="Arial" w:eastAsia="Arial" w:hAnsi="Arial"/>
          <w:sz w:val="18"/>
          <w:szCs w:val="18"/>
          <w:color w:val="auto"/>
        </w:rPr>
      </w:pPr>
    </w:p>
    <w:p>
      <w:pPr>
        <w:ind w:left="764" w:right="80" w:hanging="764"/>
        <w:spacing w:after="0" w:line="277" w:lineRule="auto"/>
        <w:tabs>
          <w:tab w:leader="none" w:pos="764" w:val="left"/>
        </w:tabs>
        <w:numPr>
          <w:ilvl w:val="0"/>
          <w:numId w:val="1158"/>
        </w:numPr>
        <w:rPr>
          <w:rFonts w:ascii="Arial" w:cs="Arial" w:eastAsia="Arial" w:hAnsi="Arial"/>
          <w:sz w:val="18"/>
          <w:szCs w:val="18"/>
          <w:color w:val="auto"/>
        </w:rPr>
      </w:pPr>
      <w:r>
        <w:rPr>
          <w:rFonts w:ascii="Arial" w:cs="Arial" w:eastAsia="Arial" w:hAnsi="Arial"/>
          <w:sz w:val="18"/>
          <w:szCs w:val="18"/>
          <w:color w:val="auto"/>
        </w:rPr>
        <w:t>A Notifiable Debt Purchase Transaction which we entered into and which we notified you of in a notice dated [●] has [terminated]/[ceased to be with a Sponsor Affiliate].*</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158"/>
        </w:numPr>
        <w:rPr>
          <w:rFonts w:ascii="Arial" w:cs="Arial" w:eastAsia="Arial" w:hAnsi="Arial"/>
          <w:sz w:val="16"/>
          <w:szCs w:val="16"/>
          <w:color w:val="auto"/>
        </w:rPr>
      </w:pPr>
      <w:r>
        <w:rPr>
          <w:rFonts w:ascii="Arial" w:cs="Arial" w:eastAsia="Arial" w:hAnsi="Arial"/>
          <w:sz w:val="16"/>
          <w:szCs w:val="16"/>
          <w:color w:val="auto"/>
        </w:rPr>
        <w:t>The Notifiable Debt Purchase Transaction referred to in paragraph 2 above relates to the amount of our Commitment(s) as set out below.</w:t>
      </w:r>
    </w:p>
    <w:p>
      <w:pPr>
        <w:sectPr>
          <w:pgSz w:w="11900" w:h="16838" w:orient="portrait"/>
          <w:cols w:equalWidth="0" w:num="1">
            <w:col w:w="11024"/>
          </w:cols>
          <w:pgMar w:left="436" w:top="270" w:right="4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784"/>
        <w:spacing w:after="0"/>
        <w:rPr>
          <w:sz w:val="20"/>
          <w:szCs w:val="20"/>
          <w:color w:val="auto"/>
        </w:rPr>
      </w:pPr>
      <w:r>
        <w:rPr>
          <w:rFonts w:ascii="Arial" w:cs="Arial" w:eastAsia="Arial" w:hAnsi="Arial"/>
          <w:sz w:val="13"/>
          <w:szCs w:val="13"/>
          <w:b w:val="1"/>
          <w:bCs w:val="1"/>
          <w:color w:val="auto"/>
        </w:rPr>
        <w:t>Commitment</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Amount of our Commitment to which Notifiable Debt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Transaction relates (HK$)</w:t>
      </w:r>
    </w:p>
    <w:p>
      <w:pPr>
        <w:spacing w:after="0" w:line="23" w:lineRule="exact"/>
        <w:rPr>
          <w:sz w:val="20"/>
          <w:szCs w:val="20"/>
          <w:color w:val="auto"/>
        </w:rPr>
      </w:pPr>
    </w:p>
    <w:p>
      <w:pPr>
        <w:sectPr>
          <w:pgSz w:w="11900" w:h="16838" w:orient="portrait"/>
          <w:cols w:equalWidth="0" w:num="2">
            <w:col w:w="2344" w:space="720"/>
            <w:col w:w="7960"/>
          </w:cols>
          <w:pgMar w:left="436" w:top="270" w:right="439" w:bottom="1440" w:gutter="0" w:footer="0" w:header="0"/>
          <w:type w:val="continuous"/>
        </w:sectPr>
      </w:pPr>
    </w:p>
    <w:p>
      <w:pPr>
        <w:ind w:left="784"/>
        <w:spacing w:after="0"/>
        <w:rPr>
          <w:sz w:val="20"/>
          <w:szCs w:val="20"/>
          <w:color w:val="auto"/>
        </w:rPr>
      </w:pPr>
      <w:r>
        <w:rPr>
          <w:rFonts w:ascii="Arial" w:cs="Arial" w:eastAsia="Arial" w:hAnsi="Arial"/>
          <w:sz w:val="17"/>
          <w:szCs w:val="17"/>
          <w:color w:val="auto"/>
        </w:rPr>
        <w:t>Revolving Facility</w:t>
      </w:r>
    </w:p>
    <w:p>
      <w:pPr>
        <w:spacing w:after="0" w:line="6" w:lineRule="exact"/>
        <w:rPr>
          <w:sz w:val="20"/>
          <w:szCs w:val="20"/>
          <w:color w:val="auto"/>
        </w:rPr>
      </w:pPr>
    </w:p>
    <w:p>
      <w:pPr>
        <w:ind w:left="784"/>
        <w:spacing w:after="0"/>
        <w:rPr>
          <w:sz w:val="20"/>
          <w:szCs w:val="20"/>
          <w:color w:val="auto"/>
        </w:rPr>
      </w:pPr>
      <w:r>
        <w:rPr>
          <w:rFonts w:ascii="Arial" w:cs="Arial" w:eastAsia="Arial" w:hAnsi="Arial"/>
          <w:sz w:val="18"/>
          <w:szCs w:val="18"/>
          <w:color w:val="auto"/>
        </w:rPr>
        <w:t>Commitment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amount of that Commitment to which the relevant Debt Purchase Transaction applies</w:t>
      </w:r>
      <w:r>
        <w:rPr>
          <w:rFonts w:ascii="Arial" w:cs="Arial" w:eastAsia="Arial" w:hAnsi="Arial"/>
          <w:sz w:val="16"/>
          <w:szCs w:val="16"/>
          <w:color w:val="auto"/>
        </w:rPr>
        <w:t>]</w:t>
      </w:r>
    </w:p>
    <w:p>
      <w:pPr>
        <w:spacing w:after="0" w:line="423" w:lineRule="exact"/>
        <w:rPr>
          <w:sz w:val="20"/>
          <w:szCs w:val="20"/>
          <w:color w:val="auto"/>
        </w:rPr>
      </w:pPr>
    </w:p>
    <w:p>
      <w:pPr>
        <w:sectPr>
          <w:pgSz w:w="11900" w:h="16838" w:orient="portrait"/>
          <w:cols w:equalWidth="0" w:num="2">
            <w:col w:w="2344" w:space="720"/>
            <w:col w:w="7960"/>
          </w:cols>
          <w:pgMar w:left="436" w:top="270" w:right="439" w:bottom="1440" w:gutter="0" w:footer="0" w:header="0"/>
          <w:type w:val="continuous"/>
        </w:sectPr>
      </w:pP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[Lender]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71525"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Delete as applicable</w:t>
      </w:r>
    </w:p>
    <w:p>
      <w:pPr>
        <w:spacing w:after="0" w:line="158"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type w:val="continuous"/>
        </w:sectPr>
      </w:pPr>
    </w:p>
    <w:bookmarkStart w:id="761" w:name="page762"/>
    <w:bookmarkEnd w:id="76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9</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Form of Increase Confirmation</w:t>
      </w:r>
    </w:p>
    <w:p>
      <w:pPr>
        <w:sectPr>
          <w:pgSz w:w="11900" w:h="16838" w:orient="portrait"/>
          <w:cols w:equalWidth="0" w:num="1">
            <w:col w:w="11024"/>
          </w:cols>
          <w:pgMar w:left="436" w:top="270" w:right="439" w:bottom="1440" w:gutter="0" w:footer="0" w:header="0"/>
        </w:sectPr>
      </w:pPr>
    </w:p>
    <w:p>
      <w:pPr>
        <w:spacing w:after="0" w:line="139" w:lineRule="exact"/>
        <w:rPr>
          <w:sz w:val="20"/>
          <w:szCs w:val="20"/>
          <w:color w:val="auto"/>
        </w:rPr>
      </w:pPr>
    </w:p>
    <w:p>
      <w:pPr>
        <w:ind w:left="4"/>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as Agent, [●] as Intercreditor Agent, Studio City Company Limited and Studio City Investments Limited (for and on behalf of itself and each other Obligor)</w:t>
      </w:r>
    </w:p>
    <w:p>
      <w:pPr>
        <w:spacing w:after="0" w:line="58" w:lineRule="exact"/>
        <w:rPr>
          <w:sz w:val="20"/>
          <w:szCs w:val="20"/>
          <w:color w:val="auto"/>
        </w:rPr>
      </w:pPr>
    </w:p>
    <w:p>
      <w:pPr>
        <w:sectPr>
          <w:pgSz w:w="11900" w:h="16838" w:orient="portrait"/>
          <w:cols w:equalWidth="0" w:num="2">
            <w:col w:w="244" w:space="420"/>
            <w:col w:w="10360"/>
          </w:cols>
          <w:pgMar w:left="436" w:top="270" w:right="439" w:bottom="1440" w:gutter="0" w:footer="0" w:header="0"/>
          <w:type w:val="continuous"/>
        </w:sectPr>
      </w:pPr>
    </w:p>
    <w:p>
      <w:pPr>
        <w:spacing w:after="0" w:line="4" w:lineRule="exact"/>
        <w:rPr>
          <w:sz w:val="20"/>
          <w:szCs w:val="20"/>
          <w:color w:val="auto"/>
        </w:rPr>
      </w:pPr>
    </w:p>
    <w:p>
      <w:pPr>
        <w:ind w:left="4"/>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Increase Lender</w:t>
      </w:r>
      <w:r>
        <w:rPr>
          <w:rFonts w:ascii="Arial" w:cs="Arial" w:eastAsia="Arial" w:hAnsi="Arial"/>
          <w:sz w:val="16"/>
          <w:szCs w:val="16"/>
          <w:color w:val="auto"/>
        </w:rPr>
        <w:t xml:space="preserve">] (the </w:t>
      </w:r>
      <w:r>
        <w:rPr>
          <w:rFonts w:ascii="Arial" w:cs="Arial" w:eastAsia="Arial" w:hAnsi="Arial"/>
          <w:sz w:val="16"/>
          <w:szCs w:val="16"/>
          <w:b w:val="1"/>
          <w:bCs w:val="1"/>
          <w:color w:val="auto"/>
        </w:rPr>
        <w:t>Increase Lender</w:t>
      </w:r>
      <w:r>
        <w:rPr>
          <w:rFonts w:ascii="Arial" w:cs="Arial" w:eastAsia="Arial" w:hAnsi="Arial"/>
          <w:sz w:val="16"/>
          <w:szCs w:val="16"/>
          <w:color w:val="auto"/>
        </w:rPr>
        <w:t>)</w:t>
      </w:r>
    </w:p>
    <w:p>
      <w:pPr>
        <w:spacing w:after="0" w:line="144" w:lineRule="exact"/>
        <w:rPr>
          <w:sz w:val="20"/>
          <w:szCs w:val="20"/>
          <w:color w:val="auto"/>
        </w:rPr>
      </w:pPr>
    </w:p>
    <w:p>
      <w:pPr>
        <w:sectPr>
          <w:pgSz w:w="11900" w:h="16838" w:orient="portrait"/>
          <w:cols w:equalWidth="0" w:num="2">
            <w:col w:w="444" w:space="220"/>
            <w:col w:w="10360"/>
          </w:cols>
          <w:pgMar w:left="436" w:top="27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Dated:</w:t>
      </w:r>
    </w:p>
    <w:p>
      <w:pPr>
        <w:sectPr>
          <w:pgSz w:w="11900" w:h="16838" w:orient="portrait"/>
          <w:cols w:equalWidth="0" w:num="1">
            <w:col w:w="11024"/>
          </w:cols>
          <w:pgMar w:left="436" w:top="270" w:right="439" w:bottom="1440" w:gutter="0" w:footer="0" w:header="0"/>
          <w:type w:val="continuous"/>
        </w:sectPr>
      </w:pP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left="440" w:right="140"/>
        <w:spacing w:after="0" w:line="282" w:lineRule="auto"/>
        <w:rPr>
          <w:sz w:val="20"/>
          <w:szCs w:val="20"/>
          <w:color w:val="auto"/>
        </w:rPr>
      </w:pPr>
      <w:r>
        <w:rPr>
          <w:rFonts w:ascii="Arial" w:cs="Arial" w:eastAsia="Arial" w:hAnsi="Arial"/>
          <w:sz w:val="18"/>
          <w:szCs w:val="18"/>
          <w:b w:val="1"/>
          <w:bCs w:val="1"/>
          <w:color w:val="auto"/>
        </w:rPr>
        <w:t>Studio City Company Limited—Facilities Agreement originally dated 28 January 2013 (as amended and amended and restated from time to time) (the “Facilities Agreement”)</w:t>
      </w:r>
    </w:p>
    <w:p>
      <w:pPr>
        <w:spacing w:after="0" w:line="71" w:lineRule="exact"/>
        <w:rPr>
          <w:sz w:val="20"/>
          <w:szCs w:val="20"/>
          <w:color w:val="auto"/>
        </w:rPr>
      </w:pPr>
    </w:p>
    <w:p>
      <w:pPr>
        <w:ind w:left="764" w:right="20" w:hanging="764"/>
        <w:spacing w:after="0" w:line="257" w:lineRule="auto"/>
        <w:tabs>
          <w:tab w:leader="none" w:pos="764" w:val="left"/>
        </w:tabs>
        <w:numPr>
          <w:ilvl w:val="0"/>
          <w:numId w:val="1159"/>
        </w:numPr>
        <w:rPr>
          <w:rFonts w:ascii="Arial" w:cs="Arial" w:eastAsia="Arial" w:hAnsi="Arial"/>
          <w:sz w:val="18"/>
          <w:szCs w:val="18"/>
          <w:color w:val="auto"/>
        </w:rPr>
      </w:pPr>
      <w:r>
        <w:rPr>
          <w:rFonts w:ascii="Arial" w:cs="Arial" w:eastAsia="Arial" w:hAnsi="Arial"/>
          <w:sz w:val="18"/>
          <w:szCs w:val="18"/>
          <w:color w:val="auto"/>
        </w:rPr>
        <w:t>We refer to the Facilities Agreement and to the Intercreditor Agreement (as defined in the Facilities Agreement). 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shall take effect as an Increase Confirmation for the purpose of the Facilities Agreement and as a Creditor/Creditor Representative Accession Undertaking for the purposes of the Intercreditor Agreement (and as defined in the Intercreditor Agreement). Terms defined in or construed for the purposes of the Facilities Agreement have the same meaning in this Agreement unless given a different meaning in this Agreement.</w:t>
      </w:r>
    </w:p>
    <w:p>
      <w:pPr>
        <w:spacing w:after="0" w:line="93" w:lineRule="exact"/>
        <w:rPr>
          <w:rFonts w:ascii="Arial" w:cs="Arial" w:eastAsia="Arial" w:hAnsi="Arial"/>
          <w:sz w:val="18"/>
          <w:szCs w:val="18"/>
          <w:color w:val="auto"/>
        </w:rPr>
      </w:pPr>
    </w:p>
    <w:p>
      <w:pPr>
        <w:ind w:left="764" w:hanging="764"/>
        <w:spacing w:after="0"/>
        <w:tabs>
          <w:tab w:leader="none" w:pos="764" w:val="left"/>
        </w:tabs>
        <w:numPr>
          <w:ilvl w:val="0"/>
          <w:numId w:val="1159"/>
        </w:numPr>
        <w:rPr>
          <w:rFonts w:ascii="Arial" w:cs="Arial" w:eastAsia="Arial" w:hAnsi="Arial"/>
          <w:sz w:val="18"/>
          <w:szCs w:val="18"/>
          <w:color w:val="auto"/>
        </w:rPr>
      </w:pPr>
      <w:r>
        <w:rPr>
          <w:rFonts w:ascii="Arial" w:cs="Arial" w:eastAsia="Arial" w:hAnsi="Arial"/>
          <w:sz w:val="18"/>
          <w:szCs w:val="18"/>
          <w:color w:val="auto"/>
        </w:rPr>
        <w:t>We refer to Clause 2.2 (</w:t>
      </w:r>
      <w:r>
        <w:rPr>
          <w:rFonts w:ascii="Arial" w:cs="Arial" w:eastAsia="Arial" w:hAnsi="Arial"/>
          <w:sz w:val="18"/>
          <w:szCs w:val="18"/>
          <w:i w:val="1"/>
          <w:iCs w:val="1"/>
          <w:color w:val="auto"/>
        </w:rPr>
        <w:t>Increase</w:t>
      </w:r>
      <w:r>
        <w:rPr>
          <w:rFonts w:ascii="Arial" w:cs="Arial" w:eastAsia="Arial" w:hAnsi="Arial"/>
          <w:sz w:val="18"/>
          <w:szCs w:val="18"/>
          <w:color w:val="auto"/>
        </w:rPr>
        <w:t>) of the Facilities Agreement.</w:t>
      </w:r>
    </w:p>
    <w:p>
      <w:pPr>
        <w:spacing w:after="0" w:line="130" w:lineRule="exact"/>
        <w:rPr>
          <w:rFonts w:ascii="Arial" w:cs="Arial" w:eastAsia="Arial" w:hAnsi="Arial"/>
          <w:sz w:val="18"/>
          <w:szCs w:val="18"/>
          <w:color w:val="auto"/>
        </w:rPr>
      </w:pPr>
    </w:p>
    <w:p>
      <w:pPr>
        <w:ind w:left="764" w:right="80" w:hanging="764"/>
        <w:spacing w:after="0" w:line="277" w:lineRule="auto"/>
        <w:tabs>
          <w:tab w:leader="none" w:pos="764" w:val="left"/>
        </w:tabs>
        <w:numPr>
          <w:ilvl w:val="0"/>
          <w:numId w:val="1159"/>
        </w:numPr>
        <w:rPr>
          <w:rFonts w:ascii="Arial" w:cs="Arial" w:eastAsia="Arial" w:hAnsi="Arial"/>
          <w:sz w:val="18"/>
          <w:szCs w:val="18"/>
          <w:color w:val="auto"/>
        </w:rPr>
      </w:pPr>
      <w:r>
        <w:rPr>
          <w:rFonts w:ascii="Arial" w:cs="Arial" w:eastAsia="Arial" w:hAnsi="Arial"/>
          <w:sz w:val="18"/>
          <w:szCs w:val="18"/>
          <w:color w:val="auto"/>
        </w:rPr>
        <w:t>The Increase Lender agrees to assume and will assume all of the obligations corresponding to the Commitment specified in the Schedule (the “</w:t>
      </w:r>
      <w:r>
        <w:rPr>
          <w:rFonts w:ascii="Arial" w:cs="Arial" w:eastAsia="Arial" w:hAnsi="Arial"/>
          <w:sz w:val="18"/>
          <w:szCs w:val="18"/>
          <w:b w:val="1"/>
          <w:bCs w:val="1"/>
          <w:color w:val="auto"/>
        </w:rPr>
        <w:t>Relevant Commitment</w:t>
      </w:r>
      <w:r>
        <w:rPr>
          <w:rFonts w:ascii="Arial" w:cs="Arial" w:eastAsia="Arial" w:hAnsi="Arial"/>
          <w:sz w:val="18"/>
          <w:szCs w:val="18"/>
          <w:color w:val="auto"/>
        </w:rPr>
        <w:t>”) as if it was an Original Lender under the Facilities Agreement.</w:t>
      </w:r>
    </w:p>
    <w:p>
      <w:pPr>
        <w:spacing w:after="0" w:line="71" w:lineRule="exact"/>
        <w:rPr>
          <w:rFonts w:ascii="Arial" w:cs="Arial" w:eastAsia="Arial" w:hAnsi="Arial"/>
          <w:sz w:val="18"/>
          <w:szCs w:val="18"/>
          <w:color w:val="auto"/>
        </w:rPr>
      </w:pPr>
    </w:p>
    <w:p>
      <w:pPr>
        <w:ind w:left="764" w:right="60" w:hanging="764"/>
        <w:spacing w:after="0" w:line="282" w:lineRule="auto"/>
        <w:tabs>
          <w:tab w:leader="none" w:pos="764" w:val="left"/>
        </w:tabs>
        <w:numPr>
          <w:ilvl w:val="0"/>
          <w:numId w:val="1159"/>
        </w:numPr>
        <w:rPr>
          <w:rFonts w:ascii="Arial" w:cs="Arial" w:eastAsia="Arial" w:hAnsi="Arial"/>
          <w:sz w:val="18"/>
          <w:szCs w:val="18"/>
          <w:color w:val="auto"/>
        </w:rPr>
      </w:pPr>
      <w:r>
        <w:rPr>
          <w:rFonts w:ascii="Arial" w:cs="Arial" w:eastAsia="Arial" w:hAnsi="Arial"/>
          <w:sz w:val="18"/>
          <w:szCs w:val="18"/>
          <w:color w:val="auto"/>
        </w:rPr>
        <w:t>The proposed date on which such assumption in relation to the Increase Lender and the Relevant Commitment is to take effect (the “</w:t>
      </w:r>
      <w:r>
        <w:rPr>
          <w:rFonts w:ascii="Arial" w:cs="Arial" w:eastAsia="Arial" w:hAnsi="Arial"/>
          <w:sz w:val="18"/>
          <w:szCs w:val="18"/>
          <w:b w:val="1"/>
          <w:bCs w:val="1"/>
          <w:color w:val="auto"/>
        </w:rPr>
        <w:t>Increase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is [●].</w:t>
      </w:r>
    </w:p>
    <w:p>
      <w:pPr>
        <w:spacing w:after="0" w:line="71" w:lineRule="exact"/>
        <w:rPr>
          <w:rFonts w:ascii="Arial" w:cs="Arial" w:eastAsia="Arial" w:hAnsi="Arial"/>
          <w:sz w:val="18"/>
          <w:szCs w:val="18"/>
          <w:color w:val="auto"/>
        </w:rPr>
      </w:pPr>
    </w:p>
    <w:p>
      <w:pPr>
        <w:ind w:left="764" w:hanging="764"/>
        <w:spacing w:after="0"/>
        <w:tabs>
          <w:tab w:leader="none" w:pos="764" w:val="left"/>
        </w:tabs>
        <w:numPr>
          <w:ilvl w:val="0"/>
          <w:numId w:val="1159"/>
        </w:numPr>
        <w:rPr>
          <w:rFonts w:ascii="Arial" w:cs="Arial" w:eastAsia="Arial" w:hAnsi="Arial"/>
          <w:sz w:val="18"/>
          <w:szCs w:val="18"/>
          <w:color w:val="auto"/>
        </w:rPr>
      </w:pPr>
      <w:r>
        <w:rPr>
          <w:rFonts w:ascii="Arial" w:cs="Arial" w:eastAsia="Arial" w:hAnsi="Arial"/>
          <w:sz w:val="18"/>
          <w:szCs w:val="18"/>
          <w:color w:val="auto"/>
        </w:rPr>
        <w:t>On the Increase Date, the Increase Lender becomes:</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1"/>
          <w:numId w:val="1159"/>
        </w:numPr>
        <w:rPr>
          <w:rFonts w:ascii="Arial" w:cs="Arial" w:eastAsia="Arial" w:hAnsi="Arial"/>
          <w:sz w:val="17"/>
          <w:szCs w:val="17"/>
          <w:color w:val="auto"/>
        </w:rPr>
      </w:pPr>
      <w:r>
        <w:rPr>
          <w:rFonts w:ascii="Arial" w:cs="Arial" w:eastAsia="Arial" w:hAnsi="Arial"/>
          <w:sz w:val="17"/>
          <w:szCs w:val="17"/>
          <w:color w:val="auto"/>
        </w:rPr>
        <w:t>party to the Facilities Agreement as a Lender, and becomes a Lender for the purposes of the each other Finance Document; and</w:t>
      </w:r>
    </w:p>
    <w:p>
      <w:pPr>
        <w:spacing w:after="0" w:line="142" w:lineRule="exact"/>
        <w:rPr>
          <w:rFonts w:ascii="Arial" w:cs="Arial" w:eastAsia="Arial" w:hAnsi="Arial"/>
          <w:sz w:val="17"/>
          <w:szCs w:val="17"/>
          <w:color w:val="auto"/>
        </w:rPr>
      </w:pPr>
    </w:p>
    <w:p>
      <w:pPr>
        <w:ind w:left="1304" w:hanging="535"/>
        <w:spacing w:after="0"/>
        <w:tabs>
          <w:tab w:leader="none" w:pos="1304" w:val="left"/>
        </w:tabs>
        <w:numPr>
          <w:ilvl w:val="1"/>
          <w:numId w:val="1159"/>
        </w:numPr>
        <w:rPr>
          <w:rFonts w:ascii="Arial" w:cs="Arial" w:eastAsia="Arial" w:hAnsi="Arial"/>
          <w:sz w:val="18"/>
          <w:szCs w:val="18"/>
          <w:color w:val="auto"/>
        </w:rPr>
      </w:pPr>
      <w:r>
        <w:rPr>
          <w:rFonts w:ascii="Arial" w:cs="Arial" w:eastAsia="Arial" w:hAnsi="Arial"/>
          <w:sz w:val="18"/>
          <w:szCs w:val="18"/>
          <w:color w:val="auto"/>
        </w:rPr>
        <w:t>party to the Intercreditor Agreement as a Credit Facility Lender (as defined in the Intercreditor Agreement).</w:t>
      </w:r>
    </w:p>
    <w:p>
      <w:pPr>
        <w:spacing w:after="0" w:line="130" w:lineRule="exact"/>
        <w:rPr>
          <w:rFonts w:ascii="Arial" w:cs="Arial" w:eastAsia="Arial" w:hAnsi="Arial"/>
          <w:sz w:val="18"/>
          <w:szCs w:val="18"/>
          <w:color w:val="auto"/>
        </w:rPr>
      </w:pPr>
    </w:p>
    <w:p>
      <w:pPr>
        <w:ind w:left="764" w:right="820" w:hanging="764"/>
        <w:spacing w:after="0" w:line="277" w:lineRule="auto"/>
        <w:tabs>
          <w:tab w:leader="none" w:pos="764" w:val="left"/>
        </w:tabs>
        <w:numPr>
          <w:ilvl w:val="0"/>
          <w:numId w:val="1159"/>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to the Increase Lender for the purposes of Clause 33.2 (</w:t>
      </w:r>
      <w:r>
        <w:rPr>
          <w:rFonts w:ascii="Arial" w:cs="Arial" w:eastAsia="Arial" w:hAnsi="Arial"/>
          <w:sz w:val="18"/>
          <w:szCs w:val="18"/>
          <w:i w:val="1"/>
          <w:iCs w:val="1"/>
          <w:color w:val="auto"/>
        </w:rPr>
        <w:t>Addresses</w:t>
      </w:r>
      <w:r>
        <w:rPr>
          <w:rFonts w:ascii="Arial" w:cs="Arial" w:eastAsia="Arial" w:hAnsi="Arial"/>
          <w:sz w:val="18"/>
          <w:szCs w:val="18"/>
          <w:color w:val="auto"/>
        </w:rPr>
        <w:t>) of the Facilities Agreement are set out in the Schedule.</w:t>
      </w:r>
    </w:p>
    <w:p>
      <w:pPr>
        <w:spacing w:after="0" w:line="75" w:lineRule="exact"/>
        <w:rPr>
          <w:rFonts w:ascii="Arial" w:cs="Arial" w:eastAsia="Arial" w:hAnsi="Arial"/>
          <w:sz w:val="18"/>
          <w:szCs w:val="18"/>
          <w:color w:val="auto"/>
        </w:rPr>
      </w:pPr>
    </w:p>
    <w:p>
      <w:pPr>
        <w:ind w:left="764" w:right="40" w:hanging="764"/>
        <w:spacing w:after="0" w:line="277" w:lineRule="auto"/>
        <w:tabs>
          <w:tab w:leader="none" w:pos="764" w:val="left"/>
        </w:tabs>
        <w:numPr>
          <w:ilvl w:val="0"/>
          <w:numId w:val="1159"/>
        </w:numPr>
        <w:rPr>
          <w:rFonts w:ascii="Arial" w:cs="Arial" w:eastAsia="Arial" w:hAnsi="Arial"/>
          <w:sz w:val="18"/>
          <w:szCs w:val="18"/>
          <w:color w:val="auto"/>
        </w:rPr>
      </w:pPr>
      <w:r>
        <w:rPr>
          <w:rFonts w:ascii="Arial" w:cs="Arial" w:eastAsia="Arial" w:hAnsi="Arial"/>
          <w:sz w:val="18"/>
          <w:szCs w:val="18"/>
          <w:color w:val="auto"/>
        </w:rPr>
        <w:t>The Increase Lender expressly acknowledges the limitations on the Lenders’ obligations referred to in paragraph (g) of Clause 2.2 (</w:t>
      </w:r>
      <w:r>
        <w:rPr>
          <w:rFonts w:ascii="Arial" w:cs="Arial" w:eastAsia="Arial" w:hAnsi="Arial"/>
          <w:sz w:val="18"/>
          <w:szCs w:val="18"/>
          <w:i w:val="1"/>
          <w:iCs w:val="1"/>
          <w:color w:val="auto"/>
        </w:rPr>
        <w:t>Increase</w:t>
      </w:r>
      <w:r>
        <w:rPr>
          <w:rFonts w:ascii="Arial" w:cs="Arial" w:eastAsia="Arial" w:hAnsi="Arial"/>
          <w:sz w:val="18"/>
          <w:szCs w:val="18"/>
          <w:color w:val="auto"/>
        </w:rPr>
        <w:t>)) of the Facilities Agreement.</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159"/>
        </w:numPr>
        <w:rPr>
          <w:rFonts w:ascii="Arial" w:cs="Arial" w:eastAsia="Arial" w:hAnsi="Arial"/>
          <w:sz w:val="18"/>
          <w:szCs w:val="18"/>
          <w:color w:val="auto"/>
        </w:rPr>
      </w:pPr>
      <w:r>
        <w:rPr>
          <w:rFonts w:ascii="Arial" w:cs="Arial" w:eastAsia="Arial" w:hAnsi="Arial"/>
          <w:sz w:val="18"/>
          <w:szCs w:val="18"/>
          <w:color w:val="auto"/>
        </w:rPr>
        <w:t>The Increase Lender confirms that it is not a Sponsor Affiliate.</w:t>
      </w:r>
    </w:p>
    <w:p>
      <w:pPr>
        <w:spacing w:after="0" w:line="130" w:lineRule="exact"/>
        <w:rPr>
          <w:rFonts w:ascii="Arial" w:cs="Arial" w:eastAsia="Arial" w:hAnsi="Arial"/>
          <w:sz w:val="18"/>
          <w:szCs w:val="18"/>
          <w:color w:val="auto"/>
        </w:rPr>
      </w:pPr>
    </w:p>
    <w:p>
      <w:pPr>
        <w:ind w:left="764" w:right="280" w:hanging="764"/>
        <w:spacing w:after="0" w:line="277" w:lineRule="auto"/>
        <w:tabs>
          <w:tab w:leader="none" w:pos="764" w:val="left"/>
        </w:tabs>
        <w:numPr>
          <w:ilvl w:val="0"/>
          <w:numId w:val="1159"/>
        </w:numPr>
        <w:rPr>
          <w:rFonts w:ascii="Arial" w:cs="Arial" w:eastAsia="Arial" w:hAnsi="Arial"/>
          <w:sz w:val="18"/>
          <w:szCs w:val="18"/>
          <w:color w:val="auto"/>
        </w:rPr>
      </w:pPr>
      <w:r>
        <w:rPr>
          <w:rFonts w:ascii="Arial" w:cs="Arial" w:eastAsia="Arial" w:hAnsi="Arial"/>
          <w:sz w:val="18"/>
          <w:szCs w:val="18"/>
          <w:color w:val="auto"/>
        </w:rPr>
        <w:t>We refer to clauses 25.5 (</w:t>
      </w:r>
      <w:r>
        <w:rPr>
          <w:rFonts w:ascii="Arial" w:cs="Arial" w:eastAsia="Arial" w:hAnsi="Arial"/>
          <w:sz w:val="18"/>
          <w:szCs w:val="18"/>
          <w:i w:val="1"/>
          <w:iCs w:val="1"/>
          <w:color w:val="auto"/>
        </w:rPr>
        <w:t>Change of Credit Facility Lender or Pari Passu Lender under an Existing Credit Facility or Pari Passu Facility</w:t>
      </w:r>
      <w:r>
        <w:rPr>
          <w:rFonts w:ascii="Arial" w:cs="Arial" w:eastAsia="Arial" w:hAnsi="Arial"/>
          <w:sz w:val="18"/>
          <w:szCs w:val="18"/>
          <w:color w:val="auto"/>
        </w:rPr>
        <w:t>) and 25.14 (</w:t>
      </w:r>
      <w:r>
        <w:rPr>
          <w:rFonts w:ascii="Arial" w:cs="Arial" w:eastAsia="Arial" w:hAnsi="Arial"/>
          <w:sz w:val="18"/>
          <w:szCs w:val="18"/>
          <w:i w:val="1"/>
          <w:iCs w:val="1"/>
          <w:color w:val="auto"/>
        </w:rPr>
        <w:t>Creditor/Creditor Representative Accession Undertaking</w:t>
      </w:r>
      <w:r>
        <w:rPr>
          <w:rFonts w:ascii="Arial" w:cs="Arial" w:eastAsia="Arial" w:hAnsi="Arial"/>
          <w:sz w:val="18"/>
          <w:szCs w:val="18"/>
          <w:color w:val="auto"/>
        </w:rPr>
        <w:t>) of the Intercreditor Agreement:</w:t>
      </w:r>
    </w:p>
    <w:p>
      <w:pPr>
        <w:spacing w:after="0" w:line="62" w:lineRule="exact"/>
        <w:rPr>
          <w:rFonts w:ascii="Arial" w:cs="Arial" w:eastAsia="Arial" w:hAnsi="Arial"/>
          <w:sz w:val="18"/>
          <w:szCs w:val="18"/>
          <w:color w:val="auto"/>
        </w:rPr>
      </w:pPr>
    </w:p>
    <w:p>
      <w:pPr>
        <w:ind w:left="764" w:right="80"/>
        <w:spacing w:after="0" w:line="257" w:lineRule="auto"/>
        <w:rPr>
          <w:rFonts w:ascii="Arial" w:cs="Arial" w:eastAsia="Arial" w:hAnsi="Arial"/>
          <w:sz w:val="18"/>
          <w:szCs w:val="18"/>
          <w:color w:val="auto"/>
        </w:rPr>
      </w:pPr>
      <w:r>
        <w:rPr>
          <w:rFonts w:ascii="Arial" w:cs="Arial" w:eastAsia="Arial" w:hAnsi="Arial"/>
          <w:sz w:val="18"/>
          <w:szCs w:val="18"/>
          <w:color w:val="auto"/>
        </w:rPr>
        <w:t>In consideration of the Increase Lender being accepted as a Credit Facility Lender (as defined in the Intercreditor Agreement) for the purposes of the Intercreditor Agreement, the Increase Lender confirms that, as from the Increase Date, it intends to be party to the Intercreditor Agreement as a Credit Facility Lender and undertakes to perform all the obligations expressed in the Intercreditor Agreement to be assumed by a Credit Facility Lender and agrees that it shall be bound by all the provisions of the Intercreditor Agreement, as if it had been an original party to the Intercreditor Agreement.</w:t>
      </w:r>
    </w:p>
    <w:p>
      <w:pPr>
        <w:spacing w:after="0" w:line="120"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type w:val="continuous"/>
        </w:sectPr>
      </w:pPr>
    </w:p>
    <w:bookmarkStart w:id="762" w:name="page763"/>
    <w:bookmarkEnd w:id="762"/>
    <w:p>
      <w:pPr>
        <w:ind w:left="764" w:right="60" w:hanging="764"/>
        <w:spacing w:after="0" w:line="277" w:lineRule="auto"/>
        <w:tabs>
          <w:tab w:leader="none" w:pos="764" w:val="left"/>
        </w:tabs>
        <w:numPr>
          <w:ilvl w:val="0"/>
          <w:numId w:val="1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may be executed in any number of counterparts and this has the same effect as if the signatures on such counterparts were on a single copy of this Agreement.</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160"/>
        </w:numPr>
        <w:rPr>
          <w:rFonts w:ascii="Arial" w:cs="Arial" w:eastAsia="Arial" w:hAnsi="Arial"/>
          <w:sz w:val="16"/>
          <w:szCs w:val="16"/>
          <w:color w:val="auto"/>
        </w:rPr>
      </w:pPr>
      <w:r>
        <w:rPr>
          <w:rFonts w:ascii="Arial" w:cs="Arial" w:eastAsia="Arial" w:hAnsi="Arial"/>
          <w:sz w:val="16"/>
          <w:szCs w:val="16"/>
          <w:color w:val="auto"/>
        </w:rPr>
        <w:t>This Agreement and any non-contractual obligations arising out of or in connection with it are governed by the laws of England and Wales.</w:t>
      </w:r>
    </w:p>
    <w:p>
      <w:pPr>
        <w:spacing w:after="0" w:line="153" w:lineRule="exact"/>
        <w:rPr>
          <w:rFonts w:ascii="Arial" w:cs="Arial" w:eastAsia="Arial" w:hAnsi="Arial"/>
          <w:sz w:val="16"/>
          <w:szCs w:val="16"/>
          <w:color w:val="auto"/>
        </w:rPr>
      </w:pPr>
    </w:p>
    <w:p>
      <w:pPr>
        <w:ind w:left="764" w:hanging="764"/>
        <w:spacing w:after="0"/>
        <w:tabs>
          <w:tab w:leader="none" w:pos="764" w:val="left"/>
        </w:tabs>
        <w:numPr>
          <w:ilvl w:val="0"/>
          <w:numId w:val="1160"/>
        </w:numPr>
        <w:rPr>
          <w:rFonts w:ascii="Arial" w:cs="Arial" w:eastAsia="Arial" w:hAnsi="Arial"/>
          <w:sz w:val="18"/>
          <w:szCs w:val="18"/>
          <w:color w:val="auto"/>
        </w:rPr>
      </w:pPr>
      <w:r>
        <w:rPr>
          <w:rFonts w:ascii="Arial" w:cs="Arial" w:eastAsia="Arial" w:hAnsi="Arial"/>
          <w:sz w:val="18"/>
          <w:szCs w:val="18"/>
          <w:color w:val="auto"/>
        </w:rPr>
        <w:t>This Agreement has been entered into on the date stated at the beginning of this Agreement.</w:t>
      </w:r>
    </w:p>
    <w:p>
      <w:pPr>
        <w:spacing w:after="0" w:line="221"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b w:val="1"/>
          <w:bCs w:val="1"/>
          <w:color w:val="auto"/>
        </w:rPr>
        <w:t>The execution of this Increase Confirmation may not be sufficient for the Increase Lender to obtain the benefit of the Transaction Security in all jurisdictions. It is the responsibility of the Increase Lender to ascertain whether any other documents or other formalities are required to obtain the benefit of the Transaction Security in any jurisdiction and, if so, to arrange for execution of those documents and completion of those formalities.</w:t>
      </w:r>
    </w:p>
    <w:p>
      <w:pPr>
        <w:spacing w:after="0" w:line="116"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63" w:name="page764"/>
    <w:bookmarkEnd w:id="7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Relevant Commitment/rights and obligations to be assumed by the Increase Lender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office address, fax number and attention details for notices and account details for payments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Increase Lender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This Agreement is accepted as an Increase Confirmation for the purposes of the Facilities Agreement by the Agent and as a Creditor/Agent Accession Undertaking for the purposes of and as defined in the Intercreditor Agreement by the Intercreditor Agent, and the Increase Date is confirmed as [●].</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Intercreditor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64" w:name="page765"/>
    <w:bookmarkEnd w:id="76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10</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Covenants</w:t>
      </w:r>
    </w:p>
    <w:p>
      <w:pPr>
        <w:spacing w:after="0" w:line="116" w:lineRule="exact"/>
        <w:rPr>
          <w:sz w:val="20"/>
          <w:szCs w:val="20"/>
          <w:color w:val="auto"/>
        </w:rPr>
      </w:pPr>
    </w:p>
    <w:p>
      <w:pPr>
        <w:ind w:left="764" w:hanging="764"/>
        <w:spacing w:after="0"/>
        <w:tabs>
          <w:tab w:leader="none" w:pos="764" w:val="left"/>
        </w:tabs>
        <w:numPr>
          <w:ilvl w:val="0"/>
          <w:numId w:val="1161"/>
        </w:numPr>
        <w:rPr>
          <w:rFonts w:ascii="Arial" w:cs="Arial" w:eastAsia="Arial" w:hAnsi="Arial"/>
          <w:sz w:val="18"/>
          <w:szCs w:val="18"/>
          <w:color w:val="auto"/>
        </w:rPr>
      </w:pPr>
      <w:r>
        <w:rPr>
          <w:rFonts w:ascii="Arial" w:cs="Arial" w:eastAsia="Arial" w:hAnsi="Arial"/>
          <w:sz w:val="18"/>
          <w:szCs w:val="18"/>
          <w:color w:val="auto"/>
        </w:rPr>
        <w:t>Definitions and rules of construction</w:t>
      </w:r>
    </w:p>
    <w:p>
      <w:pPr>
        <w:spacing w:after="0" w:line="130" w:lineRule="exact"/>
        <w:rPr>
          <w:rFonts w:ascii="Arial" w:cs="Arial" w:eastAsia="Arial" w:hAnsi="Arial"/>
          <w:sz w:val="18"/>
          <w:szCs w:val="18"/>
          <w:color w:val="auto"/>
        </w:rPr>
      </w:pPr>
    </w:p>
    <w:p>
      <w:pPr>
        <w:ind w:left="1304" w:right="360" w:hanging="535"/>
        <w:spacing w:after="0" w:line="263" w:lineRule="auto"/>
        <w:tabs>
          <w:tab w:leader="none" w:pos="1304" w:val="left"/>
        </w:tabs>
        <w:numPr>
          <w:ilvl w:val="1"/>
          <w:numId w:val="1161"/>
        </w:numPr>
        <w:rPr>
          <w:rFonts w:ascii="Arial" w:cs="Arial" w:eastAsia="Arial" w:hAnsi="Arial"/>
          <w:sz w:val="18"/>
          <w:szCs w:val="18"/>
          <w:color w:val="auto"/>
        </w:rPr>
      </w:pPr>
      <w:r>
        <w:rPr>
          <w:rFonts w:ascii="Arial" w:cs="Arial" w:eastAsia="Arial" w:hAnsi="Arial"/>
          <w:sz w:val="18"/>
          <w:szCs w:val="18"/>
          <w:color w:val="auto"/>
        </w:rPr>
        <w:t>Terms used in this Schedule 10 shall, if not otherwise defined in this Schedule 10, have the meaning given to them in Schedule 11 (</w:t>
      </w:r>
      <w:r>
        <w:rPr>
          <w:rFonts w:ascii="Arial" w:cs="Arial" w:eastAsia="Arial" w:hAnsi="Arial"/>
          <w:sz w:val="18"/>
          <w:szCs w:val="18"/>
          <w:i w:val="1"/>
          <w:iCs w:val="1"/>
          <w:color w:val="auto"/>
        </w:rPr>
        <w:t>Definitions</w:t>
      </w:r>
      <w:r>
        <w:rPr>
          <w:rFonts w:ascii="Arial" w:cs="Arial" w:eastAsia="Arial" w:hAnsi="Arial"/>
          <w:sz w:val="18"/>
          <w:szCs w:val="18"/>
          <w:color w:val="auto"/>
        </w:rPr>
        <w:t>) and shall, if not otherwise defined in Schedule 11 (</w:t>
      </w:r>
      <w:r>
        <w:rPr>
          <w:rFonts w:ascii="Arial" w:cs="Arial" w:eastAsia="Arial" w:hAnsi="Arial"/>
          <w:sz w:val="18"/>
          <w:szCs w:val="18"/>
          <w:i w:val="1"/>
          <w:iCs w:val="1"/>
          <w:color w:val="auto"/>
        </w:rPr>
        <w:t>Definitions</w:t>
      </w:r>
      <w:r>
        <w:rPr>
          <w:rFonts w:ascii="Arial" w:cs="Arial" w:eastAsia="Arial" w:hAnsi="Arial"/>
          <w:sz w:val="18"/>
          <w:szCs w:val="18"/>
          <w:color w:val="auto"/>
        </w:rPr>
        <w:t>) have the meaning given to them elsewhere in this Agreement. References to a “Section” are to sections of this Schedule 10.</w:t>
      </w:r>
    </w:p>
    <w:p>
      <w:pPr>
        <w:spacing w:after="0" w:line="89" w:lineRule="exact"/>
        <w:rPr>
          <w:rFonts w:ascii="Arial" w:cs="Arial" w:eastAsia="Arial" w:hAnsi="Arial"/>
          <w:sz w:val="18"/>
          <w:szCs w:val="18"/>
          <w:color w:val="auto"/>
        </w:rPr>
      </w:pPr>
    </w:p>
    <w:p>
      <w:pPr>
        <w:ind w:left="1304" w:right="100" w:hanging="535"/>
        <w:spacing w:after="0" w:line="342" w:lineRule="auto"/>
        <w:tabs>
          <w:tab w:leader="none" w:pos="1304" w:val="left"/>
        </w:tabs>
        <w:numPr>
          <w:ilvl w:val="1"/>
          <w:numId w:val="1161"/>
        </w:numPr>
        <w:rPr>
          <w:rFonts w:ascii="Arial" w:cs="Arial" w:eastAsia="Arial" w:hAnsi="Arial"/>
          <w:sz w:val="16"/>
          <w:szCs w:val="16"/>
          <w:color w:val="auto"/>
        </w:rPr>
      </w:pPr>
      <w:r>
        <w:rPr>
          <w:rFonts w:ascii="Arial" w:cs="Arial" w:eastAsia="Arial" w:hAnsi="Arial"/>
          <w:sz w:val="16"/>
          <w:szCs w:val="16"/>
          <w:color w:val="auto"/>
        </w:rPr>
        <w:t>Each of the Parties acknowledges and agrees that the provisions of this Schedule 10 are not intended to (and shall not be construed so as to) permit any transaction, step, action or other matter that is otherwise prohibited by any other provisions of this Agreement.</w:t>
      </w:r>
    </w:p>
    <w:p>
      <w:pPr>
        <w:spacing w:after="0" w:line="29" w:lineRule="exact"/>
        <w:rPr>
          <w:rFonts w:ascii="Arial" w:cs="Arial" w:eastAsia="Arial" w:hAnsi="Arial"/>
          <w:sz w:val="16"/>
          <w:szCs w:val="16"/>
          <w:color w:val="auto"/>
        </w:rPr>
      </w:pPr>
    </w:p>
    <w:p>
      <w:pPr>
        <w:ind w:left="1304" w:hanging="535"/>
        <w:spacing w:after="0"/>
        <w:tabs>
          <w:tab w:leader="none" w:pos="1304" w:val="left"/>
        </w:tabs>
        <w:numPr>
          <w:ilvl w:val="1"/>
          <w:numId w:val="1161"/>
        </w:numPr>
        <w:rPr>
          <w:rFonts w:ascii="Arial" w:cs="Arial" w:eastAsia="Arial" w:hAnsi="Arial"/>
          <w:sz w:val="18"/>
          <w:szCs w:val="18"/>
          <w:color w:val="auto"/>
        </w:rPr>
      </w:pPr>
      <w:r>
        <w:rPr>
          <w:rFonts w:ascii="Arial" w:cs="Arial" w:eastAsia="Arial" w:hAnsi="Arial"/>
          <w:sz w:val="18"/>
          <w:szCs w:val="18"/>
          <w:color w:val="auto"/>
        </w:rPr>
        <w:t>Unless the context otherwise requires, in this Schedule 10:</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2"/>
          <w:numId w:val="1161"/>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2"/>
          <w:numId w:val="1161"/>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2"/>
          <w:numId w:val="1161"/>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2"/>
          <w:numId w:val="1161"/>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2"/>
          <w:numId w:val="1161"/>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2"/>
          <w:numId w:val="1161"/>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30" w:lineRule="exact"/>
        <w:rPr>
          <w:rFonts w:ascii="Arial" w:cs="Arial" w:eastAsia="Arial" w:hAnsi="Arial"/>
          <w:sz w:val="18"/>
          <w:szCs w:val="18"/>
          <w:color w:val="auto"/>
        </w:rPr>
      </w:pPr>
    </w:p>
    <w:p>
      <w:pPr>
        <w:ind w:left="1964" w:right="420" w:hanging="655"/>
        <w:spacing w:after="0" w:line="277" w:lineRule="auto"/>
        <w:tabs>
          <w:tab w:leader="none" w:pos="1964" w:val="left"/>
        </w:tabs>
        <w:numPr>
          <w:ilvl w:val="2"/>
          <w:numId w:val="1161"/>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318" w:lineRule="exact"/>
        <w:rPr>
          <w:rFonts w:ascii="Arial" w:cs="Arial" w:eastAsia="Arial" w:hAnsi="Arial"/>
          <w:sz w:val="18"/>
          <w:szCs w:val="18"/>
          <w:color w:val="auto"/>
        </w:rPr>
      </w:pPr>
    </w:p>
    <w:p>
      <w:pPr>
        <w:ind w:left="764" w:hanging="764"/>
        <w:spacing w:after="0"/>
        <w:tabs>
          <w:tab w:leader="none" w:pos="764" w:val="left"/>
        </w:tabs>
        <w:numPr>
          <w:ilvl w:val="0"/>
          <w:numId w:val="1161"/>
        </w:numPr>
        <w:rPr>
          <w:rFonts w:ascii="Arial" w:cs="Arial" w:eastAsia="Arial" w:hAnsi="Arial"/>
          <w:sz w:val="18"/>
          <w:szCs w:val="18"/>
          <w:color w:val="auto"/>
        </w:rPr>
      </w:pPr>
      <w:r>
        <w:rPr>
          <w:rFonts w:ascii="Arial" w:cs="Arial" w:eastAsia="Arial" w:hAnsi="Arial"/>
          <w:sz w:val="18"/>
          <w:szCs w:val="18"/>
          <w:color w:val="auto"/>
        </w:rPr>
        <w:t>Limitation on Restricted Payments</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1"/>
          <w:numId w:val="1161"/>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130" w:lineRule="exact"/>
        <w:rPr>
          <w:rFonts w:ascii="Arial" w:cs="Arial" w:eastAsia="Arial" w:hAnsi="Arial"/>
          <w:sz w:val="18"/>
          <w:szCs w:val="18"/>
          <w:color w:val="auto"/>
        </w:rPr>
      </w:pPr>
    </w:p>
    <w:p>
      <w:pPr>
        <w:ind w:left="1964" w:right="20" w:hanging="655"/>
        <w:spacing w:after="0" w:line="255" w:lineRule="auto"/>
        <w:tabs>
          <w:tab w:leader="none" w:pos="1964" w:val="left"/>
        </w:tabs>
        <w:numPr>
          <w:ilvl w:val="2"/>
          <w:numId w:val="1161"/>
        </w:numPr>
        <w:rPr>
          <w:rFonts w:ascii="Arial" w:cs="Arial" w:eastAsia="Arial" w:hAnsi="Arial"/>
          <w:sz w:val="18"/>
          <w:szCs w:val="18"/>
          <w:color w:val="auto"/>
        </w:rPr>
      </w:pPr>
      <w:r>
        <w:rPr>
          <w:rFonts w:ascii="Arial" w:cs="Arial" w:eastAsia="Arial" w:hAnsi="Arial"/>
          <w:sz w:val="18"/>
          <w:szCs w:val="18"/>
          <w:color w:val="auto"/>
        </w:rPr>
        <w:t>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(other than dividends or distributions payable in Equity Interests (other than Disqualified Stock) of the Company and other than dividends or distributions payable to the Company or a Restricted Subsidiary of the Company);</w:t>
      </w:r>
    </w:p>
    <w:p>
      <w:pPr>
        <w:spacing w:after="0" w:line="97" w:lineRule="exact"/>
        <w:rPr>
          <w:rFonts w:ascii="Arial" w:cs="Arial" w:eastAsia="Arial" w:hAnsi="Arial"/>
          <w:sz w:val="18"/>
          <w:szCs w:val="18"/>
          <w:color w:val="auto"/>
        </w:rPr>
      </w:pPr>
    </w:p>
    <w:p>
      <w:pPr>
        <w:ind w:left="1964" w:right="340" w:hanging="655"/>
        <w:spacing w:after="0" w:line="342" w:lineRule="auto"/>
        <w:tabs>
          <w:tab w:leader="none" w:pos="1964" w:val="left"/>
        </w:tabs>
        <w:numPr>
          <w:ilvl w:val="2"/>
          <w:numId w:val="1161"/>
        </w:numPr>
        <w:rPr>
          <w:rFonts w:ascii="Arial" w:cs="Arial" w:eastAsia="Arial" w:hAnsi="Arial"/>
          <w:sz w:val="16"/>
          <w:szCs w:val="16"/>
          <w:color w:val="auto"/>
        </w:rPr>
      </w:pPr>
      <w:r>
        <w:rPr>
          <w:rFonts w:ascii="Arial" w:cs="Arial" w:eastAsia="Arial" w:hAnsi="Arial"/>
          <w:sz w:val="16"/>
          <w:szCs w:val="16"/>
          <w:color w:val="auto"/>
        </w:rPr>
        <w:t>purchase, redeem or otherwise acquire or retire for value (including, without limitation, in connection with any merger or consolidation involving the Company) any Equity Interests of the Company or any of its direct or indirect parents;</w:t>
      </w:r>
    </w:p>
    <w:p>
      <w:pPr>
        <w:spacing w:after="0" w:line="29" w:lineRule="exact"/>
        <w:rPr>
          <w:rFonts w:ascii="Arial" w:cs="Arial" w:eastAsia="Arial" w:hAnsi="Arial"/>
          <w:sz w:val="16"/>
          <w:szCs w:val="16"/>
          <w:color w:val="auto"/>
        </w:rPr>
      </w:pPr>
    </w:p>
    <w:p>
      <w:pPr>
        <w:ind w:left="1964" w:right="40" w:hanging="655"/>
        <w:spacing w:after="0" w:line="259" w:lineRule="auto"/>
        <w:tabs>
          <w:tab w:leader="none" w:pos="1964" w:val="left"/>
        </w:tabs>
        <w:numPr>
          <w:ilvl w:val="2"/>
          <w:numId w:val="1161"/>
        </w:numPr>
        <w:rPr>
          <w:rFonts w:ascii="Arial" w:cs="Arial" w:eastAsia="Arial" w:hAnsi="Arial"/>
          <w:sz w:val="18"/>
          <w:szCs w:val="18"/>
          <w:color w:val="auto"/>
        </w:rPr>
      </w:pPr>
      <w:r>
        <w:rPr>
          <w:rFonts w:ascii="Arial" w:cs="Arial" w:eastAsia="Arial" w:hAnsi="Arial"/>
          <w:sz w:val="18"/>
          <w:szCs w:val="18"/>
          <w:color w:val="auto"/>
        </w:rPr>
        <w:t>make any payment on or with respect to, or purchase, redeem, defease or otherwise acquire or retire for value any Subordinated Indebtedness of the Company or any Subsidiary Guarantor (excluding any intercompany Indebtedness between or among the Company and any of its Restricted Subsidiaries), except a payment of interest or principal at the Stated Maturity thereof; or</w:t>
      </w:r>
    </w:p>
    <w:p>
      <w:pPr>
        <w:spacing w:after="0" w:line="119"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0" w:right="439" w:bottom="1440" w:gutter="0" w:footer="0" w:header="0"/>
        </w:sectPr>
      </w:pPr>
    </w:p>
    <w:bookmarkStart w:id="765" w:name="page766"/>
    <w:bookmarkEnd w:id="765"/>
    <w:p>
      <w:pPr>
        <w:ind w:left="960" w:hanging="655"/>
        <w:spacing w:after="0"/>
        <w:tabs>
          <w:tab w:leader="none" w:pos="960" w:val="left"/>
        </w:tabs>
        <w:numPr>
          <w:ilvl w:val="0"/>
          <w:numId w:val="1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Restricted Investment,</w:t>
      </w:r>
    </w:p>
    <w:p>
      <w:pPr>
        <w:spacing w:after="0" w:line="113" w:lineRule="exact"/>
        <w:rPr>
          <w:sz w:val="20"/>
          <w:szCs w:val="20"/>
          <w:color w:val="auto"/>
        </w:rPr>
      </w:pPr>
    </w:p>
    <w:p>
      <w:pPr>
        <w:ind w:left="320" w:right="860"/>
        <w:spacing w:after="0" w:line="282" w:lineRule="auto"/>
        <w:rPr>
          <w:sz w:val="20"/>
          <w:szCs w:val="20"/>
          <w:color w:val="auto"/>
        </w:rPr>
      </w:pPr>
      <w:r>
        <w:rPr>
          <w:rFonts w:ascii="Arial" w:cs="Arial" w:eastAsia="Arial" w:hAnsi="Arial"/>
          <w:sz w:val="18"/>
          <w:szCs w:val="18"/>
          <w:color w:val="auto"/>
        </w:rPr>
        <w:t>(all such payments and other actions set forth in clauses (i) through (iv) above being collectively referred to as “</w:t>
      </w:r>
      <w:r>
        <w:rPr>
          <w:rFonts w:ascii="Arial" w:cs="Arial" w:eastAsia="Arial" w:hAnsi="Arial"/>
          <w:sz w:val="18"/>
          <w:szCs w:val="18"/>
          <w:b w:val="1"/>
          <w:b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 unless, at the time of and after giving effect to such Restricted Payment:</w:t>
      </w:r>
    </w:p>
    <w:p>
      <w:pPr>
        <w:spacing w:after="0" w:line="71" w:lineRule="exact"/>
        <w:rPr>
          <w:sz w:val="20"/>
          <w:szCs w:val="20"/>
          <w:color w:val="auto"/>
        </w:rPr>
      </w:pPr>
    </w:p>
    <w:p>
      <w:pPr>
        <w:ind w:left="1500" w:hanging="533"/>
        <w:spacing w:after="0"/>
        <w:tabs>
          <w:tab w:leader="none" w:pos="1500" w:val="left"/>
        </w:tabs>
        <w:numPr>
          <w:ilvl w:val="0"/>
          <w:numId w:val="1163"/>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or would occur as a consequence thereof;</w:t>
      </w:r>
    </w:p>
    <w:p>
      <w:pPr>
        <w:spacing w:after="0" w:line="142" w:lineRule="exact"/>
        <w:rPr>
          <w:rFonts w:ascii="Arial" w:cs="Arial" w:eastAsia="Arial" w:hAnsi="Arial"/>
          <w:sz w:val="17"/>
          <w:szCs w:val="17"/>
          <w:color w:val="auto"/>
        </w:rPr>
      </w:pPr>
    </w:p>
    <w:p>
      <w:pPr>
        <w:ind w:left="1500" w:right="380" w:hanging="533"/>
        <w:spacing w:after="0" w:line="259" w:lineRule="auto"/>
        <w:tabs>
          <w:tab w:leader="none" w:pos="1500" w:val="left"/>
        </w:tabs>
        <w:numPr>
          <w:ilvl w:val="0"/>
          <w:numId w:val="1163"/>
        </w:numPr>
        <w:rPr>
          <w:rFonts w:ascii="Arial" w:cs="Arial" w:eastAsia="Arial" w:hAnsi="Arial"/>
          <w:sz w:val="18"/>
          <w:szCs w:val="18"/>
          <w:color w:val="auto"/>
        </w:rPr>
      </w:pPr>
      <w:r>
        <w:rPr>
          <w:rFonts w:ascii="Arial" w:cs="Arial" w:eastAsia="Arial" w:hAnsi="Arial"/>
          <w:sz w:val="18"/>
          <w:szCs w:val="18"/>
          <w:color w:val="auto"/>
        </w:rPr>
        <w:t xml:space="preserve">the Company would, at the time of such Restricted Payment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as if such Restricted Payment had been made at the beginning of the applicable four-quarter period, have been permitted to Incur at least US$1.00 of additional Indebtedness pursuant to the Fixed Charge Coverage Ratio test set forth in Section 4(a) hereof; and</w:t>
      </w:r>
    </w:p>
    <w:p>
      <w:pPr>
        <w:spacing w:after="0" w:line="92" w:lineRule="exact"/>
        <w:rPr>
          <w:rFonts w:ascii="Arial" w:cs="Arial" w:eastAsia="Arial" w:hAnsi="Arial"/>
          <w:sz w:val="18"/>
          <w:szCs w:val="18"/>
          <w:color w:val="auto"/>
        </w:rPr>
      </w:pPr>
    </w:p>
    <w:p>
      <w:pPr>
        <w:ind w:left="1500" w:right="80" w:hanging="533"/>
        <w:spacing w:after="0" w:line="263" w:lineRule="auto"/>
        <w:tabs>
          <w:tab w:leader="none" w:pos="1500" w:val="left"/>
        </w:tabs>
        <w:numPr>
          <w:ilvl w:val="0"/>
          <w:numId w:val="1163"/>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since the Measurement Date (excluding Restricted Payments permitted by clauses (ii) through (xii) of Section 2(b) below), is less than the sum of:</w:t>
      </w:r>
    </w:p>
    <w:p>
      <w:pPr>
        <w:spacing w:after="0" w:line="89" w:lineRule="exact"/>
        <w:rPr>
          <w:sz w:val="20"/>
          <w:szCs w:val="20"/>
          <w:color w:val="auto"/>
        </w:rPr>
      </w:pPr>
    </w:p>
    <w:p>
      <w:pPr>
        <w:ind w:left="2160" w:right="100" w:hanging="640"/>
        <w:spacing w:after="0" w:line="259" w:lineRule="auto"/>
        <w:tabs>
          <w:tab w:leader="none" w:pos="2160" w:val="left"/>
        </w:tabs>
        <w:numPr>
          <w:ilvl w:val="0"/>
          <w:numId w:val="1164"/>
        </w:numPr>
        <w:rPr>
          <w:rFonts w:ascii="Arial" w:cs="Arial" w:eastAsia="Arial" w:hAnsi="Arial"/>
          <w:sz w:val="18"/>
          <w:szCs w:val="18"/>
          <w:color w:val="auto"/>
        </w:rPr>
      </w:pPr>
      <w:r>
        <w:rPr>
          <w:rFonts w:ascii="Arial" w:cs="Arial" w:eastAsia="Arial" w:hAnsi="Arial"/>
          <w:sz w:val="18"/>
          <w:szCs w:val="18"/>
          <w:color w:val="auto"/>
        </w:rPr>
        <w:t xml:space="preserve">75% of the EBITDA of the Company </w:t>
      </w:r>
      <w:r>
        <w:rPr>
          <w:rFonts w:ascii="Arial" w:cs="Arial" w:eastAsia="Arial" w:hAnsi="Arial"/>
          <w:sz w:val="18"/>
          <w:szCs w:val="18"/>
          <w:i w:val="1"/>
          <w:iCs w:val="1"/>
          <w:color w:val="auto"/>
        </w:rPr>
        <w:t>less</w:t>
      </w:r>
      <w:r>
        <w:rPr>
          <w:rFonts w:ascii="Arial" w:cs="Arial" w:eastAsia="Arial" w:hAnsi="Arial"/>
          <w:sz w:val="18"/>
          <w:szCs w:val="18"/>
          <w:color w:val="auto"/>
        </w:rPr>
        <w:t xml:space="preserve"> 2.00 times Fixed Charges for the period (taken as one accounting period) from 1 January 2019 to the end of the Company’s most recently ended fiscal quarter for which internal financial statements are available at the time of such Restricted Payment (or, if such EBITDA for such period is a deficit, </w:t>
      </w:r>
      <w:r>
        <w:rPr>
          <w:rFonts w:ascii="Arial" w:cs="Arial" w:eastAsia="Arial" w:hAnsi="Arial"/>
          <w:sz w:val="18"/>
          <w:szCs w:val="18"/>
          <w:i w:val="1"/>
          <w:iCs w:val="1"/>
          <w:color w:val="auto"/>
        </w:rPr>
        <w:t>minus</w:t>
      </w:r>
      <w:r>
        <w:rPr>
          <w:rFonts w:ascii="Arial" w:cs="Arial" w:eastAsia="Arial" w:hAnsi="Arial"/>
          <w:sz w:val="18"/>
          <w:szCs w:val="18"/>
          <w:color w:val="auto"/>
        </w:rPr>
        <w:t xml:space="preserve"> 100% of such deficit); </w:t>
      </w:r>
      <w:r>
        <w:rPr>
          <w:rFonts w:ascii="Arial" w:cs="Arial" w:eastAsia="Arial" w:hAnsi="Arial"/>
          <w:sz w:val="18"/>
          <w:szCs w:val="18"/>
          <w:i w:val="1"/>
          <w:iCs w:val="1"/>
          <w:color w:val="auto"/>
        </w:rPr>
        <w:t>plus</w:t>
      </w:r>
    </w:p>
    <w:p>
      <w:pPr>
        <w:spacing w:after="0" w:line="92" w:lineRule="exact"/>
        <w:rPr>
          <w:sz w:val="20"/>
          <w:szCs w:val="20"/>
          <w:color w:val="auto"/>
        </w:rPr>
      </w:pPr>
    </w:p>
    <w:p>
      <w:pPr>
        <w:ind w:left="2160" w:right="20" w:hanging="640"/>
        <w:spacing w:after="0" w:line="293" w:lineRule="auto"/>
        <w:tabs>
          <w:tab w:leader="none" w:pos="2160" w:val="left"/>
        </w:tabs>
        <w:numPr>
          <w:ilvl w:val="0"/>
          <w:numId w:val="1165"/>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received by the Company since the Measurement Date as a contribution to its common equity capital or from the issue or sale of Equity Interests (other than Disqualified Stock) of the Company (in each case, other than in connection with any Excluded Contribution) or from the issue or sale of convertible or exchangeable Disqualified Stock or convertible or exchangeable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6"/>
          <w:szCs w:val="16"/>
          <w:i w:val="1"/>
          <w:iCs w:val="1"/>
          <w:color w:val="auto"/>
        </w:rPr>
        <w:t>plus</w:t>
      </w:r>
    </w:p>
    <w:p>
      <w:pPr>
        <w:spacing w:after="0" w:line="70" w:lineRule="exact"/>
        <w:rPr>
          <w:sz w:val="20"/>
          <w:szCs w:val="20"/>
          <w:color w:val="auto"/>
        </w:rPr>
      </w:pPr>
    </w:p>
    <w:p>
      <w:pPr>
        <w:ind w:left="2160" w:right="60" w:hanging="640"/>
        <w:spacing w:after="0" w:line="271" w:lineRule="auto"/>
        <w:tabs>
          <w:tab w:leader="none" w:pos="2160" w:val="left"/>
        </w:tabs>
        <w:numPr>
          <w:ilvl w:val="0"/>
          <w:numId w:val="1166"/>
        </w:numPr>
        <w:rPr>
          <w:rFonts w:ascii="Arial" w:cs="Arial" w:eastAsia="Arial" w:hAnsi="Arial"/>
          <w:sz w:val="17"/>
          <w:szCs w:val="17"/>
          <w:color w:val="auto"/>
        </w:rPr>
      </w:pPr>
      <w:r>
        <w:rPr>
          <w:rFonts w:ascii="Arial" w:cs="Arial" w:eastAsia="Arial" w:hAnsi="Arial"/>
          <w:sz w:val="17"/>
          <w:szCs w:val="17"/>
          <w:color w:val="auto"/>
        </w:rPr>
        <w:t xml:space="preserve">to the extent that any Restricted Investment that was made after the Measurement Date (x) is reduced as a result of payments of dividends to the Company or a Restricted Subsidiary of the Company or (y) is sold for cash or otherwise liquidated or repaid for cash, (in the case of sub-clauses (x) and (y)) the lesser of (i) the cash return of capital with respect to such Restricted Investment (less the cost of disposition, if any) and (ii) the initial amount of such Restricted Investment or (z) is reduced upon the release of the guarantees under this Agreement granted by the Company or a Restricted Subsidiary of the Company that constituted a Restricted Investment, to the extent that the initial granting of such guarantee reduced the restricted payments capacity under this clause (C); </w:t>
      </w:r>
      <w:r>
        <w:rPr>
          <w:rFonts w:ascii="Arial" w:cs="Arial" w:eastAsia="Arial" w:hAnsi="Arial"/>
          <w:sz w:val="17"/>
          <w:szCs w:val="17"/>
          <w:i w:val="1"/>
          <w:iCs w:val="1"/>
          <w:color w:val="auto"/>
        </w:rPr>
        <w:t>plus</w:t>
      </w:r>
    </w:p>
    <w:p>
      <w:pPr>
        <w:spacing w:after="0" w:line="111" w:lineRule="exact"/>
        <w:rPr>
          <w:sz w:val="20"/>
          <w:szCs w:val="20"/>
          <w:color w:val="auto"/>
        </w:rPr>
      </w:pPr>
    </w:p>
    <w:p>
      <w:pPr>
        <w:jc w:val="both"/>
        <w:ind w:left="4420"/>
        <w:spacing w:after="0"/>
        <w:tabs>
          <w:tab w:leader="none" w:pos="784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020"/>
          </w:cols>
          <w:pgMar w:left="1440" w:top="274" w:right="439" w:bottom="1440" w:gutter="0" w:footer="0" w:header="0"/>
        </w:sectPr>
      </w:pPr>
    </w:p>
    <w:bookmarkStart w:id="766" w:name="page767"/>
    <w:bookmarkEnd w:id="766"/>
    <w:p>
      <w:pPr>
        <w:ind w:left="17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ind w:right="40"/>
        <w:spacing w:after="0" w:line="287" w:lineRule="auto"/>
        <w:rPr>
          <w:sz w:val="20"/>
          <w:szCs w:val="20"/>
          <w:color w:val="auto"/>
        </w:rPr>
      </w:pPr>
      <w:r>
        <w:rPr>
          <w:rFonts w:ascii="Arial" w:cs="Arial" w:eastAsia="Arial" w:hAnsi="Arial"/>
          <w:sz w:val="16"/>
          <w:szCs w:val="16"/>
          <w:color w:val="auto"/>
        </w:rPr>
        <w:t>to the extent that any Unrestricted Subsidiary of the Company designated as such after the Measurement Date is re-designated as a Restricted Subsidiary after the Measurement Date, the lesser of (i) the Fair Market Value of the Company’s Restricted Investment in such Subsidiary as of the date of such re-designation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-504190</wp:posOffset>
            </wp:positionV>
            <wp:extent cx="7174865" cy="387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2080" w:space="320"/>
            <w:col w:w="7860"/>
          </w:cols>
          <w:pgMar w:left="1200" w:top="274" w:right="439" w:bottom="1440" w:gutter="0" w:footer="0" w:header="0"/>
        </w:sectPr>
      </w:pPr>
    </w:p>
    <w:p>
      <w:pPr>
        <w:ind w:left="2400" w:right="60"/>
        <w:spacing w:after="0" w:line="255" w:lineRule="auto"/>
        <w:rPr>
          <w:sz w:val="20"/>
          <w:szCs w:val="20"/>
          <w:color w:val="auto"/>
        </w:rPr>
      </w:pPr>
      <w:r>
        <w:rPr>
          <w:rFonts w:ascii="Arial" w:cs="Arial" w:eastAsia="Arial" w:hAnsi="Arial"/>
          <w:sz w:val="18"/>
          <w:szCs w:val="18"/>
          <w:color w:val="auto"/>
        </w:rPr>
        <w:t xml:space="preserve">(ii) the Fair Market Value of the net aggregate Investments made by the Company or a Restricted Subsidiary of the Company in such Unrestricted Subsidiary from the date such entity was originally designated as an Unrestricted Subsidiary through the date of such re-designation; </w:t>
      </w:r>
      <w:r>
        <w:rPr>
          <w:rFonts w:ascii="Arial" w:cs="Arial" w:eastAsia="Arial" w:hAnsi="Arial"/>
          <w:sz w:val="18"/>
          <w:szCs w:val="18"/>
          <w:i w:val="1"/>
          <w:iCs w:val="1"/>
          <w:color w:val="auto"/>
        </w:rPr>
        <w:t>plus</w:t>
      </w:r>
    </w:p>
    <w:p>
      <w:pPr>
        <w:spacing w:after="0" w:line="95" w:lineRule="exact"/>
        <w:rPr>
          <w:sz w:val="20"/>
          <w:szCs w:val="20"/>
          <w:color w:val="auto"/>
        </w:rPr>
      </w:pPr>
    </w:p>
    <w:p>
      <w:pPr>
        <w:ind w:left="2400" w:right="220" w:hanging="640"/>
        <w:spacing w:after="0" w:line="259" w:lineRule="auto"/>
        <w:tabs>
          <w:tab w:leader="none" w:pos="2400" w:val="left"/>
        </w:tabs>
        <w:numPr>
          <w:ilvl w:val="0"/>
          <w:numId w:val="1167"/>
        </w:numPr>
        <w:rPr>
          <w:rFonts w:ascii="Arial" w:cs="Arial" w:eastAsia="Arial" w:hAnsi="Arial"/>
          <w:sz w:val="18"/>
          <w:szCs w:val="18"/>
          <w:color w:val="auto"/>
        </w:rPr>
      </w:pPr>
      <w:r>
        <w:rPr>
          <w:rFonts w:ascii="Arial" w:cs="Arial" w:eastAsia="Arial" w:hAnsi="Arial"/>
          <w:sz w:val="18"/>
          <w:szCs w:val="18"/>
          <w:color w:val="auto"/>
        </w:rPr>
        <w:t xml:space="preserve">100% of the aggregate amount received from the sale of the stock of any Unrestricted Subsidiary of the Company after the Measurement Date or 100% of any dividends received by the Company or a Restricted Subsidiary of the Company after the Measurement Date from an Unrestricted Subsidiary of the Company; </w:t>
      </w:r>
      <w:r>
        <w:rPr>
          <w:rFonts w:ascii="Arial" w:cs="Arial" w:eastAsia="Arial" w:hAnsi="Arial"/>
          <w:sz w:val="18"/>
          <w:szCs w:val="18"/>
          <w:i w:val="1"/>
          <w:iCs w:val="1"/>
          <w:color w:val="auto"/>
        </w:rPr>
        <w:t>less</w:t>
      </w:r>
    </w:p>
    <w:p>
      <w:pPr>
        <w:sectPr>
          <w:pgSz w:w="11900" w:h="16838" w:orient="portrait"/>
          <w:cols w:equalWidth="0" w:num="1">
            <w:col w:w="10260"/>
          </w:cols>
          <w:pgMar w:left="1200" w:top="274" w:right="439" w:bottom="1440" w:gutter="0" w:footer="0" w:header="0"/>
          <w:type w:val="continuous"/>
        </w:sectPr>
      </w:pPr>
    </w:p>
    <w:p>
      <w:pPr>
        <w:spacing w:after="0" w:line="9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amount paid by the Company pursuant to paragraph (b) of Clause 37.7 (</w:t>
      </w:r>
      <w:r>
        <w:rPr>
          <w:rFonts w:ascii="Arial" w:cs="Arial" w:eastAsia="Arial" w:hAnsi="Arial"/>
          <w:sz w:val="18"/>
          <w:szCs w:val="18"/>
          <w:i w:val="1"/>
          <w:iCs w:val="1"/>
          <w:color w:val="auto"/>
        </w:rPr>
        <w:t>Cancellation and repayment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 Replaceable Lender </w:t>
      </w:r>
      <w:r>
        <w:rPr>
          <w:rFonts w:ascii="Arial" w:cs="Arial" w:eastAsia="Arial" w:hAnsi="Arial"/>
          <w:sz w:val="18"/>
          <w:szCs w:val="18"/>
          <w:color w:val="auto"/>
        </w:rPr>
        <w:t>(</w:t>
      </w:r>
      <w:r>
        <w:rPr>
          <w:rFonts w:ascii="Arial" w:cs="Arial" w:eastAsia="Arial" w:hAnsi="Arial"/>
          <w:sz w:val="18"/>
          <w:szCs w:val="18"/>
          <w:i w:val="1"/>
          <w:iCs w:val="1"/>
          <w:color w:val="auto"/>
        </w:rPr>
        <w:t>other than an Illegal Lender</w:t>
      </w:r>
      <w:r>
        <w:rPr>
          <w:rFonts w:ascii="Arial" w:cs="Arial" w:eastAsia="Arial" w:hAnsi="Arial"/>
          <w:sz w:val="18"/>
          <w:szCs w:val="18"/>
          <w:color w:val="auto"/>
        </w:rPr>
        <w:t>)) of this Agreement.</w:t>
      </w:r>
    </w:p>
    <w:p>
      <w:pPr>
        <w:spacing w:after="0" w:line="76" w:lineRule="exact"/>
        <w:rPr>
          <w:sz w:val="20"/>
          <w:szCs w:val="20"/>
          <w:color w:val="auto"/>
        </w:rPr>
      </w:pPr>
    </w:p>
    <w:p>
      <w:pPr>
        <w:sectPr>
          <w:pgSz w:w="11900" w:h="16838" w:orient="portrait"/>
          <w:cols w:equalWidth="0" w:num="2">
            <w:col w:w="2080" w:space="320"/>
            <w:col w:w="7860"/>
          </w:cols>
          <w:pgMar w:left="1200" w:top="274" w:right="439" w:bottom="1440" w:gutter="0" w:footer="0" w:header="0"/>
          <w:type w:val="continuous"/>
        </w:sectPr>
      </w:pPr>
    </w:p>
    <w:p>
      <w:pPr>
        <w:ind w:left="540" w:hanging="535"/>
        <w:spacing w:after="0"/>
        <w:tabs>
          <w:tab w:leader="none" w:pos="540" w:val="left"/>
        </w:tabs>
        <w:numPr>
          <w:ilvl w:val="0"/>
          <w:numId w:val="1168"/>
        </w:numPr>
        <w:rPr>
          <w:rFonts w:ascii="Arial" w:cs="Arial" w:eastAsia="Arial" w:hAnsi="Arial"/>
          <w:sz w:val="18"/>
          <w:szCs w:val="18"/>
          <w:color w:val="auto"/>
        </w:rPr>
      </w:pPr>
      <w:r>
        <w:rPr>
          <w:rFonts w:ascii="Arial" w:cs="Arial" w:eastAsia="Arial" w:hAnsi="Arial"/>
          <w:sz w:val="18"/>
          <w:szCs w:val="18"/>
          <w:color w:val="auto"/>
        </w:rPr>
        <w:t>The provisions of Section 2(a) above will not prohibit:</w:t>
      </w:r>
    </w:p>
    <w:p>
      <w:pPr>
        <w:spacing w:after="0" w:line="130" w:lineRule="exact"/>
        <w:rPr>
          <w:rFonts w:ascii="Arial" w:cs="Arial" w:eastAsia="Arial" w:hAnsi="Arial"/>
          <w:sz w:val="18"/>
          <w:szCs w:val="18"/>
          <w:color w:val="auto"/>
        </w:rPr>
      </w:pPr>
    </w:p>
    <w:p>
      <w:pPr>
        <w:jc w:val="both"/>
        <w:ind w:left="1200" w:right="100" w:hanging="655"/>
        <w:spacing w:after="0" w:line="263" w:lineRule="auto"/>
        <w:tabs>
          <w:tab w:leader="none" w:pos="1200" w:val="left"/>
        </w:tabs>
        <w:numPr>
          <w:ilvl w:val="1"/>
          <w:numId w:val="1168"/>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Agreement;</w:t>
      </w:r>
    </w:p>
    <w:p>
      <w:pPr>
        <w:spacing w:after="0" w:line="89" w:lineRule="exact"/>
        <w:rPr>
          <w:rFonts w:ascii="Arial" w:cs="Arial" w:eastAsia="Arial" w:hAnsi="Arial"/>
          <w:sz w:val="18"/>
          <w:szCs w:val="18"/>
          <w:color w:val="auto"/>
        </w:rPr>
      </w:pPr>
    </w:p>
    <w:p>
      <w:pPr>
        <w:ind w:left="1200" w:right="100" w:hanging="655"/>
        <w:spacing w:after="0" w:line="275" w:lineRule="auto"/>
        <w:tabs>
          <w:tab w:leader="none" w:pos="1200" w:val="left"/>
        </w:tabs>
        <w:numPr>
          <w:ilvl w:val="1"/>
          <w:numId w:val="1168"/>
        </w:numPr>
        <w:rPr>
          <w:rFonts w:ascii="Arial" w:cs="Arial" w:eastAsia="Arial" w:hAnsi="Arial"/>
          <w:sz w:val="17"/>
          <w:szCs w:val="17"/>
          <w:color w:val="auto"/>
        </w:rPr>
      </w:pPr>
      <w:r>
        <w:rPr>
          <w:rFonts w:ascii="Arial" w:cs="Arial" w:eastAsia="Arial" w:hAnsi="Arial"/>
          <w:sz w:val="17"/>
          <w:szCs w:val="17"/>
          <w:color w:val="auto"/>
        </w:rPr>
        <w:t xml:space="preserve">the making of any Restricted Payment in exchange for, or out of the net cash proceeds of the substantially concurrent sale (other than to a Subsidiary of the Company) of, Equity Interests of the Company (other than Disqualified Stock) or from the substantially concurrent contribution of common equity capital to the Company (in each case, other than in connection with any Excluded Contribution);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amount of any such net cash proceeds that are utilized for any such Restricted Payment will be excluded from clause (C)(II) of Section 2(a) hereof;</w:t>
      </w:r>
    </w:p>
    <w:p>
      <w:pPr>
        <w:spacing w:after="0" w:line="81" w:lineRule="exact"/>
        <w:rPr>
          <w:rFonts w:ascii="Arial" w:cs="Arial" w:eastAsia="Arial" w:hAnsi="Arial"/>
          <w:sz w:val="17"/>
          <w:szCs w:val="17"/>
          <w:color w:val="auto"/>
        </w:rPr>
      </w:pPr>
    </w:p>
    <w:p>
      <w:pPr>
        <w:ind w:left="1200" w:right="300" w:hanging="655"/>
        <w:spacing w:after="0" w:line="263" w:lineRule="auto"/>
        <w:tabs>
          <w:tab w:leader="none" w:pos="1200" w:val="left"/>
        </w:tabs>
        <w:numPr>
          <w:ilvl w:val="1"/>
          <w:numId w:val="1168"/>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Subordinated Indebtedness of the Company or any Subsidiary Guarantor with the net cash proceeds from a substantially concurrent Incurrence of Permitted Refinancing Indebtedness;</w:t>
      </w:r>
    </w:p>
    <w:p>
      <w:pPr>
        <w:spacing w:after="0" w:line="89" w:lineRule="exact"/>
        <w:rPr>
          <w:rFonts w:ascii="Arial" w:cs="Arial" w:eastAsia="Arial" w:hAnsi="Arial"/>
          <w:sz w:val="18"/>
          <w:szCs w:val="18"/>
          <w:color w:val="auto"/>
        </w:rPr>
      </w:pPr>
    </w:p>
    <w:p>
      <w:pPr>
        <w:ind w:left="1200" w:right="340" w:hanging="655"/>
        <w:spacing w:after="0" w:line="277" w:lineRule="auto"/>
        <w:tabs>
          <w:tab w:leader="none" w:pos="1200" w:val="left"/>
        </w:tabs>
        <w:numPr>
          <w:ilvl w:val="1"/>
          <w:numId w:val="1168"/>
        </w:numPr>
        <w:rPr>
          <w:rFonts w:ascii="Arial" w:cs="Arial" w:eastAsia="Arial" w:hAnsi="Arial"/>
          <w:sz w:val="18"/>
          <w:szCs w:val="18"/>
          <w:color w:val="auto"/>
        </w:rPr>
      </w:pPr>
      <w:r>
        <w:rPr>
          <w:rFonts w:ascii="Arial" w:cs="Arial" w:eastAsia="Arial" w:hAnsi="Arial"/>
          <w:sz w:val="18"/>
          <w:szCs w:val="18"/>
          <w:color w:val="auto"/>
        </w:rPr>
        <w:t xml:space="preserve">the payment of any dividend (or, in the case of any partnership or limited liability company, any similar distribution) by a Restricted Subsidiary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103" w:lineRule="exact"/>
        <w:rPr>
          <w:sz w:val="20"/>
          <w:szCs w:val="20"/>
          <w:color w:val="auto"/>
        </w:rPr>
      </w:pPr>
    </w:p>
    <w:p>
      <w:pPr>
        <w:jc w:val="both"/>
        <w:ind w:left="4660"/>
        <w:spacing w:after="0"/>
        <w:tabs>
          <w:tab w:leader="none" w:pos="80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type w:val="continuous"/>
        </w:sectPr>
      </w:pPr>
    </w:p>
    <w:bookmarkStart w:id="767" w:name="page768"/>
    <w:bookmarkEnd w:id="767"/>
    <w:p>
      <w:pPr>
        <w:ind w:left="960" w:right="20" w:hanging="655"/>
        <w:spacing w:after="0" w:line="275" w:lineRule="auto"/>
        <w:tabs>
          <w:tab w:leader="none" w:pos="960" w:val="left"/>
        </w:tabs>
        <w:numPr>
          <w:ilvl w:val="0"/>
          <w:numId w:val="11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repurchase, redemption or other acquisition or retirement for value of any Equity Interests of the Company or any Restricted Subsidiary of the Company held by any current or former officer, director or employee of the Company or any of its Restricted Subsidiaries pursuant to any equity subscription agreement, stock option agreement, shareholders’ agreement or similar agreement;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aggregate price paid for all such repurchased, redeemed, acquired or retired Equity Interests may not exceed US$1.0 million in any twelve-month period;</w:t>
      </w:r>
    </w:p>
    <w:p>
      <w:pPr>
        <w:spacing w:after="0" w:line="81" w:lineRule="exact"/>
        <w:rPr>
          <w:rFonts w:ascii="Arial" w:cs="Arial" w:eastAsia="Arial" w:hAnsi="Arial"/>
          <w:sz w:val="17"/>
          <w:szCs w:val="17"/>
          <w:color w:val="auto"/>
        </w:rPr>
      </w:pPr>
    </w:p>
    <w:p>
      <w:pPr>
        <w:ind w:left="960" w:right="420" w:hanging="655"/>
        <w:spacing w:after="0" w:line="277" w:lineRule="auto"/>
        <w:tabs>
          <w:tab w:leader="none" w:pos="960" w:val="left"/>
        </w:tabs>
        <w:numPr>
          <w:ilvl w:val="0"/>
          <w:numId w:val="1169"/>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75" w:lineRule="exact"/>
        <w:rPr>
          <w:rFonts w:ascii="Arial" w:cs="Arial" w:eastAsia="Arial" w:hAnsi="Arial"/>
          <w:sz w:val="18"/>
          <w:szCs w:val="18"/>
          <w:color w:val="auto"/>
        </w:rPr>
      </w:pPr>
    </w:p>
    <w:p>
      <w:pPr>
        <w:ind w:left="960" w:right="20" w:hanging="655"/>
        <w:spacing w:after="0" w:line="286" w:lineRule="auto"/>
        <w:tabs>
          <w:tab w:leader="none" w:pos="960" w:val="left"/>
        </w:tabs>
        <w:numPr>
          <w:ilvl w:val="0"/>
          <w:numId w:val="1169"/>
        </w:numPr>
        <w:rPr>
          <w:rFonts w:ascii="Arial" w:cs="Arial" w:eastAsia="Arial" w:hAnsi="Arial"/>
          <w:sz w:val="17"/>
          <w:szCs w:val="17"/>
          <w:color w:val="auto"/>
        </w:rPr>
      </w:pPr>
      <w:r>
        <w:rPr>
          <w:rFonts w:ascii="Arial" w:cs="Arial" w:eastAsia="Arial" w:hAnsi="Arial"/>
          <w:sz w:val="17"/>
          <w:szCs w:val="17"/>
          <w:color w:val="auto"/>
        </w:rPr>
        <w:t>the declaration and payment of regularly scheduled or accrued dividends to holders of any class or series of Disqualified Stock of the Company or any Restricted Subsidiary of the Company issued on or after the 2016 Amendment and Restatement Effective Date in accordance with the Fixed Charge Coverage Ratio test described in Section 4(a) hereof;</w:t>
      </w:r>
    </w:p>
    <w:p>
      <w:pPr>
        <w:spacing w:after="0" w:line="70" w:lineRule="exact"/>
        <w:rPr>
          <w:rFonts w:ascii="Arial" w:cs="Arial" w:eastAsia="Arial" w:hAnsi="Arial"/>
          <w:sz w:val="17"/>
          <w:szCs w:val="17"/>
          <w:color w:val="auto"/>
        </w:rPr>
      </w:pPr>
    </w:p>
    <w:p>
      <w:pPr>
        <w:ind w:left="960" w:right="440" w:hanging="655"/>
        <w:spacing w:after="0" w:line="342" w:lineRule="auto"/>
        <w:tabs>
          <w:tab w:leader="none" w:pos="960" w:val="left"/>
        </w:tabs>
        <w:numPr>
          <w:ilvl w:val="0"/>
          <w:numId w:val="1169"/>
        </w:numPr>
        <w:rPr>
          <w:rFonts w:ascii="Arial" w:cs="Arial" w:eastAsia="Arial" w:hAnsi="Arial"/>
          <w:sz w:val="16"/>
          <w:szCs w:val="16"/>
          <w:color w:val="auto"/>
        </w:rPr>
      </w:pPr>
      <w:r>
        <w:rPr>
          <w:rFonts w:ascii="Arial" w:cs="Arial" w:eastAsia="Arial" w:hAnsi="Arial"/>
          <w:sz w:val="16"/>
          <w:szCs w:val="16"/>
          <w:color w:val="auto"/>
        </w:rPr>
        <w:t>any Restricted Payment made or deemed to be made by the Company or a Restricted Subsidiary of the Company under, pursuant to or in connection with the Services and Right to Use Agreement, the Reinvestment Agreement or the MSA;</w:t>
      </w:r>
    </w:p>
    <w:p>
      <w:pPr>
        <w:spacing w:after="0" w:line="29" w:lineRule="exact"/>
        <w:rPr>
          <w:rFonts w:ascii="Arial" w:cs="Arial" w:eastAsia="Arial" w:hAnsi="Arial"/>
          <w:sz w:val="16"/>
          <w:szCs w:val="16"/>
          <w:color w:val="auto"/>
        </w:rPr>
      </w:pPr>
    </w:p>
    <w:p>
      <w:pPr>
        <w:ind w:left="960" w:hanging="655"/>
        <w:spacing w:after="0"/>
        <w:tabs>
          <w:tab w:leader="none" w:pos="960" w:val="left"/>
        </w:tabs>
        <w:numPr>
          <w:ilvl w:val="0"/>
          <w:numId w:val="11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960" w:hanging="655"/>
        <w:spacing w:after="0"/>
        <w:tabs>
          <w:tab w:leader="none" w:pos="960" w:val="left"/>
        </w:tabs>
        <w:numPr>
          <w:ilvl w:val="0"/>
          <w:numId w:val="1169"/>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130" w:lineRule="exact"/>
        <w:rPr>
          <w:rFonts w:ascii="Arial" w:cs="Arial" w:eastAsia="Arial" w:hAnsi="Arial"/>
          <w:sz w:val="18"/>
          <w:szCs w:val="18"/>
          <w:color w:val="auto"/>
        </w:rPr>
      </w:pPr>
    </w:p>
    <w:p>
      <w:pPr>
        <w:ind w:left="960" w:right="80" w:hanging="655"/>
        <w:spacing w:after="0" w:line="263" w:lineRule="auto"/>
        <w:tabs>
          <w:tab w:leader="none" w:pos="960" w:val="left"/>
        </w:tabs>
        <w:numPr>
          <w:ilvl w:val="0"/>
          <w:numId w:val="1169"/>
        </w:numPr>
        <w:rPr>
          <w:rFonts w:ascii="Arial" w:cs="Arial" w:eastAsia="Arial" w:hAnsi="Arial"/>
          <w:sz w:val="18"/>
          <w:szCs w:val="18"/>
          <w:color w:val="auto"/>
        </w:rPr>
      </w:pPr>
      <w:r>
        <w:rPr>
          <w:rFonts w:ascii="Arial" w:cs="Arial" w:eastAsia="Arial" w:hAnsi="Arial"/>
          <w:sz w:val="18"/>
          <w:szCs w:val="18"/>
          <w:color w:val="auto"/>
        </w:rPr>
        <w:t>payments to any parent entity in respect of directors’ fees, remuneration and expenses (including director and officer insurance (including premiums therefore)) to the extent relating to the Company and its Subsidiaries, in an aggregate amount not to exceed US$2.0 million per annum;</w:t>
      </w:r>
    </w:p>
    <w:p>
      <w:pPr>
        <w:spacing w:after="0" w:line="89" w:lineRule="exact"/>
        <w:rPr>
          <w:rFonts w:ascii="Arial" w:cs="Arial" w:eastAsia="Arial" w:hAnsi="Arial"/>
          <w:sz w:val="18"/>
          <w:szCs w:val="18"/>
          <w:color w:val="auto"/>
        </w:rPr>
      </w:pPr>
    </w:p>
    <w:p>
      <w:pPr>
        <w:ind w:left="960" w:hanging="655"/>
        <w:spacing w:after="0"/>
        <w:tabs>
          <w:tab w:leader="none" w:pos="960" w:val="left"/>
        </w:tabs>
        <w:numPr>
          <w:ilvl w:val="0"/>
          <w:numId w:val="1169"/>
        </w:numPr>
        <w:rPr>
          <w:rFonts w:ascii="Arial" w:cs="Arial" w:eastAsia="Arial" w:hAnsi="Arial"/>
          <w:sz w:val="18"/>
          <w:szCs w:val="18"/>
          <w:color w:val="auto"/>
        </w:rPr>
      </w:pPr>
      <w:r>
        <w:rPr>
          <w:rFonts w:ascii="Arial" w:cs="Arial" w:eastAsia="Arial" w:hAnsi="Arial"/>
          <w:sz w:val="18"/>
          <w:szCs w:val="18"/>
          <w:color w:val="auto"/>
        </w:rPr>
        <w:t>the making of Restricted Payments, if applicable:</w:t>
      </w:r>
    </w:p>
    <w:p>
      <w:pPr>
        <w:spacing w:after="0" w:line="130" w:lineRule="exact"/>
        <w:rPr>
          <w:rFonts w:ascii="Arial" w:cs="Arial" w:eastAsia="Arial" w:hAnsi="Arial"/>
          <w:sz w:val="18"/>
          <w:szCs w:val="18"/>
          <w:color w:val="auto"/>
        </w:rPr>
      </w:pPr>
    </w:p>
    <w:p>
      <w:pPr>
        <w:ind w:left="1500" w:right="20" w:hanging="533"/>
        <w:spacing w:after="0" w:line="273" w:lineRule="auto"/>
        <w:tabs>
          <w:tab w:leader="none" w:pos="1500" w:val="left"/>
        </w:tabs>
        <w:numPr>
          <w:ilvl w:val="1"/>
          <w:numId w:val="1169"/>
        </w:numPr>
        <w:rPr>
          <w:rFonts w:ascii="Arial" w:cs="Arial" w:eastAsia="Arial" w:hAnsi="Arial"/>
          <w:sz w:val="17"/>
          <w:szCs w:val="17"/>
          <w:color w:val="auto"/>
        </w:rPr>
      </w:pPr>
      <w:r>
        <w:rPr>
          <w:rFonts w:ascii="Arial" w:cs="Arial" w:eastAsia="Arial" w:hAnsi="Arial"/>
          <w:sz w:val="17"/>
          <w:szCs w:val="17"/>
          <w:color w:val="auto"/>
        </w:rPr>
        <w:t>in amounts required for any direct or indirect parent of the Company to pay fees and expenses (including franchise or similar taxes) required to maintain its corporate existence, customary salary, bonus and other benefits payable to, and indemnities provided on behalf of, officers and employees of any direct or indirect parent of the Company and general corporate operating and overhead expenses of any direct or indirect parent of the Company in each case to the extent such fees and expenses are attributable to the ownership or operation of the Company, if applicable, and its Subsidiaries, in an aggregate amount not to exceed US$2.0 million per annum;</w:t>
      </w:r>
    </w:p>
    <w:p>
      <w:pPr>
        <w:spacing w:after="0" w:line="83" w:lineRule="exact"/>
        <w:rPr>
          <w:rFonts w:ascii="Arial" w:cs="Arial" w:eastAsia="Arial" w:hAnsi="Arial"/>
          <w:sz w:val="17"/>
          <w:szCs w:val="17"/>
          <w:color w:val="auto"/>
        </w:rPr>
      </w:pPr>
    </w:p>
    <w:p>
      <w:pPr>
        <w:jc w:val="both"/>
        <w:ind w:left="1500" w:right="80" w:hanging="533"/>
        <w:spacing w:after="0" w:line="275" w:lineRule="auto"/>
        <w:tabs>
          <w:tab w:leader="none" w:pos="1500" w:val="left"/>
        </w:tabs>
        <w:numPr>
          <w:ilvl w:val="1"/>
          <w:numId w:val="1169"/>
        </w:numPr>
        <w:rPr>
          <w:rFonts w:ascii="Arial" w:cs="Arial" w:eastAsia="Arial" w:hAnsi="Arial"/>
          <w:sz w:val="17"/>
          <w:szCs w:val="17"/>
          <w:color w:val="auto"/>
        </w:rPr>
      </w:pPr>
      <w:r>
        <w:rPr>
          <w:rFonts w:ascii="Arial" w:cs="Arial" w:eastAsia="Arial" w:hAnsi="Arial"/>
          <w:sz w:val="17"/>
          <w:szCs w:val="17"/>
          <w:color w:val="auto"/>
        </w:rPr>
        <w:t xml:space="preserve">in amounts required for any direct or indirect parent of the Company, if applicable, to pay interest and/or principal on Indebtedness the proceeds of which have been contributed to the Company or any of its Restricted Subsidiaries prior to the 2021 Amendment and Restatement Effective Date and that has been guaranteed by, or is otherwise considered Indebtedness of, the Company Incurred in accordance with Section 4;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amount of any such proceeds will be excluded from clause (C)(II) of Section 2(a);</w:t>
      </w:r>
    </w:p>
    <w:p>
      <w:pPr>
        <w:spacing w:after="0" w:line="81" w:lineRule="exact"/>
        <w:rPr>
          <w:rFonts w:ascii="Arial" w:cs="Arial" w:eastAsia="Arial" w:hAnsi="Arial"/>
          <w:sz w:val="17"/>
          <w:szCs w:val="17"/>
          <w:color w:val="auto"/>
        </w:rPr>
      </w:pPr>
    </w:p>
    <w:p>
      <w:pPr>
        <w:ind w:left="1500" w:right="40" w:hanging="533"/>
        <w:spacing w:after="0" w:line="277" w:lineRule="auto"/>
        <w:tabs>
          <w:tab w:leader="none" w:pos="1500" w:val="left"/>
        </w:tabs>
        <w:numPr>
          <w:ilvl w:val="1"/>
          <w:numId w:val="1169"/>
        </w:numPr>
        <w:rPr>
          <w:rFonts w:ascii="Arial" w:cs="Arial" w:eastAsia="Arial" w:hAnsi="Arial"/>
          <w:sz w:val="18"/>
          <w:szCs w:val="18"/>
          <w:color w:val="auto"/>
        </w:rPr>
      </w:pPr>
      <w:r>
        <w:rPr>
          <w:rFonts w:ascii="Arial" w:cs="Arial" w:eastAsia="Arial" w:hAnsi="Arial"/>
          <w:sz w:val="18"/>
          <w:szCs w:val="18"/>
          <w:color w:val="auto"/>
        </w:rPr>
        <w:t>in amounts required for any direct or indirect parent of the Company to pay fees and expenses, other than to Affiliates of the Company, related to any unsuccessful equity or debt offering of such parent; and</w:t>
      </w:r>
    </w:p>
    <w:p>
      <w:pPr>
        <w:spacing w:after="0" w:line="103" w:lineRule="exact"/>
        <w:rPr>
          <w:sz w:val="20"/>
          <w:szCs w:val="20"/>
          <w:color w:val="auto"/>
        </w:rPr>
      </w:pPr>
    </w:p>
    <w:p>
      <w:pPr>
        <w:jc w:val="both"/>
        <w:ind w:left="4420"/>
        <w:spacing w:after="0"/>
        <w:tabs>
          <w:tab w:leader="none" w:pos="78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020"/>
          </w:cols>
          <w:pgMar w:left="1440" w:top="274" w:right="439" w:bottom="1440" w:gutter="0" w:footer="0" w:header="0"/>
        </w:sectPr>
      </w:pPr>
    </w:p>
    <w:bookmarkStart w:id="768" w:name="page769"/>
    <w:bookmarkEnd w:id="768"/>
    <w:p>
      <w:pPr>
        <w:ind w:left="1500" w:right="440" w:hanging="533"/>
        <w:spacing w:after="0" w:line="277" w:lineRule="auto"/>
        <w:tabs>
          <w:tab w:leader="none" w:pos="1500" w:val="left"/>
        </w:tabs>
        <w:numPr>
          <w:ilvl w:val="1"/>
          <w:numId w:val="1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for services under any Revenue Sharing Agreement that would constitute or be deemed to constitute a Restricted Payment;</w:t>
      </w:r>
    </w:p>
    <w:p>
      <w:pPr>
        <w:spacing w:after="0" w:line="75" w:lineRule="exact"/>
        <w:rPr>
          <w:rFonts w:ascii="Arial" w:cs="Arial" w:eastAsia="Arial" w:hAnsi="Arial"/>
          <w:sz w:val="18"/>
          <w:szCs w:val="18"/>
          <w:color w:val="auto"/>
        </w:rPr>
      </w:pPr>
    </w:p>
    <w:p>
      <w:pPr>
        <w:ind w:left="960" w:right="100" w:hanging="655"/>
        <w:spacing w:after="0" w:line="273" w:lineRule="auto"/>
        <w:tabs>
          <w:tab w:leader="none" w:pos="960" w:val="left"/>
        </w:tabs>
        <w:numPr>
          <w:ilvl w:val="0"/>
          <w:numId w:val="1171"/>
        </w:numPr>
        <w:rPr>
          <w:rFonts w:ascii="Arial" w:cs="Arial" w:eastAsia="Arial" w:hAnsi="Arial"/>
          <w:sz w:val="17"/>
          <w:szCs w:val="17"/>
          <w:color w:val="auto"/>
        </w:rPr>
      </w:pPr>
      <w:r>
        <w:rPr>
          <w:rFonts w:ascii="Arial" w:cs="Arial" w:eastAsia="Arial" w:hAnsi="Arial"/>
          <w:sz w:val="17"/>
          <w:szCs w:val="17"/>
          <w:color w:val="auto"/>
        </w:rPr>
        <w:t>any Restricted Payment used to fund the Transactions and the payment of fees and expenses incurred in connection with the Transactions or owed by the Company or any direct or indirect parent of the Company or its Restricted Subsidiaries to Affiliates, and any other payments made, including any such payments made to any direct or indirect parent of the Company to enable it to make payments, in connection with the consummation of the Transactions, whether payable on the 2021 Amendment and Restatement Effective Date or thereafter, in each case on terms described in the Offering Memorandum under “Use of Proceeds” and to the extent permitted by Section 6;</w:t>
      </w:r>
    </w:p>
    <w:p>
      <w:pPr>
        <w:spacing w:after="0" w:line="83" w:lineRule="exact"/>
        <w:rPr>
          <w:rFonts w:ascii="Arial" w:cs="Arial" w:eastAsia="Arial" w:hAnsi="Arial"/>
          <w:sz w:val="17"/>
          <w:szCs w:val="17"/>
          <w:color w:val="auto"/>
        </w:rPr>
      </w:pPr>
    </w:p>
    <w:p>
      <w:pPr>
        <w:ind w:left="960" w:right="160" w:hanging="655"/>
        <w:spacing w:after="0" w:line="342" w:lineRule="auto"/>
        <w:tabs>
          <w:tab w:leader="none" w:pos="960" w:val="left"/>
        </w:tabs>
        <w:numPr>
          <w:ilvl w:val="0"/>
          <w:numId w:val="1171"/>
        </w:numPr>
        <w:rPr>
          <w:rFonts w:ascii="Arial" w:cs="Arial" w:eastAsia="Arial" w:hAnsi="Arial"/>
          <w:sz w:val="16"/>
          <w:szCs w:val="16"/>
          <w:color w:val="auto"/>
        </w:rPr>
      </w:pPr>
      <w:r>
        <w:rPr>
          <w:rFonts w:ascii="Arial" w:cs="Arial" w:eastAsia="Arial" w:hAnsi="Arial"/>
          <w:sz w:val="16"/>
          <w:szCs w:val="16"/>
          <w:color w:val="auto"/>
        </w:rPr>
        <w:t>any Restricted Payments, to the extent required to be made by any Gaming Authority having jurisdiction over the Company or any of its Restricted Subsidiaries or Melco Resorts Macau (or any other operator of the Studio City Casino);</w:t>
      </w:r>
    </w:p>
    <w:p>
      <w:pPr>
        <w:spacing w:after="0" w:line="29" w:lineRule="exact"/>
        <w:rPr>
          <w:rFonts w:ascii="Arial" w:cs="Arial" w:eastAsia="Arial" w:hAnsi="Arial"/>
          <w:sz w:val="16"/>
          <w:szCs w:val="16"/>
          <w:color w:val="auto"/>
        </w:rPr>
      </w:pPr>
    </w:p>
    <w:p>
      <w:pPr>
        <w:jc w:val="both"/>
        <w:ind w:left="960" w:right="600" w:hanging="655"/>
        <w:spacing w:after="0" w:line="311" w:lineRule="auto"/>
        <w:tabs>
          <w:tab w:leader="none" w:pos="960" w:val="left"/>
        </w:tabs>
        <w:numPr>
          <w:ilvl w:val="0"/>
          <w:numId w:val="1171"/>
        </w:numPr>
        <w:rPr>
          <w:rFonts w:ascii="Arial" w:cs="Arial" w:eastAsia="Arial" w:hAnsi="Arial"/>
          <w:sz w:val="16"/>
          <w:szCs w:val="16"/>
          <w:color w:val="auto"/>
        </w:rPr>
      </w:pPr>
      <w:r>
        <w:rPr>
          <w:rFonts w:ascii="Arial" w:cs="Arial" w:eastAsia="Arial" w:hAnsi="Arial"/>
          <w:sz w:val="16"/>
          <w:szCs w:val="16"/>
          <w:color w:val="auto"/>
        </w:rPr>
        <w:t xml:space="preserve">cash payments in lieu of the issuance of fractional shares in connection with the exercise of warrants, options or other securities convertible into or exchangeable for Capital Stock of the Company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however, that any such cash payment shall not be for the purpose of evading the limitation of this Section 2;</w:t>
      </w:r>
    </w:p>
    <w:p>
      <w:pPr>
        <w:spacing w:after="0" w:line="54" w:lineRule="exact"/>
        <w:rPr>
          <w:rFonts w:ascii="Arial" w:cs="Arial" w:eastAsia="Arial" w:hAnsi="Arial"/>
          <w:sz w:val="16"/>
          <w:szCs w:val="16"/>
          <w:color w:val="auto"/>
        </w:rPr>
      </w:pPr>
    </w:p>
    <w:p>
      <w:pPr>
        <w:ind w:left="960" w:right="120" w:hanging="655"/>
        <w:spacing w:after="0" w:line="293" w:lineRule="auto"/>
        <w:tabs>
          <w:tab w:leader="none" w:pos="960" w:val="left"/>
        </w:tabs>
        <w:numPr>
          <w:ilvl w:val="0"/>
          <w:numId w:val="1171"/>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Subordinated Indebtedness of the Company or any Subsidiary Guarantor pursuant to provisions similar to those described under section 4.15 of the original form of the respective Senior Notes Indentures;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Company shall have first complied with its obligations under Clause 9.2 (</w:t>
      </w:r>
      <w:r>
        <w:rPr>
          <w:rFonts w:ascii="Arial" w:cs="Arial" w:eastAsia="Arial" w:hAnsi="Arial"/>
          <w:sz w:val="16"/>
          <w:szCs w:val="16"/>
          <w:i w:val="1"/>
          <w:iCs w:val="1"/>
          <w:color w:val="auto"/>
        </w:rPr>
        <w:t>Change of Control, Concession-Related Mandatory Prepayment Event and Disposal Prepayment Event</w:t>
      </w:r>
      <w:r>
        <w:rPr>
          <w:rFonts w:ascii="Arial" w:cs="Arial" w:eastAsia="Arial" w:hAnsi="Arial"/>
          <w:sz w:val="16"/>
          <w:szCs w:val="16"/>
          <w:color w:val="auto"/>
        </w:rPr>
        <w:t>) of this Agreement and repaid and cancelled Indebtedness under the Finance Documents to the extent required by such Clause prior to repurchasing, redeeming, acquiring or otherwise retiring for value such Subordinated Indebtedness;</w:t>
      </w:r>
    </w:p>
    <w:p>
      <w:pPr>
        <w:spacing w:after="0" w:line="69" w:lineRule="exact"/>
        <w:rPr>
          <w:rFonts w:ascii="Arial" w:cs="Arial" w:eastAsia="Arial" w:hAnsi="Arial"/>
          <w:sz w:val="16"/>
          <w:szCs w:val="16"/>
          <w:color w:val="auto"/>
        </w:rPr>
      </w:pPr>
    </w:p>
    <w:p>
      <w:pPr>
        <w:ind w:left="960" w:right="180" w:hanging="655"/>
        <w:spacing w:after="0" w:line="273" w:lineRule="auto"/>
        <w:tabs>
          <w:tab w:leader="none" w:pos="960" w:val="left"/>
        </w:tabs>
        <w:numPr>
          <w:ilvl w:val="0"/>
          <w:numId w:val="1171"/>
        </w:numPr>
        <w:rPr>
          <w:rFonts w:ascii="Arial" w:cs="Arial" w:eastAsia="Arial" w:hAnsi="Arial"/>
          <w:sz w:val="17"/>
          <w:szCs w:val="17"/>
          <w:color w:val="auto"/>
        </w:rPr>
      </w:pPr>
      <w:r>
        <w:rPr>
          <w:rFonts w:ascii="Arial" w:cs="Arial" w:eastAsia="Arial" w:hAnsi="Arial"/>
          <w:sz w:val="17"/>
          <w:szCs w:val="17"/>
          <w:color w:val="auto"/>
        </w:rPr>
        <w:t xml:space="preserve">payments or distributions to dissenting stockholders of Capital Stock of the Company pursuant to applicable law in connection with a consolidation, merger or transfer of all or substantially all of the assets of the Company and its Restricted Subsidiaries, taken as a whole, that complies with Section 13;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Company shall have first complied with its obligations under Clause 9.2 (</w:t>
      </w:r>
      <w:r>
        <w:rPr>
          <w:rFonts w:ascii="Arial" w:cs="Arial" w:eastAsia="Arial" w:hAnsi="Arial"/>
          <w:sz w:val="17"/>
          <w:szCs w:val="17"/>
          <w:i w:val="1"/>
          <w:iCs w:val="1"/>
          <w:color w:val="auto"/>
        </w:rPr>
        <w:t>Change of Control, Concession-Related Mandatory Prepayment Event and Disposal</w:t>
      </w:r>
      <w:r>
        <w:rPr>
          <w:rFonts w:ascii="Arial" w:cs="Arial" w:eastAsia="Arial" w:hAnsi="Arial"/>
          <w:sz w:val="17"/>
          <w:szCs w:val="17"/>
          <w:color w:val="auto"/>
        </w:rPr>
        <w:t xml:space="preserve"> </w:t>
      </w:r>
      <w:r>
        <w:rPr>
          <w:rFonts w:ascii="Arial" w:cs="Arial" w:eastAsia="Arial" w:hAnsi="Arial"/>
          <w:sz w:val="17"/>
          <w:szCs w:val="17"/>
          <w:i w:val="1"/>
          <w:iCs w:val="1"/>
          <w:color w:val="auto"/>
        </w:rPr>
        <w:t>Prepayment Event</w:t>
      </w:r>
      <w:r>
        <w:rPr>
          <w:rFonts w:ascii="Arial" w:cs="Arial" w:eastAsia="Arial" w:hAnsi="Arial"/>
          <w:sz w:val="17"/>
          <w:szCs w:val="17"/>
          <w:color w:val="auto"/>
        </w:rPr>
        <w:t>) of this Agreement and repaid and cancelled Indebtedness under the Finance Documents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such Clause prior to making such payment or distribution; and</w:t>
      </w:r>
    </w:p>
    <w:p>
      <w:pPr>
        <w:spacing w:after="0" w:line="83" w:lineRule="exact"/>
        <w:rPr>
          <w:rFonts w:ascii="Arial" w:cs="Arial" w:eastAsia="Arial" w:hAnsi="Arial"/>
          <w:sz w:val="17"/>
          <w:szCs w:val="17"/>
          <w:color w:val="auto"/>
        </w:rPr>
      </w:pPr>
    </w:p>
    <w:p>
      <w:pPr>
        <w:ind w:left="960" w:right="880" w:hanging="655"/>
        <w:spacing w:after="0" w:line="277" w:lineRule="auto"/>
        <w:tabs>
          <w:tab w:leader="none" w:pos="960" w:val="left"/>
        </w:tabs>
        <w:numPr>
          <w:ilvl w:val="0"/>
          <w:numId w:val="1171"/>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US$15.0 million since the 2021 Amendment and Restatement Effective Date,</w:t>
      </w:r>
    </w:p>
    <w:p>
      <w:pPr>
        <w:spacing w:after="0" w:line="62" w:lineRule="exact"/>
        <w:rPr>
          <w:sz w:val="20"/>
          <w:szCs w:val="20"/>
          <w:color w:val="auto"/>
        </w:rPr>
      </w:pPr>
    </w:p>
    <w:p>
      <w:pPr>
        <w:ind w:left="320" w:right="480"/>
        <w:spacing w:after="0" w:line="30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however, that at the time of, and after giving effect to, any Restricted Payment permitted under clauses (xii), (xiii) and</w:t>
      </w:r>
      <w:r>
        <w:rPr>
          <w:rFonts w:ascii="Arial" w:cs="Arial" w:eastAsia="Arial" w:hAnsi="Arial"/>
          <w:sz w:val="17"/>
          <w:szCs w:val="17"/>
          <w:i w:val="1"/>
          <w:iCs w:val="1"/>
          <w:color w:val="auto"/>
        </w:rPr>
        <w:t xml:space="preserve"> </w:t>
      </w:r>
      <w:r>
        <w:rPr>
          <w:rFonts w:ascii="Arial" w:cs="Arial" w:eastAsia="Arial" w:hAnsi="Arial"/>
          <w:sz w:val="17"/>
          <w:szCs w:val="17"/>
          <w:color w:val="auto"/>
        </w:rPr>
        <w:t>(xviii) of this Section 2(b), no Default shall have occurred and be continuing or would occur as a consequence thereof.</w:t>
      </w:r>
    </w:p>
    <w:p>
      <w:pPr>
        <w:spacing w:after="0" w:line="79" w:lineRule="exact"/>
        <w:rPr>
          <w:sz w:val="20"/>
          <w:szCs w:val="20"/>
          <w:color w:val="auto"/>
        </w:rPr>
      </w:pPr>
    </w:p>
    <w:p>
      <w:pPr>
        <w:jc w:val="both"/>
        <w:ind w:left="4420"/>
        <w:spacing w:after="0"/>
        <w:tabs>
          <w:tab w:leader="none" w:pos="78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020"/>
          </w:cols>
          <w:pgMar w:left="1440" w:top="274" w:right="439" w:bottom="1440" w:gutter="0" w:footer="0" w:header="0"/>
        </w:sectPr>
      </w:pPr>
    </w:p>
    <w:bookmarkStart w:id="769" w:name="page770"/>
    <w:bookmarkEnd w:id="769"/>
    <w:p>
      <w:pPr>
        <w:ind w:left="1304" w:right="60" w:hanging="535"/>
        <w:spacing w:after="0" w:line="272" w:lineRule="auto"/>
        <w:tabs>
          <w:tab w:leader="none" w:pos="1304" w:val="left"/>
        </w:tabs>
        <w:numPr>
          <w:ilvl w:val="1"/>
          <w:numId w:val="11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all Restricted Payments (other than cash) will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2 will be determined by the Board of Directors of the Company whose resolution with respect thereto will be delivered to the Agent as set forth in an Officer’s Certificate of the Company. The Company’s Board of Directors’ determination must be based upon an opinion or appraisal issued by an accounting, appraisal or investment banking firm of international standing (an “</w:t>
      </w:r>
      <w:r>
        <w:rPr>
          <w:rFonts w:ascii="Arial" w:cs="Arial" w:eastAsia="Arial" w:hAnsi="Arial"/>
          <w:sz w:val="17"/>
          <w:szCs w:val="17"/>
          <w:b w:val="1"/>
          <w:bCs w:val="1"/>
          <w:color w:val="auto"/>
        </w:rPr>
        <w:t>Independent 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Advisor</w:t>
      </w:r>
      <w:r>
        <w:rPr>
          <w:rFonts w:ascii="Arial" w:cs="Arial" w:eastAsia="Arial" w:hAnsi="Arial"/>
          <w:sz w:val="17"/>
          <w:szCs w:val="17"/>
          <w:color w:val="auto"/>
        </w:rPr>
        <w:t>”) if the Fair Market Value exceeds US$45.0 million.</w:t>
      </w:r>
    </w:p>
    <w:p>
      <w:pPr>
        <w:spacing w:after="0" w:line="325" w:lineRule="exact"/>
        <w:rPr>
          <w:rFonts w:ascii="Arial" w:cs="Arial" w:eastAsia="Arial" w:hAnsi="Arial"/>
          <w:sz w:val="17"/>
          <w:szCs w:val="17"/>
          <w:color w:val="auto"/>
        </w:rPr>
      </w:pPr>
    </w:p>
    <w:p>
      <w:pPr>
        <w:ind w:left="764" w:hanging="764"/>
        <w:spacing w:after="0"/>
        <w:tabs>
          <w:tab w:leader="none" w:pos="764" w:val="left"/>
        </w:tabs>
        <w:numPr>
          <w:ilvl w:val="0"/>
          <w:numId w:val="1173"/>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130" w:lineRule="exact"/>
        <w:rPr>
          <w:rFonts w:ascii="Arial" w:cs="Arial" w:eastAsia="Arial" w:hAnsi="Arial"/>
          <w:sz w:val="18"/>
          <w:szCs w:val="18"/>
          <w:color w:val="auto"/>
        </w:rPr>
      </w:pPr>
    </w:p>
    <w:p>
      <w:pPr>
        <w:ind w:left="1304" w:right="120" w:hanging="535"/>
        <w:spacing w:after="0" w:line="342" w:lineRule="auto"/>
        <w:tabs>
          <w:tab w:leader="none" w:pos="1304" w:val="left"/>
        </w:tabs>
        <w:numPr>
          <w:ilvl w:val="1"/>
          <w:numId w:val="1173"/>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Restricted Subsidiaries to, directly or indirectly, create or otherwise cause, permit or suffer to exist or become effective any consensual encumbrance or restriction on the ability of any Restricted Subsidiary to:</w:t>
      </w:r>
    </w:p>
    <w:p>
      <w:pPr>
        <w:spacing w:after="0" w:line="29" w:lineRule="exact"/>
        <w:rPr>
          <w:rFonts w:ascii="Arial" w:cs="Arial" w:eastAsia="Arial" w:hAnsi="Arial"/>
          <w:sz w:val="16"/>
          <w:szCs w:val="16"/>
          <w:color w:val="auto"/>
        </w:rPr>
      </w:pPr>
    </w:p>
    <w:p>
      <w:pPr>
        <w:ind w:left="1964" w:right="260" w:hanging="655"/>
        <w:spacing w:after="0" w:line="263" w:lineRule="auto"/>
        <w:tabs>
          <w:tab w:leader="none" w:pos="1964" w:val="left"/>
        </w:tabs>
        <w:numPr>
          <w:ilvl w:val="2"/>
          <w:numId w:val="1173"/>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89" w:lineRule="exact"/>
        <w:rPr>
          <w:rFonts w:ascii="Arial" w:cs="Arial" w:eastAsia="Arial" w:hAnsi="Arial"/>
          <w:sz w:val="18"/>
          <w:szCs w:val="18"/>
          <w:color w:val="auto"/>
        </w:rPr>
      </w:pPr>
    </w:p>
    <w:p>
      <w:pPr>
        <w:ind w:left="1964" w:hanging="655"/>
        <w:spacing w:after="0"/>
        <w:tabs>
          <w:tab w:leader="none" w:pos="1964" w:val="left"/>
        </w:tabs>
        <w:numPr>
          <w:ilvl w:val="2"/>
          <w:numId w:val="1173"/>
        </w:numPr>
        <w:rPr>
          <w:rFonts w:ascii="Arial" w:cs="Arial" w:eastAsia="Arial" w:hAnsi="Arial"/>
          <w:sz w:val="18"/>
          <w:szCs w:val="18"/>
          <w:color w:val="auto"/>
        </w:rPr>
      </w:pPr>
      <w:r>
        <w:rPr>
          <w:rFonts w:ascii="Arial" w:cs="Arial" w:eastAsia="Arial" w:hAnsi="Arial"/>
          <w:sz w:val="18"/>
          <w:szCs w:val="18"/>
          <w:color w:val="auto"/>
        </w:rPr>
        <w:t>make loans or advances to the Company or any of its Restricted Subsidiaries; or</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2"/>
          <w:numId w:val="1173"/>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Company or any of its Restricted Subsidiaries.</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1"/>
          <w:numId w:val="1173"/>
        </w:numPr>
        <w:rPr>
          <w:rFonts w:ascii="Arial" w:cs="Arial" w:eastAsia="Arial" w:hAnsi="Arial"/>
          <w:sz w:val="18"/>
          <w:szCs w:val="18"/>
          <w:color w:val="auto"/>
        </w:rPr>
      </w:pPr>
      <w:r>
        <w:rPr>
          <w:rFonts w:ascii="Arial" w:cs="Arial" w:eastAsia="Arial" w:hAnsi="Arial"/>
          <w:sz w:val="18"/>
          <w:szCs w:val="18"/>
          <w:color w:val="auto"/>
        </w:rPr>
        <w:t>The restrictions in Section 3(a) hereof will not apply to encumbrances or restrictions existing under or by reason of:</w:t>
      </w:r>
    </w:p>
    <w:p>
      <w:pPr>
        <w:spacing w:after="0" w:line="130" w:lineRule="exact"/>
        <w:rPr>
          <w:rFonts w:ascii="Arial" w:cs="Arial" w:eastAsia="Arial" w:hAnsi="Arial"/>
          <w:sz w:val="18"/>
          <w:szCs w:val="18"/>
          <w:color w:val="auto"/>
        </w:rPr>
      </w:pPr>
    </w:p>
    <w:p>
      <w:pPr>
        <w:ind w:left="1964" w:right="40" w:hanging="655"/>
        <w:spacing w:after="0" w:line="273" w:lineRule="auto"/>
        <w:tabs>
          <w:tab w:leader="none" w:pos="1964" w:val="left"/>
        </w:tabs>
        <w:numPr>
          <w:ilvl w:val="2"/>
          <w:numId w:val="1173"/>
        </w:numPr>
        <w:rPr>
          <w:rFonts w:ascii="Arial" w:cs="Arial" w:eastAsia="Arial" w:hAnsi="Arial"/>
          <w:sz w:val="17"/>
          <w:szCs w:val="17"/>
          <w:color w:val="auto"/>
        </w:rPr>
      </w:pPr>
      <w:r>
        <w:rPr>
          <w:rFonts w:ascii="Arial" w:cs="Arial" w:eastAsia="Arial" w:hAnsi="Arial"/>
          <w:sz w:val="17"/>
          <w:szCs w:val="17"/>
          <w:color w:val="auto"/>
        </w:rPr>
        <w:t xml:space="preserve">agreements governing Indebtedness or any other agreements in existence on the 2021 Amendment and Restatement Effective Date as in effect on the 2021 Amendment and Restatement Effective Date and any amendments, restatements, modifications, renewals, supplements, refundings, replacements or refinancings of those agreements;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on the 2021 Amendment and Restatement Effective Date;</w:t>
      </w:r>
    </w:p>
    <w:p>
      <w:pPr>
        <w:spacing w:after="0" w:line="83" w:lineRule="exact"/>
        <w:rPr>
          <w:rFonts w:ascii="Arial" w:cs="Arial" w:eastAsia="Arial" w:hAnsi="Arial"/>
          <w:sz w:val="17"/>
          <w:szCs w:val="17"/>
          <w:color w:val="auto"/>
        </w:rPr>
      </w:pPr>
    </w:p>
    <w:p>
      <w:pPr>
        <w:ind w:left="1964" w:right="160" w:hanging="655"/>
        <w:spacing w:after="0" w:line="257" w:lineRule="auto"/>
        <w:tabs>
          <w:tab w:leader="none" w:pos="1964" w:val="left"/>
        </w:tabs>
        <w:numPr>
          <w:ilvl w:val="2"/>
          <w:numId w:val="1173"/>
        </w:numPr>
        <w:rPr>
          <w:rFonts w:ascii="Arial" w:cs="Arial" w:eastAsia="Arial" w:hAnsi="Arial"/>
          <w:sz w:val="18"/>
          <w:szCs w:val="18"/>
          <w:color w:val="auto"/>
        </w:rPr>
      </w:pPr>
      <w:r>
        <w:rPr>
          <w:rFonts w:ascii="Arial" w:cs="Arial" w:eastAsia="Arial" w:hAnsi="Arial"/>
          <w:sz w:val="18"/>
          <w:szCs w:val="18"/>
          <w:color w:val="auto"/>
        </w:rPr>
        <w:t xml:space="preserve">the Credit Facilities Documents (other than the Facilities) and any amendments, restatements, modifications, renewals, supplements, refundings, replacements or refinancings of those agreements;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Credit Facilities Documents and the amendments, restatements, modifications, renewals, supplements, refundings, replacements or refinancings thereof are not materially more restrictive, taken as a whole, with respect to such dividend and the other restrictions than those contained in the Facilities;</w:t>
      </w:r>
    </w:p>
    <w:p>
      <w:pPr>
        <w:spacing w:after="0" w:line="93" w:lineRule="exact"/>
        <w:rPr>
          <w:rFonts w:ascii="Arial" w:cs="Arial" w:eastAsia="Arial" w:hAnsi="Arial"/>
          <w:sz w:val="18"/>
          <w:szCs w:val="18"/>
          <w:color w:val="auto"/>
        </w:rPr>
      </w:pPr>
    </w:p>
    <w:p>
      <w:pPr>
        <w:ind w:left="1964" w:hanging="655"/>
        <w:spacing w:after="0"/>
        <w:tabs>
          <w:tab w:leader="none" w:pos="1964" w:val="left"/>
        </w:tabs>
        <w:numPr>
          <w:ilvl w:val="2"/>
          <w:numId w:val="1173"/>
        </w:numPr>
        <w:rPr>
          <w:rFonts w:ascii="Arial" w:cs="Arial" w:eastAsia="Arial" w:hAnsi="Arial"/>
          <w:sz w:val="18"/>
          <w:szCs w:val="18"/>
          <w:color w:val="auto"/>
        </w:rPr>
      </w:pPr>
      <w:r>
        <w:rPr>
          <w:rFonts w:ascii="Arial" w:cs="Arial" w:eastAsia="Arial" w:hAnsi="Arial"/>
          <w:sz w:val="18"/>
          <w:szCs w:val="18"/>
          <w:color w:val="auto"/>
        </w:rPr>
        <w:t>the Senior Notes Indentures, the Senior Notes and the Senior Notes Guarantees;</w:t>
      </w:r>
    </w:p>
    <w:p>
      <w:pPr>
        <w:spacing w:after="0" w:line="130" w:lineRule="exact"/>
        <w:rPr>
          <w:rFonts w:ascii="Arial" w:cs="Arial" w:eastAsia="Arial" w:hAnsi="Arial"/>
          <w:sz w:val="18"/>
          <w:szCs w:val="18"/>
          <w:color w:val="auto"/>
        </w:rPr>
      </w:pPr>
    </w:p>
    <w:p>
      <w:pPr>
        <w:ind w:left="1964" w:hanging="655"/>
        <w:spacing w:after="0"/>
        <w:tabs>
          <w:tab w:leader="none" w:pos="1964" w:val="left"/>
        </w:tabs>
        <w:numPr>
          <w:ilvl w:val="2"/>
          <w:numId w:val="1173"/>
        </w:numPr>
        <w:rPr>
          <w:rFonts w:ascii="Arial" w:cs="Arial" w:eastAsia="Arial" w:hAnsi="Arial"/>
          <w:sz w:val="18"/>
          <w:szCs w:val="18"/>
          <w:color w:val="auto"/>
        </w:rPr>
      </w:pPr>
      <w:r>
        <w:rPr>
          <w:rFonts w:ascii="Arial" w:cs="Arial" w:eastAsia="Arial" w:hAnsi="Arial"/>
          <w:sz w:val="18"/>
          <w:szCs w:val="18"/>
          <w:color w:val="auto"/>
        </w:rPr>
        <w:t>applicable law, rule, regulation or order, or governmental license, permit or concession;</w:t>
      </w:r>
    </w:p>
    <w:p>
      <w:pPr>
        <w:spacing w:after="0" w:line="158"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70" w:name="page771"/>
    <w:bookmarkEnd w:id="770"/>
    <w:p>
      <w:pPr>
        <w:ind w:left="960" w:right="100" w:hanging="655"/>
        <w:spacing w:after="0" w:line="269" w:lineRule="auto"/>
        <w:tabs>
          <w:tab w:leader="none" w:pos="960" w:val="left"/>
        </w:tabs>
        <w:numPr>
          <w:ilvl w:val="0"/>
          <w:numId w:val="11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agreement or instrument governing Indebtedness or Capital Stock of a Person or assets acquired by the Company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(and any amendments, restatements, modifications, renewals, supplements, refundings, replacements or refinancings of those agreements or instruments;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or instruments at the time of such acquisition);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further, that, in the case of Indebtedness, such Indebtedness was permitted by the terms of this Agreement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w:t>
      </w:r>
    </w:p>
    <w:p>
      <w:pPr>
        <w:spacing w:after="0" w:line="90" w:lineRule="exact"/>
        <w:rPr>
          <w:rFonts w:ascii="Arial" w:cs="Arial" w:eastAsia="Arial" w:hAnsi="Arial"/>
          <w:sz w:val="17"/>
          <w:szCs w:val="17"/>
          <w:color w:val="auto"/>
        </w:rPr>
      </w:pPr>
    </w:p>
    <w:p>
      <w:pPr>
        <w:ind w:left="960" w:right="140" w:hanging="655"/>
        <w:spacing w:after="0" w:line="277" w:lineRule="auto"/>
        <w:tabs>
          <w:tab w:leader="none" w:pos="960" w:val="left"/>
        </w:tabs>
        <w:numPr>
          <w:ilvl w:val="0"/>
          <w:numId w:val="1174"/>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including, without limitation, with respect to any intellectual property, entered into in the ordinary course of business;</w:t>
      </w:r>
    </w:p>
    <w:p>
      <w:pPr>
        <w:spacing w:after="0" w:line="75" w:lineRule="exact"/>
        <w:rPr>
          <w:rFonts w:ascii="Arial" w:cs="Arial" w:eastAsia="Arial" w:hAnsi="Arial"/>
          <w:sz w:val="18"/>
          <w:szCs w:val="18"/>
          <w:color w:val="auto"/>
        </w:rPr>
      </w:pPr>
    </w:p>
    <w:p>
      <w:pPr>
        <w:ind w:left="960" w:right="480" w:hanging="655"/>
        <w:spacing w:after="0" w:line="342" w:lineRule="auto"/>
        <w:tabs>
          <w:tab w:leader="none" w:pos="960" w:val="left"/>
        </w:tabs>
        <w:numPr>
          <w:ilvl w:val="0"/>
          <w:numId w:val="1174"/>
        </w:numPr>
        <w:rPr>
          <w:rFonts w:ascii="Arial" w:cs="Arial" w:eastAsia="Arial" w:hAnsi="Arial"/>
          <w:sz w:val="16"/>
          <w:szCs w:val="16"/>
          <w:color w:val="auto"/>
        </w:rPr>
      </w:pPr>
      <w:r>
        <w:rPr>
          <w:rFonts w:ascii="Arial" w:cs="Arial" w:eastAsia="Arial" w:hAnsi="Arial"/>
          <w:sz w:val="16"/>
          <w:szCs w:val="16"/>
          <w:color w:val="auto"/>
        </w:rPr>
        <w:t>purchase money obligations for property acquired in the ordinary course of business and Capital Lease Obligations that impose restrictions on the property purchased or leased of the nature described in Section 3(a)(iii);</w:t>
      </w:r>
    </w:p>
    <w:p>
      <w:pPr>
        <w:spacing w:after="0" w:line="29" w:lineRule="exact"/>
        <w:rPr>
          <w:rFonts w:ascii="Arial" w:cs="Arial" w:eastAsia="Arial" w:hAnsi="Arial"/>
          <w:sz w:val="16"/>
          <w:szCs w:val="16"/>
          <w:color w:val="auto"/>
        </w:rPr>
      </w:pPr>
    </w:p>
    <w:p>
      <w:pPr>
        <w:ind w:left="960" w:right="620" w:hanging="655"/>
        <w:spacing w:after="0" w:line="277" w:lineRule="auto"/>
        <w:tabs>
          <w:tab w:leader="none" w:pos="960" w:val="left"/>
        </w:tabs>
        <w:numPr>
          <w:ilvl w:val="0"/>
          <w:numId w:val="1174"/>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Equity Interests or property or assets of a Restricted Subsidiary that restricts distributions by that Restricted Subsidiary pending the sale or other disposition;</w:t>
      </w:r>
    </w:p>
    <w:p>
      <w:pPr>
        <w:spacing w:after="0" w:line="75" w:lineRule="exact"/>
        <w:rPr>
          <w:rFonts w:ascii="Arial" w:cs="Arial" w:eastAsia="Arial" w:hAnsi="Arial"/>
          <w:sz w:val="18"/>
          <w:szCs w:val="18"/>
          <w:color w:val="auto"/>
        </w:rPr>
      </w:pPr>
    </w:p>
    <w:p>
      <w:pPr>
        <w:ind w:left="960" w:right="340" w:hanging="655"/>
        <w:spacing w:after="0" w:line="263" w:lineRule="auto"/>
        <w:tabs>
          <w:tab w:leader="none" w:pos="960" w:val="left"/>
        </w:tabs>
        <w:numPr>
          <w:ilvl w:val="0"/>
          <w:numId w:val="1174"/>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restrictions contained in the agreements governing such Permitted Refinancing Indebtedness are not materially more restrictive, taken as a whole, than those contained in the agreements governing the Indebtedness being refinanced;</w:t>
      </w:r>
    </w:p>
    <w:p>
      <w:pPr>
        <w:spacing w:after="0" w:line="89" w:lineRule="exact"/>
        <w:rPr>
          <w:rFonts w:ascii="Arial" w:cs="Arial" w:eastAsia="Arial" w:hAnsi="Arial"/>
          <w:sz w:val="18"/>
          <w:szCs w:val="18"/>
          <w:color w:val="auto"/>
        </w:rPr>
      </w:pPr>
    </w:p>
    <w:p>
      <w:pPr>
        <w:ind w:left="960" w:right="420" w:hanging="655"/>
        <w:spacing w:after="0" w:line="277" w:lineRule="auto"/>
        <w:tabs>
          <w:tab w:leader="none" w:pos="960" w:val="left"/>
        </w:tabs>
        <w:numPr>
          <w:ilvl w:val="0"/>
          <w:numId w:val="1174"/>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Section 7 hereof that limit the right of the debtor to dispose of the assets subject to such Liens;</w:t>
      </w:r>
    </w:p>
    <w:p>
      <w:pPr>
        <w:spacing w:after="0" w:line="75" w:lineRule="exact"/>
        <w:rPr>
          <w:rFonts w:ascii="Arial" w:cs="Arial" w:eastAsia="Arial" w:hAnsi="Arial"/>
          <w:sz w:val="18"/>
          <w:szCs w:val="18"/>
          <w:color w:val="auto"/>
        </w:rPr>
      </w:pPr>
    </w:p>
    <w:p>
      <w:pPr>
        <w:ind w:left="960" w:right="60" w:hanging="655"/>
        <w:spacing w:after="0" w:line="279" w:lineRule="auto"/>
        <w:tabs>
          <w:tab w:leader="none" w:pos="960" w:val="left"/>
        </w:tabs>
        <w:numPr>
          <w:ilvl w:val="0"/>
          <w:numId w:val="1174"/>
        </w:numPr>
        <w:rPr>
          <w:rFonts w:ascii="Arial" w:cs="Arial" w:eastAsia="Arial" w:hAnsi="Arial"/>
          <w:sz w:val="17"/>
          <w:szCs w:val="17"/>
          <w:color w:val="auto"/>
        </w:rPr>
      </w:pPr>
      <w:r>
        <w:rPr>
          <w:rFonts w:ascii="Arial" w:cs="Arial" w:eastAsia="Arial" w:hAnsi="Arial"/>
          <w:sz w:val="17"/>
          <w:szCs w:val="17"/>
          <w:color w:val="auto"/>
        </w:rPr>
        <w:t>provisions limiting dividends or the disposition or distribution of assets, property or Equity Interests in joint venture or operating agreements, asset sale agreements, sale-leaseback agreements, stock sale agreements, merger agreements and other similar agreements entered into with the approval of the Company’s Board of Directors, which limitation is applicable only to the assets, property or Equity Interests that are the subject of such agreements;</w:t>
      </w:r>
    </w:p>
    <w:p>
      <w:pPr>
        <w:spacing w:after="0" w:line="76" w:lineRule="exact"/>
        <w:rPr>
          <w:rFonts w:ascii="Arial" w:cs="Arial" w:eastAsia="Arial" w:hAnsi="Arial"/>
          <w:sz w:val="17"/>
          <w:szCs w:val="17"/>
          <w:color w:val="auto"/>
        </w:rPr>
      </w:pPr>
    </w:p>
    <w:p>
      <w:pPr>
        <w:ind w:left="960" w:right="460" w:hanging="655"/>
        <w:spacing w:after="0" w:line="277" w:lineRule="auto"/>
        <w:tabs>
          <w:tab w:leader="none" w:pos="960" w:val="left"/>
        </w:tabs>
        <w:numPr>
          <w:ilvl w:val="0"/>
          <w:numId w:val="1174"/>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or suppliers under contracts entered into in the ordinary course of business; and</w:t>
      </w:r>
    </w:p>
    <w:p>
      <w:pPr>
        <w:spacing w:after="0" w:line="75" w:lineRule="exact"/>
        <w:rPr>
          <w:rFonts w:ascii="Arial" w:cs="Arial" w:eastAsia="Arial" w:hAnsi="Arial"/>
          <w:sz w:val="18"/>
          <w:szCs w:val="18"/>
          <w:color w:val="auto"/>
        </w:rPr>
      </w:pPr>
    </w:p>
    <w:p>
      <w:pPr>
        <w:ind w:left="960" w:right="160" w:hanging="655"/>
        <w:spacing w:after="0" w:line="290" w:lineRule="auto"/>
        <w:tabs>
          <w:tab w:leader="none" w:pos="960" w:val="left"/>
        </w:tabs>
        <w:numPr>
          <w:ilvl w:val="0"/>
          <w:numId w:val="1174"/>
        </w:numPr>
        <w:rPr>
          <w:rFonts w:ascii="Arial" w:cs="Arial" w:eastAsia="Arial" w:hAnsi="Arial"/>
          <w:sz w:val="16"/>
          <w:szCs w:val="16"/>
          <w:color w:val="auto"/>
        </w:rPr>
      </w:pPr>
      <w:r>
        <w:rPr>
          <w:rFonts w:ascii="Arial" w:cs="Arial" w:eastAsia="Arial" w:hAnsi="Arial"/>
          <w:sz w:val="16"/>
          <w:szCs w:val="16"/>
          <w:color w:val="auto"/>
        </w:rPr>
        <w:t xml:space="preserve">any agreement or instrument with respect to any Unrestricted Subsidiary or the property or assets of such Unrestricted Subsidiary that is designated as a Restricted Subsidiary in accordance with the terms of this Agreement at the time of such designation and not incurred in contemplation of such designation, which encumbrances or restrictions are not applicable to any Person or the property or assets of any Person other than such Subsidiary or its subsidiaries or the property or assets of such Subsidiary or its subsidiaries, and any extensions, refinancing, renewals, supplements or amendments or replacements thereof;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encumbrances and restrictions in any such extension, refinancing, renewal, supplement, amendment or replacement, taken as a whole, are no more restrictive in any material respect than those encumbrances or restrictions that are then in effect and that are being extended, refinanced, renewed, supplemented, amended or replaced.</w:t>
      </w:r>
    </w:p>
    <w:p>
      <w:pPr>
        <w:spacing w:after="0" w:line="98" w:lineRule="exact"/>
        <w:rPr>
          <w:sz w:val="20"/>
          <w:szCs w:val="20"/>
          <w:color w:val="auto"/>
        </w:rPr>
      </w:pPr>
    </w:p>
    <w:p>
      <w:pPr>
        <w:jc w:val="both"/>
        <w:ind w:left="4420"/>
        <w:spacing w:after="0"/>
        <w:tabs>
          <w:tab w:leader="none" w:pos="78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020"/>
          </w:cols>
          <w:pgMar w:left="1440" w:top="274" w:right="439" w:bottom="1440" w:gutter="0" w:footer="0" w:header="0"/>
        </w:sectPr>
      </w:pPr>
    </w:p>
    <w:bookmarkStart w:id="771" w:name="page772"/>
    <w:bookmarkEnd w:id="771"/>
    <w:p>
      <w:pPr>
        <w:ind w:left="764" w:hanging="764"/>
        <w:spacing w:after="0"/>
        <w:tabs>
          <w:tab w:leader="none" w:pos="764" w:val="left"/>
        </w:tabs>
        <w:numPr>
          <w:ilvl w:val="0"/>
          <w:numId w:val="1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on Incurrence of Indebtedness and Issuance of Disqualified Stock and Preferred Stock</w:t>
      </w:r>
    </w:p>
    <w:p>
      <w:pPr>
        <w:spacing w:after="0" w:line="130" w:lineRule="exact"/>
        <w:rPr>
          <w:rFonts w:ascii="Arial" w:cs="Arial" w:eastAsia="Arial" w:hAnsi="Arial"/>
          <w:sz w:val="18"/>
          <w:szCs w:val="18"/>
          <w:color w:val="auto"/>
        </w:rPr>
      </w:pPr>
    </w:p>
    <w:p>
      <w:pPr>
        <w:ind w:left="1304" w:right="20" w:hanging="535"/>
        <w:spacing w:after="0" w:line="288" w:lineRule="auto"/>
        <w:tabs>
          <w:tab w:leader="none" w:pos="1304" w:val="left"/>
        </w:tabs>
        <w:numPr>
          <w:ilvl w:val="1"/>
          <w:numId w:val="1175"/>
        </w:numPr>
        <w:rPr>
          <w:rFonts w:ascii="Arial" w:cs="Arial" w:eastAsia="Arial" w:hAnsi="Arial"/>
          <w:sz w:val="16"/>
          <w:szCs w:val="16"/>
          <w:color w:val="auto"/>
        </w:rPr>
      </w:pPr>
      <w:r>
        <w:rPr>
          <w:rFonts w:ascii="Arial" w:cs="Arial" w:eastAsia="Arial" w:hAnsi="Arial"/>
          <w:sz w:val="16"/>
          <w:szCs w:val="16"/>
          <w:color w:val="auto"/>
        </w:rPr>
        <w:t xml:space="preserve">The Company will not, and will not permit any of its Restricted Subsidiaries to, directly or indirectly, Incur any Indebtedness (including Acquired Indebtedness) and the Company will not issue any shares of Disqualified Stock and the Company will not, and the Company will not permit any of its Restricted Subsidiaries to issue any shares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the Company may Incur Indebtedness (including Acquired Indebtedness) or issue Disqualified Stock, and the Company or any Subsidiary Guarantor may Incur Indebtedness (including Acquired Indebtedness) or issue Preferred Stock, if the Fixed Charge Coverage Ratio of the Company for the most recently ended four full fiscal quarters for which internal financial statements are available immediately preceding the date on which such additional Indebtedness is Incurred or such Disqualified Stock or Preferred Stock is issued, as the case may be, would have been at least 2.00 to 1.00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spacing w:after="0" w:line="69" w:lineRule="exact"/>
        <w:rPr>
          <w:rFonts w:ascii="Arial" w:cs="Arial" w:eastAsia="Arial" w:hAnsi="Arial"/>
          <w:sz w:val="16"/>
          <w:szCs w:val="16"/>
          <w:color w:val="auto"/>
        </w:rPr>
      </w:pPr>
    </w:p>
    <w:p>
      <w:pPr>
        <w:ind w:left="1304" w:hanging="535"/>
        <w:spacing w:after="0"/>
        <w:tabs>
          <w:tab w:leader="none" w:pos="1304" w:val="left"/>
        </w:tabs>
        <w:numPr>
          <w:ilvl w:val="1"/>
          <w:numId w:val="1175"/>
        </w:numPr>
        <w:rPr>
          <w:rFonts w:ascii="Arial" w:cs="Arial" w:eastAsia="Arial" w:hAnsi="Arial"/>
          <w:sz w:val="18"/>
          <w:szCs w:val="18"/>
          <w:color w:val="auto"/>
        </w:rPr>
      </w:pPr>
      <w:r>
        <w:rPr>
          <w:rFonts w:ascii="Arial" w:cs="Arial" w:eastAsia="Arial" w:hAnsi="Arial"/>
          <w:sz w:val="18"/>
          <w:szCs w:val="18"/>
          <w:color w:val="auto"/>
        </w:rPr>
        <w:t>The provisions of Section 4(a) hereof do not apply to the following (collectively, “</w:t>
      </w:r>
      <w:r>
        <w:rPr>
          <w:rFonts w:ascii="Arial" w:cs="Arial" w:eastAsia="Arial" w:hAnsi="Arial"/>
          <w:sz w:val="18"/>
          <w:szCs w:val="18"/>
          <w:b w:val="1"/>
          <w:bCs w:val="1"/>
          <w:color w:val="auto"/>
        </w:rPr>
        <w:t>Permitted Debt</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64" w:right="100" w:hanging="655"/>
        <w:spacing w:after="0" w:line="271" w:lineRule="auto"/>
        <w:tabs>
          <w:tab w:leader="none" w:pos="1964" w:val="left"/>
        </w:tabs>
        <w:numPr>
          <w:ilvl w:val="2"/>
          <w:numId w:val="1175"/>
        </w:numPr>
        <w:rPr>
          <w:rFonts w:ascii="Arial" w:cs="Arial" w:eastAsia="Arial" w:hAnsi="Arial"/>
          <w:sz w:val="17"/>
          <w:szCs w:val="17"/>
          <w:color w:val="auto"/>
        </w:rPr>
      </w:pPr>
      <w:r>
        <w:rPr>
          <w:rFonts w:ascii="Arial" w:cs="Arial" w:eastAsia="Arial" w:hAnsi="Arial"/>
          <w:sz w:val="17"/>
          <w:szCs w:val="17"/>
          <w:color w:val="auto"/>
        </w:rPr>
        <w:t xml:space="preserve">the Incurrence by the Company and the Subsidiary Guarantors of Indebtedness under Credit Facilities (including the Facilities),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on the date of the Incurrence of any such Indebtedness and after giving effect thereto, the aggregate principal amount outstanding of all such Indebtedness Incurred pursuant to this clause (i) (together with any refinancing thereof) does not exceed the sum of: (A) (x) US$35.0 million plus, (y) US$100.0 million Incurred in respect of the Phase II Project: less (B), in the case of clause (i)(A)(y), the aggregate amount of all Net Proceeds of Asset Sales applied since the 2021 Amendment and Restatement Effective Date to repay any term Indebtedness Incurred pursuant to this clause (i)(A)(y) or to repay any revolving credit indebtedness Incurred under this clause (i)(A)(y) and effect a corresponding commitment reduction thereunder pursuant to Section 5 hereof;</w:t>
      </w:r>
    </w:p>
    <w:p>
      <w:pPr>
        <w:spacing w:after="0" w:line="83" w:lineRule="exact"/>
        <w:rPr>
          <w:rFonts w:ascii="Arial" w:cs="Arial" w:eastAsia="Arial" w:hAnsi="Arial"/>
          <w:sz w:val="17"/>
          <w:szCs w:val="17"/>
          <w:color w:val="auto"/>
        </w:rPr>
      </w:pPr>
    </w:p>
    <w:p>
      <w:pPr>
        <w:ind w:left="1964" w:hanging="655"/>
        <w:spacing w:after="0"/>
        <w:tabs>
          <w:tab w:leader="none" w:pos="1964" w:val="left"/>
        </w:tabs>
        <w:numPr>
          <w:ilvl w:val="2"/>
          <w:numId w:val="1175"/>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964" w:right="140" w:hanging="655"/>
        <w:spacing w:after="0" w:line="285" w:lineRule="auto"/>
        <w:tabs>
          <w:tab w:leader="none" w:pos="1964" w:val="left"/>
        </w:tabs>
        <w:numPr>
          <w:ilvl w:val="2"/>
          <w:numId w:val="1175"/>
        </w:numPr>
        <w:rPr>
          <w:rFonts w:ascii="Arial" w:cs="Arial" w:eastAsia="Arial" w:hAnsi="Arial"/>
          <w:sz w:val="16"/>
          <w:szCs w:val="16"/>
          <w:color w:val="auto"/>
        </w:rPr>
      </w:pPr>
      <w:r>
        <w:rPr>
          <w:rFonts w:ascii="Arial" w:cs="Arial" w:eastAsia="Arial" w:hAnsi="Arial"/>
          <w:sz w:val="16"/>
          <w:szCs w:val="16"/>
          <w:color w:val="auto"/>
        </w:rPr>
        <w:t>(A) the Incurrence by the Company or the Subsidiary Guarantors of Indebtedness in an aggregate principal amount at any time outstanding, including all Permitted Refinancing Indebtedness Incurred to renew, refund, refinance, replace, defease or discharge any Indebtedness Incurred pursuant to this clause (iii)(A), not to exceed the greater of (x) an amount equal to 3.5 times the EBITDA of the Company for the most recently ended four full fiscal quarters for which internal financial statements are available immediately preceding the relevant time of determination and (y) US$1,200,000,000, and</w:t>
      </w:r>
    </w:p>
    <w:p>
      <w:pPr>
        <w:spacing w:after="0" w:line="1" w:lineRule="exact"/>
        <w:rPr>
          <w:rFonts w:ascii="Arial" w:cs="Arial" w:eastAsia="Arial" w:hAnsi="Arial"/>
          <w:sz w:val="16"/>
          <w:szCs w:val="16"/>
          <w:color w:val="auto"/>
        </w:rPr>
      </w:pPr>
    </w:p>
    <w:p>
      <w:pPr>
        <w:ind w:left="1964" w:right="80"/>
        <w:spacing w:after="0" w:line="260" w:lineRule="auto"/>
        <w:rPr>
          <w:rFonts w:ascii="Arial" w:cs="Arial" w:eastAsia="Arial" w:hAnsi="Arial"/>
          <w:sz w:val="16"/>
          <w:szCs w:val="16"/>
          <w:color w:val="auto"/>
        </w:rPr>
      </w:pPr>
      <w:r>
        <w:rPr>
          <w:rFonts w:ascii="Arial" w:cs="Arial" w:eastAsia="Arial" w:hAnsi="Arial"/>
          <w:sz w:val="18"/>
          <w:szCs w:val="18"/>
          <w:color w:val="auto"/>
        </w:rPr>
        <w:t>(B) Indebtedness existing on the 2021 Amendment and Restatement Effective Date (other than the Indebtedness described in clauses (i) and (ii));</w:t>
      </w:r>
    </w:p>
    <w:p>
      <w:pPr>
        <w:spacing w:after="0" w:line="118"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72" w:name="page773"/>
    <w:bookmarkEnd w:id="772"/>
    <w:p>
      <w:pPr>
        <w:ind w:left="960" w:right="120" w:hanging="655"/>
        <w:spacing w:after="0" w:line="271" w:lineRule="auto"/>
        <w:tabs>
          <w:tab w:leader="none" w:pos="960" w:val="left"/>
        </w:tabs>
        <w:numPr>
          <w:ilvl w:val="0"/>
          <w:numId w:val="11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Incurrence of Indebtedness of the Company or any of its Restricted Subsidiaries represented by Capital Lease Obligations, mortgage financings or purchase money obligations, in each case, Incurred for the purpose of financing all or any part of the purchase price or cost of design, construction, installation or improvement of property, plant or other assets (including through the acquisition of Capital Stock of any person that owns property, plant or other assets which will, upon acquisition, become a Restricted Subsidiary) used in the business of the Company or any of its Restricted Subsidiaries, in an aggregate principal amount, including all Permitted Refinancing Indebtedness Incurred to renew, refund, refinance, replace, defease or discharge any Indebtedness Incurred pursuant to this clause (iv), not to exceed the greater of (x) US$50.0 million and (y) 2.0% of Total Assets at any time outstanding;</w:t>
      </w:r>
    </w:p>
    <w:p>
      <w:pPr>
        <w:spacing w:after="0" w:line="83" w:lineRule="exact"/>
        <w:rPr>
          <w:rFonts w:ascii="Arial" w:cs="Arial" w:eastAsia="Arial" w:hAnsi="Arial"/>
          <w:sz w:val="17"/>
          <w:szCs w:val="17"/>
          <w:color w:val="auto"/>
        </w:rPr>
      </w:pPr>
    </w:p>
    <w:p>
      <w:pPr>
        <w:ind w:left="960" w:right="140" w:hanging="655"/>
        <w:spacing w:after="0" w:line="259" w:lineRule="auto"/>
        <w:tabs>
          <w:tab w:leader="none" w:pos="960" w:val="left"/>
        </w:tabs>
        <w:numPr>
          <w:ilvl w:val="0"/>
          <w:numId w:val="117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Permitted Refinancing Indebtedness in exchange for, or the net proceeds of which are used to renew, refund, refinance, replace, defease or discharge Indebtedness (other than intercompany Indebtedness that was permitted by this Agreement to be Incurred under Section 4(a) or clauses (ii), (iii)(B), (iv), (v) or (xv) of this Section 4(b);</w:t>
      </w:r>
    </w:p>
    <w:p>
      <w:pPr>
        <w:spacing w:after="0" w:line="92" w:lineRule="exact"/>
        <w:rPr>
          <w:rFonts w:ascii="Arial" w:cs="Arial" w:eastAsia="Arial" w:hAnsi="Arial"/>
          <w:sz w:val="18"/>
          <w:szCs w:val="18"/>
          <w:color w:val="auto"/>
        </w:rPr>
      </w:pPr>
    </w:p>
    <w:p>
      <w:pPr>
        <w:ind w:left="960" w:right="80" w:hanging="655"/>
        <w:spacing w:after="0" w:line="287" w:lineRule="auto"/>
        <w:tabs>
          <w:tab w:leader="none" w:pos="960" w:val="left"/>
        </w:tabs>
        <w:numPr>
          <w:ilvl w:val="0"/>
          <w:numId w:val="1176"/>
        </w:numPr>
        <w:rPr>
          <w:rFonts w:ascii="Arial" w:cs="Arial" w:eastAsia="Arial" w:hAnsi="Arial"/>
          <w:sz w:val="16"/>
          <w:szCs w:val="16"/>
          <w:color w:val="auto"/>
        </w:rPr>
      </w:pPr>
      <w:r>
        <w:rPr>
          <w:rFonts w:ascii="Arial" w:cs="Arial" w:eastAsia="Arial" w:hAnsi="Arial"/>
          <w:sz w:val="16"/>
          <w:szCs w:val="16"/>
          <w:color w:val="auto"/>
        </w:rPr>
        <w:t>(A) Obligations in respect of workers’ compensation claims, self-insurance obligations, bankers’ acceptances, performance, bid, appeal and surety bonds and completion or performance guarantees (including the guarantee of any land grant) provided by the Company or any Restricted Subsidiary in connection with the Property or in the ordinary course of business and</w:t>
      </w:r>
    </w:p>
    <w:p>
      <w:pPr>
        <w:spacing w:after="0" w:line="2" w:lineRule="exact"/>
        <w:rPr>
          <w:rFonts w:ascii="Arial" w:cs="Arial" w:eastAsia="Arial" w:hAnsi="Arial"/>
          <w:sz w:val="16"/>
          <w:szCs w:val="16"/>
          <w:color w:val="auto"/>
        </w:rPr>
      </w:pPr>
    </w:p>
    <w:p>
      <w:pPr>
        <w:ind w:left="960" w:right="40" w:hanging="7"/>
        <w:spacing w:after="0" w:line="253" w:lineRule="auto"/>
        <w:tabs>
          <w:tab w:leader="none" w:pos="1245" w:val="left"/>
        </w:tabs>
        <w:numPr>
          <w:ilvl w:val="1"/>
          <w:numId w:val="1176"/>
        </w:numPr>
        <w:rPr>
          <w:rFonts w:ascii="Arial" w:cs="Arial" w:eastAsia="Arial" w:hAnsi="Arial"/>
          <w:sz w:val="18"/>
          <w:szCs w:val="18"/>
          <w:color w:val="auto"/>
        </w:rPr>
      </w:pPr>
      <w:r>
        <w:rPr>
          <w:rFonts w:ascii="Arial" w:cs="Arial" w:eastAsia="Arial" w:hAnsi="Arial"/>
          <w:sz w:val="18"/>
          <w:szCs w:val="18"/>
          <w:color w:val="auto"/>
        </w:rPr>
        <w:t>Indebtedness constituting reimbursement obligations with respect to letters of credit or trade or bank guarantees (including for land grants) issued in the ordinary course of business to the extent that such letters of credit, trade or bank guarantees (including for land grants) are not drawn upon or, if drawn upon, to the extent such drawing is reimbursed no later than thirty (30) days following receipt of a demand for reimbursement;</w:t>
      </w:r>
    </w:p>
    <w:p>
      <w:pPr>
        <w:spacing w:after="0" w:line="98" w:lineRule="exact"/>
        <w:rPr>
          <w:rFonts w:ascii="Arial" w:cs="Arial" w:eastAsia="Arial" w:hAnsi="Arial"/>
          <w:sz w:val="18"/>
          <w:szCs w:val="18"/>
          <w:color w:val="auto"/>
        </w:rPr>
      </w:pPr>
    </w:p>
    <w:p>
      <w:pPr>
        <w:ind w:left="960" w:right="340" w:hanging="655"/>
        <w:spacing w:after="0" w:line="277" w:lineRule="auto"/>
        <w:tabs>
          <w:tab w:leader="none" w:pos="960" w:val="left"/>
        </w:tabs>
        <w:numPr>
          <w:ilvl w:val="0"/>
          <w:numId w:val="1176"/>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intercompany Indebtedness between or among the Company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however, that:</w:t>
      </w:r>
    </w:p>
    <w:p>
      <w:pPr>
        <w:spacing w:after="0" w:line="75" w:lineRule="exact"/>
        <w:rPr>
          <w:rFonts w:ascii="Arial" w:cs="Arial" w:eastAsia="Arial" w:hAnsi="Arial"/>
          <w:sz w:val="18"/>
          <w:szCs w:val="18"/>
          <w:color w:val="auto"/>
        </w:rPr>
      </w:pPr>
    </w:p>
    <w:p>
      <w:pPr>
        <w:ind w:left="1500" w:right="40" w:hanging="533"/>
        <w:spacing w:after="0" w:line="263" w:lineRule="auto"/>
        <w:tabs>
          <w:tab w:leader="none" w:pos="1500" w:val="left"/>
        </w:tabs>
        <w:numPr>
          <w:ilvl w:val="2"/>
          <w:numId w:val="1176"/>
        </w:numPr>
        <w:rPr>
          <w:rFonts w:ascii="Arial" w:cs="Arial" w:eastAsia="Arial" w:hAnsi="Arial"/>
          <w:sz w:val="18"/>
          <w:szCs w:val="18"/>
          <w:color w:val="auto"/>
        </w:rPr>
      </w:pPr>
      <w:r>
        <w:rPr>
          <w:rFonts w:ascii="Arial" w:cs="Arial" w:eastAsia="Arial" w:hAnsi="Arial"/>
          <w:sz w:val="18"/>
          <w:szCs w:val="18"/>
          <w:color w:val="auto"/>
        </w:rPr>
        <w:t>if the Company or any Subsidiary Guarantor is the obligor on such Indebtedness and the payee is not the Company or a Subsidiary Guarantor, such Indebtedness must be expressly subordinated to the prior payment in full in cash of all of the Facilities Liabilities; and</w:t>
      </w:r>
    </w:p>
    <w:p>
      <w:pPr>
        <w:spacing w:after="0" w:line="89" w:lineRule="exact"/>
        <w:rPr>
          <w:rFonts w:ascii="Arial" w:cs="Arial" w:eastAsia="Arial" w:hAnsi="Arial"/>
          <w:sz w:val="18"/>
          <w:szCs w:val="18"/>
          <w:color w:val="auto"/>
        </w:rPr>
      </w:pPr>
    </w:p>
    <w:p>
      <w:pPr>
        <w:ind w:left="1500" w:right="20" w:hanging="533"/>
        <w:spacing w:after="0" w:line="257" w:lineRule="auto"/>
        <w:tabs>
          <w:tab w:leader="none" w:pos="1500" w:val="left"/>
        </w:tabs>
        <w:numPr>
          <w:ilvl w:val="2"/>
          <w:numId w:val="1176"/>
        </w:numPr>
        <w:rPr>
          <w:rFonts w:ascii="Arial" w:cs="Arial" w:eastAsia="Arial" w:hAnsi="Arial"/>
          <w:sz w:val="18"/>
          <w:szCs w:val="18"/>
          <w:color w:val="auto"/>
        </w:rPr>
      </w:pPr>
      <w:r>
        <w:rPr>
          <w:rFonts w:ascii="Arial" w:cs="Arial" w:eastAsia="Arial" w:hAnsi="Arial"/>
          <w:sz w:val="18"/>
          <w:szCs w:val="18"/>
          <w:color w:val="auto"/>
        </w:rPr>
        <w:t>(i) any subsequent issuance or transfer of Equity Interests that results in any such Indebtedness being held by a Person other than the Company or a Restricted Subsidiary of the Company and (ii) any sale or other transfer of any such Indebtedness to a Person that is not the Company or a Restricted Subsidiary of the Company, will be deemed, in each case, to constitute an Incurrence of such Indebtedness by the Company or such Restricted Subsidiary, as the case may be, that was not permitted by this clause (vii);</w:t>
      </w:r>
    </w:p>
    <w:p>
      <w:pPr>
        <w:spacing w:after="0" w:line="93" w:lineRule="exact"/>
        <w:rPr>
          <w:rFonts w:ascii="Arial" w:cs="Arial" w:eastAsia="Arial" w:hAnsi="Arial"/>
          <w:sz w:val="18"/>
          <w:szCs w:val="18"/>
          <w:color w:val="auto"/>
        </w:rPr>
      </w:pPr>
    </w:p>
    <w:p>
      <w:pPr>
        <w:ind w:left="960" w:right="40" w:hanging="655"/>
        <w:spacing w:after="0" w:line="277" w:lineRule="auto"/>
        <w:tabs>
          <w:tab w:leader="none" w:pos="960" w:val="left"/>
        </w:tabs>
        <w:numPr>
          <w:ilvl w:val="0"/>
          <w:numId w:val="1176"/>
        </w:numPr>
        <w:rPr>
          <w:rFonts w:ascii="Arial" w:cs="Arial" w:eastAsia="Arial" w:hAnsi="Arial"/>
          <w:sz w:val="18"/>
          <w:szCs w:val="18"/>
          <w:color w:val="auto"/>
        </w:rPr>
      </w:pPr>
      <w:r>
        <w:rPr>
          <w:rFonts w:ascii="Arial" w:cs="Arial" w:eastAsia="Arial" w:hAnsi="Arial"/>
          <w:sz w:val="18"/>
          <w:szCs w:val="18"/>
          <w:color w:val="auto"/>
        </w:rPr>
        <w:t xml:space="preserve">shares of Preferred Stock of a Restricted Subsidiary issued to the Company or another Restricted Subsidiary of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500" w:right="40" w:hanging="533"/>
        <w:spacing w:after="0" w:line="277" w:lineRule="auto"/>
        <w:tabs>
          <w:tab w:leader="none" w:pos="1500" w:val="left"/>
        </w:tabs>
        <w:numPr>
          <w:ilvl w:val="2"/>
          <w:numId w:val="1176"/>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Company or a Restricted Subsidiary of the Company; and</w:t>
      </w:r>
    </w:p>
    <w:p>
      <w:pPr>
        <w:spacing w:after="0" w:line="75" w:lineRule="exact"/>
        <w:rPr>
          <w:rFonts w:ascii="Arial" w:cs="Arial" w:eastAsia="Arial" w:hAnsi="Arial"/>
          <w:sz w:val="18"/>
          <w:szCs w:val="18"/>
          <w:color w:val="auto"/>
        </w:rPr>
      </w:pPr>
    </w:p>
    <w:p>
      <w:pPr>
        <w:ind w:left="1500" w:right="160" w:hanging="533"/>
        <w:spacing w:after="0" w:line="263" w:lineRule="auto"/>
        <w:tabs>
          <w:tab w:leader="none" w:pos="1500" w:val="left"/>
        </w:tabs>
        <w:numPr>
          <w:ilvl w:val="2"/>
          <w:numId w:val="1176"/>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the Company or a Restricted Subsidiary of the Company, will be deemed, in each case, to constitute an issuance of such Preferred Stock by such Restricted Subsidiary that was not permitted by clause (viii);</w:t>
      </w:r>
    </w:p>
    <w:p>
      <w:pPr>
        <w:spacing w:after="0" w:line="116" w:lineRule="exact"/>
        <w:rPr>
          <w:sz w:val="20"/>
          <w:szCs w:val="20"/>
          <w:color w:val="auto"/>
        </w:rPr>
      </w:pPr>
    </w:p>
    <w:p>
      <w:pPr>
        <w:jc w:val="both"/>
        <w:ind w:left="4420"/>
        <w:spacing w:after="0"/>
        <w:tabs>
          <w:tab w:leader="none" w:pos="78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020"/>
          </w:cols>
          <w:pgMar w:left="1440" w:top="274" w:right="439" w:bottom="1440" w:gutter="0" w:footer="0" w:header="0"/>
        </w:sectPr>
      </w:pPr>
    </w:p>
    <w:bookmarkStart w:id="773" w:name="page774"/>
    <w:bookmarkEnd w:id="773"/>
    <w:p>
      <w:pPr>
        <w:ind w:left="960" w:right="20" w:hanging="655"/>
        <w:spacing w:after="0" w:line="342" w:lineRule="auto"/>
        <w:tabs>
          <w:tab w:leader="none" w:pos="960" w:val="left"/>
        </w:tabs>
        <w:numPr>
          <w:ilvl w:val="0"/>
          <w:numId w:val="1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Clause 23.13 (</w:t>
      </w:r>
      <w:r>
        <w:rPr>
          <w:rFonts w:ascii="Arial" w:cs="Arial" w:eastAsia="Arial" w:hAnsi="Arial"/>
          <w:sz w:val="16"/>
          <w:szCs w:val="16"/>
          <w:i w:val="1"/>
          <w:iCs w:val="1"/>
          <w:color w:val="auto"/>
        </w:rPr>
        <w:t>Hedging and Treasury Transactions</w:t>
      </w:r>
      <w:r>
        <w:rPr>
          <w:rFonts w:ascii="Arial" w:cs="Arial" w:eastAsia="Arial" w:hAnsi="Arial"/>
          <w:sz w:val="16"/>
          <w:szCs w:val="16"/>
          <w:color w:val="auto"/>
        </w:rPr>
        <w:t>) of this Agreement, the Incurrence by the Company or any of its Restricted Subsidiaries of Hedging Obligations in the ordinary course of business and not for speculative purposes;</w:t>
      </w:r>
    </w:p>
    <w:p>
      <w:pPr>
        <w:spacing w:after="0" w:line="29" w:lineRule="exact"/>
        <w:rPr>
          <w:rFonts w:ascii="Arial" w:cs="Arial" w:eastAsia="Arial" w:hAnsi="Arial"/>
          <w:sz w:val="16"/>
          <w:szCs w:val="16"/>
          <w:color w:val="auto"/>
        </w:rPr>
      </w:pPr>
    </w:p>
    <w:p>
      <w:pPr>
        <w:ind w:left="960" w:right="100" w:hanging="655"/>
        <w:spacing w:after="0" w:line="279" w:lineRule="auto"/>
        <w:tabs>
          <w:tab w:leader="none" w:pos="960" w:val="left"/>
        </w:tabs>
        <w:numPr>
          <w:ilvl w:val="0"/>
          <w:numId w:val="1177"/>
        </w:numPr>
        <w:rPr>
          <w:rFonts w:ascii="Arial" w:cs="Arial" w:eastAsia="Arial" w:hAnsi="Arial"/>
          <w:sz w:val="17"/>
          <w:szCs w:val="17"/>
          <w:color w:val="auto"/>
        </w:rPr>
      </w:pPr>
      <w:r>
        <w:rPr>
          <w:rFonts w:ascii="Arial" w:cs="Arial" w:eastAsia="Arial" w:hAnsi="Arial"/>
          <w:sz w:val="17"/>
          <w:szCs w:val="17"/>
          <w:color w:val="auto"/>
        </w:rPr>
        <w:t xml:space="preserve">the guarantee by the Company or any Restricted Subsidiary of the Company of Indebtedness of the Company or a Restricted Subsidiary of the Company that was permitted to be Incurred by another provision of this Section 4;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 Indebtedness being guaranteed is subordinated to or pari passu with the Facilities Liabilities, then the guarantee shall be subordinated or pari passu, as applicable, to the same extent as the Indebtedness guaranteed;</w:t>
      </w:r>
    </w:p>
    <w:p>
      <w:pPr>
        <w:spacing w:after="0" w:line="76" w:lineRule="exact"/>
        <w:rPr>
          <w:rFonts w:ascii="Arial" w:cs="Arial" w:eastAsia="Arial" w:hAnsi="Arial"/>
          <w:sz w:val="17"/>
          <w:szCs w:val="17"/>
          <w:color w:val="auto"/>
        </w:rPr>
      </w:pPr>
    </w:p>
    <w:p>
      <w:pPr>
        <w:ind w:left="960" w:right="80" w:hanging="655"/>
        <w:spacing w:after="0" w:line="263" w:lineRule="auto"/>
        <w:tabs>
          <w:tab w:leader="none" w:pos="960" w:val="left"/>
        </w:tabs>
        <w:numPr>
          <w:ilvl w:val="0"/>
          <w:numId w:val="1177"/>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inadvertently drawn against insufficient funds, so long as such Indebtedness is extinguished within five (5) Business Days of its Incurrence;</w:t>
      </w:r>
    </w:p>
    <w:p>
      <w:pPr>
        <w:spacing w:after="0" w:line="89" w:lineRule="exact"/>
        <w:rPr>
          <w:rFonts w:ascii="Arial" w:cs="Arial" w:eastAsia="Arial" w:hAnsi="Arial"/>
          <w:sz w:val="18"/>
          <w:szCs w:val="18"/>
          <w:color w:val="auto"/>
        </w:rPr>
      </w:pPr>
    </w:p>
    <w:p>
      <w:pPr>
        <w:ind w:left="960" w:right="40" w:hanging="655"/>
        <w:spacing w:after="0" w:line="257" w:lineRule="auto"/>
        <w:tabs>
          <w:tab w:leader="none" w:pos="960" w:val="left"/>
        </w:tabs>
        <w:numPr>
          <w:ilvl w:val="0"/>
          <w:numId w:val="1177"/>
        </w:numPr>
        <w:rPr>
          <w:rFonts w:ascii="Arial" w:cs="Arial" w:eastAsia="Arial" w:hAnsi="Arial"/>
          <w:sz w:val="18"/>
          <w:szCs w:val="18"/>
          <w:color w:val="auto"/>
        </w:rPr>
      </w:pPr>
      <w:r>
        <w:rPr>
          <w:rFonts w:ascii="Arial" w:cs="Arial" w:eastAsia="Arial" w:hAnsi="Arial"/>
          <w:sz w:val="18"/>
          <w:szCs w:val="18"/>
          <w:color w:val="auto"/>
        </w:rPr>
        <w:t xml:space="preserve">to the extent constituting Indebtedness, agreements to pay service fees to professionals (including architects, engineers, contractors and designers) in furtherance of and/or in connection with the Property or agreements to pay fees and expenses or other amounts pursuant to the Services and Right to Use Agreement or the MSA or otherwise arising under the Services and Right to Use Agreement or the MSA in the ordinary course of business;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such agreements shall give rise to Indebtedness for borrowed money;</w:t>
      </w:r>
    </w:p>
    <w:p>
      <w:pPr>
        <w:spacing w:after="0" w:line="93" w:lineRule="exact"/>
        <w:rPr>
          <w:rFonts w:ascii="Arial" w:cs="Arial" w:eastAsia="Arial" w:hAnsi="Arial"/>
          <w:sz w:val="18"/>
          <w:szCs w:val="18"/>
          <w:color w:val="auto"/>
        </w:rPr>
      </w:pPr>
    </w:p>
    <w:p>
      <w:pPr>
        <w:ind w:left="960" w:right="60" w:hanging="655"/>
        <w:spacing w:after="0" w:line="272" w:lineRule="auto"/>
        <w:tabs>
          <w:tab w:leader="none" w:pos="960" w:val="left"/>
        </w:tabs>
        <w:numPr>
          <w:ilvl w:val="0"/>
          <w:numId w:val="1177"/>
        </w:numPr>
        <w:rPr>
          <w:rFonts w:ascii="Arial" w:cs="Arial" w:eastAsia="Arial" w:hAnsi="Arial"/>
          <w:sz w:val="17"/>
          <w:szCs w:val="17"/>
          <w:color w:val="auto"/>
        </w:rPr>
      </w:pPr>
      <w:r>
        <w:rPr>
          <w:rFonts w:ascii="Arial" w:cs="Arial" w:eastAsia="Arial" w:hAnsi="Arial"/>
          <w:sz w:val="17"/>
          <w:szCs w:val="17"/>
          <w:color w:val="auto"/>
        </w:rPr>
        <w:t xml:space="preserve">Indebtedness arising from agreements providing for indemnification, adjustment of purchase price or similar obligations, or from guarantees or letters of credit, surety bonds, or performance bonds securing any obligation of the Company or any Restricted Subsidiary of the Company pursuant to such agreements, in each case, incurred or assumed in connection with the acquisition or disposition of any business, assets or Capital Stock of a Restricted Subsidiary, other than guarantees of Indebtedness incurred by any Person acquiring all or any portion of such business, assets or Subsidiary for the purpose of financing such acquisition;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maximum aggregate liability in respect of all such Indebtedness shall at no time exceed the gross proceeds actually received in connection with such disposition;</w:t>
      </w:r>
    </w:p>
    <w:p>
      <w:pPr>
        <w:spacing w:after="0" w:line="82" w:lineRule="exact"/>
        <w:rPr>
          <w:rFonts w:ascii="Arial" w:cs="Arial" w:eastAsia="Arial" w:hAnsi="Arial"/>
          <w:sz w:val="17"/>
          <w:szCs w:val="17"/>
          <w:color w:val="auto"/>
        </w:rPr>
      </w:pPr>
    </w:p>
    <w:p>
      <w:pPr>
        <w:ind w:left="960" w:hanging="655"/>
        <w:spacing w:after="0"/>
        <w:tabs>
          <w:tab w:leader="none" w:pos="960" w:val="left"/>
        </w:tabs>
        <w:numPr>
          <w:ilvl w:val="0"/>
          <w:numId w:val="1177"/>
        </w:numPr>
        <w:rPr>
          <w:rFonts w:ascii="Arial" w:cs="Arial" w:eastAsia="Arial" w:hAnsi="Arial"/>
          <w:sz w:val="18"/>
          <w:szCs w:val="18"/>
          <w:color w:val="auto"/>
        </w:rPr>
      </w:pPr>
      <w:r>
        <w:rPr>
          <w:rFonts w:ascii="Arial" w:cs="Arial" w:eastAsia="Arial" w:hAnsi="Arial"/>
          <w:sz w:val="18"/>
          <w:szCs w:val="18"/>
          <w:color w:val="auto"/>
        </w:rPr>
        <w:t>Obligations in respect of Shareholder Subordinated Debt;</w:t>
      </w:r>
    </w:p>
    <w:p>
      <w:pPr>
        <w:spacing w:after="0" w:line="130" w:lineRule="exact"/>
        <w:rPr>
          <w:rFonts w:ascii="Arial" w:cs="Arial" w:eastAsia="Arial" w:hAnsi="Arial"/>
          <w:sz w:val="18"/>
          <w:szCs w:val="18"/>
          <w:color w:val="auto"/>
        </w:rPr>
      </w:pPr>
    </w:p>
    <w:p>
      <w:pPr>
        <w:jc w:val="both"/>
        <w:ind w:left="960" w:right="200" w:hanging="655"/>
        <w:spacing w:after="0" w:line="263" w:lineRule="auto"/>
        <w:tabs>
          <w:tab w:leader="none" w:pos="960" w:val="left"/>
        </w:tabs>
        <w:numPr>
          <w:ilvl w:val="0"/>
          <w:numId w:val="1177"/>
        </w:numPr>
        <w:rPr>
          <w:rFonts w:ascii="Arial" w:cs="Arial" w:eastAsia="Arial" w:hAnsi="Arial"/>
          <w:sz w:val="18"/>
          <w:szCs w:val="18"/>
          <w:color w:val="auto"/>
        </w:rPr>
      </w:pPr>
      <w:r>
        <w:rPr>
          <w:rFonts w:ascii="Arial" w:cs="Arial" w:eastAsia="Arial" w:hAnsi="Arial"/>
          <w:sz w:val="18"/>
          <w:szCs w:val="18"/>
          <w:color w:val="auto"/>
        </w:rPr>
        <w:t>any guarantees made solely in connection with (and limited in scope to) the giving of a Lien of the type specified in clause (22) of “Permitted Liens” to secure Indebtedness of an Unrestricted Subsidiary, the only recourse of which to the Company and its Restricted Subsidiaries is to the Equity Interests subject to the Liens;</w:t>
      </w:r>
    </w:p>
    <w:p>
      <w:pPr>
        <w:spacing w:after="0" w:line="89" w:lineRule="exact"/>
        <w:rPr>
          <w:rFonts w:ascii="Arial" w:cs="Arial" w:eastAsia="Arial" w:hAnsi="Arial"/>
          <w:sz w:val="18"/>
          <w:szCs w:val="18"/>
          <w:color w:val="auto"/>
        </w:rPr>
      </w:pPr>
    </w:p>
    <w:p>
      <w:pPr>
        <w:ind w:left="960" w:right="60" w:hanging="655"/>
        <w:spacing w:after="0" w:line="259" w:lineRule="auto"/>
        <w:tabs>
          <w:tab w:leader="none" w:pos="960" w:val="left"/>
        </w:tabs>
        <w:numPr>
          <w:ilvl w:val="0"/>
          <w:numId w:val="1177"/>
        </w:numPr>
        <w:rPr>
          <w:rFonts w:ascii="Arial" w:cs="Arial" w:eastAsia="Arial" w:hAnsi="Arial"/>
          <w:sz w:val="18"/>
          <w:szCs w:val="18"/>
          <w:color w:val="auto"/>
        </w:rPr>
      </w:pPr>
      <w:r>
        <w:rPr>
          <w:rFonts w:ascii="Arial" w:cs="Arial" w:eastAsia="Arial" w:hAnsi="Arial"/>
          <w:sz w:val="18"/>
          <w:szCs w:val="18"/>
          <w:color w:val="auto"/>
        </w:rPr>
        <w:t>the Incurrence by the Company or the Subsidiary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(xvi), not to exceed US$50.0 million; and</w:t>
      </w:r>
    </w:p>
    <w:p>
      <w:pPr>
        <w:spacing w:after="0" w:line="119" w:lineRule="exact"/>
        <w:rPr>
          <w:sz w:val="20"/>
          <w:szCs w:val="20"/>
          <w:color w:val="auto"/>
        </w:rPr>
      </w:pPr>
    </w:p>
    <w:p>
      <w:pPr>
        <w:jc w:val="both"/>
        <w:ind w:left="4420"/>
        <w:spacing w:after="0"/>
        <w:tabs>
          <w:tab w:leader="none" w:pos="784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020"/>
          </w:cols>
          <w:pgMar w:left="1440" w:top="274" w:right="439" w:bottom="1440" w:gutter="0" w:footer="0" w:header="0"/>
        </w:sectPr>
      </w:pPr>
    </w:p>
    <w:bookmarkStart w:id="774" w:name="page775"/>
    <w:bookmarkEnd w:id="774"/>
    <w:p>
      <w:pPr>
        <w:ind w:left="1200" w:right="40" w:hanging="655"/>
        <w:spacing w:after="0" w:line="255" w:lineRule="auto"/>
        <w:tabs>
          <w:tab w:leader="none" w:pos="1200" w:val="left"/>
        </w:tabs>
        <w:numPr>
          <w:ilvl w:val="1"/>
          <w:numId w:val="1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Incurrence by the Company or the Subsidiary Guarantors of additional Indebtedness in respect of the Phase II Project in an aggregate principal amount (or accreted value, as applicable) at any time outstanding, including all Permitted Refinancing Indebtedness Incurred to renew, refund, refinance, replace, defease or discharge any Indebtedness Incurred pursuant to this clause (xvii), not to exceed the greater of (x) 75% of the EBITDA of the Company for the most recently ended four full fiscal quarters for which internal financial statements are available (which figure shall be based on audited financial information, if for an annual period) and (y) US$350.0 million.</w:t>
      </w:r>
    </w:p>
    <w:p>
      <w:pPr>
        <w:spacing w:after="0" w:line="97" w:lineRule="exact"/>
        <w:rPr>
          <w:rFonts w:ascii="Arial" w:cs="Arial" w:eastAsia="Arial" w:hAnsi="Arial"/>
          <w:sz w:val="18"/>
          <w:szCs w:val="18"/>
          <w:color w:val="auto"/>
        </w:rPr>
      </w:pPr>
    </w:p>
    <w:p>
      <w:pPr>
        <w:ind w:left="540" w:right="80" w:hanging="535"/>
        <w:spacing w:after="0" w:line="255" w:lineRule="auto"/>
        <w:tabs>
          <w:tab w:leader="none" w:pos="540" w:val="left"/>
        </w:tabs>
        <w:numPr>
          <w:ilvl w:val="0"/>
          <w:numId w:val="1179"/>
        </w:numPr>
        <w:rPr>
          <w:rFonts w:ascii="Arial" w:cs="Arial" w:eastAsia="Arial" w:hAnsi="Arial"/>
          <w:sz w:val="18"/>
          <w:szCs w:val="18"/>
          <w:color w:val="auto"/>
        </w:rPr>
      </w:pPr>
      <w:r>
        <w:rPr>
          <w:rFonts w:ascii="Arial" w:cs="Arial" w:eastAsia="Arial" w:hAnsi="Arial"/>
          <w:sz w:val="18"/>
          <w:szCs w:val="18"/>
          <w:color w:val="auto"/>
        </w:rPr>
        <w:t xml:space="preserve">The Company will not Incur, and will not permit any Subsidiary Guarantor to Incur, any Indebtedness (including Permitted Debt) that is contractually subordinated in right of payment to any other Indebtedness of the Company or such Subsidiary Guarantor unless such Indebtedness is also contractually subordinated in right of payment to the Facilities Liabilities on substantially identical terms; </w:t>
      </w:r>
      <w:r>
        <w:rPr>
          <w:rFonts w:ascii="Arial" w:cs="Arial" w:eastAsia="Arial" w:hAnsi="Arial"/>
          <w:sz w:val="18"/>
          <w:szCs w:val="18"/>
          <w:i w:val="1"/>
          <w:iCs w:val="1"/>
          <w:color w:val="auto"/>
        </w:rPr>
        <w:t>provided</w:t>
      </w:r>
      <w:r>
        <w:rPr>
          <w:rFonts w:ascii="Arial" w:cs="Arial" w:eastAsia="Arial" w:hAnsi="Arial"/>
          <w:sz w:val="18"/>
          <w:szCs w:val="18"/>
          <w:color w:val="auto"/>
        </w:rPr>
        <w:t>, however, that no Indebtedness will be deemed to be contractually subordinated in right of payment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of the Company or any Subsidiary Guarantor solely by virtue of being unsecured or by virtue of being secured on a first or junior Lien basis.</w:t>
      </w:r>
    </w:p>
    <w:p>
      <w:pPr>
        <w:spacing w:after="0" w:line="97" w:lineRule="exact"/>
        <w:rPr>
          <w:rFonts w:ascii="Arial" w:cs="Arial" w:eastAsia="Arial" w:hAnsi="Arial"/>
          <w:sz w:val="18"/>
          <w:szCs w:val="18"/>
          <w:color w:val="auto"/>
        </w:rPr>
      </w:pPr>
    </w:p>
    <w:p>
      <w:pPr>
        <w:ind w:left="540" w:right="20" w:hanging="535"/>
        <w:spacing w:after="0" w:line="286" w:lineRule="auto"/>
        <w:tabs>
          <w:tab w:leader="none" w:pos="540" w:val="left"/>
        </w:tabs>
        <w:numPr>
          <w:ilvl w:val="0"/>
          <w:numId w:val="1179"/>
        </w:numPr>
        <w:rPr>
          <w:rFonts w:ascii="Arial" w:cs="Arial" w:eastAsia="Arial" w:hAnsi="Arial"/>
          <w:sz w:val="16"/>
          <w:szCs w:val="16"/>
          <w:color w:val="auto"/>
        </w:rPr>
      </w:pPr>
      <w:r>
        <w:rPr>
          <w:rFonts w:ascii="Arial" w:cs="Arial" w:eastAsia="Arial" w:hAnsi="Arial"/>
          <w:sz w:val="16"/>
          <w:szCs w:val="16"/>
          <w:color w:val="auto"/>
        </w:rPr>
        <w:t xml:space="preserve">For purposes of determining compliance with this Section 4, in the event that an item of proposed Indebtedness meets the criteria of more than one of the categories of Permitted Debt described in clauses (b)(i) through (xvii) above, or is entitled to be Incurred pursuant to clause (a) above, the Company will be permitted to classify such item of Indebtedness on the date of its Incurrence, or later reclassify all or a portion of such item of Indebtedness, in any manner that complies with this Section 4. Indebtedness incurred under the Facilities will be deemed to have been incurred in reliance on the exception set out in (A)(x) of clause (b)(i) above and may not be reclassified.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 </w:t>
      </w:r>
      <w:r>
        <w:rPr>
          <w:rFonts w:ascii="Arial" w:cs="Arial" w:eastAsia="Arial" w:hAnsi="Arial"/>
          <w:sz w:val="16"/>
          <w:szCs w:val="16"/>
          <w:i w:val="1"/>
          <w:iCs w:val="1"/>
          <w:color w:val="auto"/>
        </w:rPr>
        <w:t>provided</w:t>
      </w:r>
      <w:r>
        <w:rPr>
          <w:rFonts w:ascii="Arial" w:cs="Arial" w:eastAsia="Arial" w:hAnsi="Arial"/>
          <w:sz w:val="16"/>
          <w:szCs w:val="16"/>
          <w:color w:val="auto"/>
        </w:rPr>
        <w:t>, in each such case, that the amount of any such accrual, accretion or payment is included in Fixed Charges of the Company as accrued. Notwithstanding any other provision of this Section 4, the maximum amount of Indebtedness that the Company or any Restricted Subsidiary of the Company may Incur pursuant to this Section 4 shall not be deemed to be exceeded solely as a result of fluctuations in exchange rates or currency values.</w:t>
      </w:r>
    </w:p>
    <w:p>
      <w:pPr>
        <w:spacing w:after="0" w:line="79" w:lineRule="exact"/>
        <w:rPr>
          <w:rFonts w:ascii="Arial" w:cs="Arial" w:eastAsia="Arial" w:hAnsi="Arial"/>
          <w:sz w:val="16"/>
          <w:szCs w:val="16"/>
          <w:color w:val="auto"/>
        </w:rPr>
      </w:pPr>
    </w:p>
    <w:p>
      <w:pPr>
        <w:ind w:left="540" w:right="160" w:hanging="535"/>
        <w:spacing w:after="0" w:line="259" w:lineRule="auto"/>
        <w:tabs>
          <w:tab w:leader="none" w:pos="540" w:val="left"/>
        </w:tabs>
        <w:numPr>
          <w:ilvl w:val="0"/>
          <w:numId w:val="1179"/>
        </w:numPr>
        <w:rPr>
          <w:rFonts w:ascii="Arial" w:cs="Arial" w:eastAsia="Arial" w:hAnsi="Arial"/>
          <w:sz w:val="18"/>
          <w:szCs w:val="18"/>
          <w:color w:val="auto"/>
        </w:rPr>
      </w:pPr>
      <w:r>
        <w:rPr>
          <w:rFonts w:ascii="Arial" w:cs="Arial" w:eastAsia="Arial" w:hAnsi="Arial"/>
          <w:sz w:val="18"/>
          <w:szCs w:val="18"/>
          <w:color w:val="auto"/>
        </w:rPr>
        <w:t>Further, for purposes of determining compliance with this covenant, to the extent the Company or any of its Restricted Subsidiaries guarantees Indebtedness of a direct or indirect parent entity to the extent otherwise permitted by this covenant, the on-loan by such direct or indirect parent entity to the Company or any of its Restricted Subsidiaries of all or a portion of the principal amount of such Indebtedness will not be double counted.</w:t>
      </w:r>
    </w:p>
    <w:p>
      <w:pPr>
        <w:spacing w:after="0" w:line="92" w:lineRule="exact"/>
        <w:rPr>
          <w:rFonts w:ascii="Arial" w:cs="Arial" w:eastAsia="Arial" w:hAnsi="Arial"/>
          <w:sz w:val="18"/>
          <w:szCs w:val="18"/>
          <w:color w:val="auto"/>
        </w:rPr>
      </w:pPr>
    </w:p>
    <w:p>
      <w:pPr>
        <w:ind w:left="540" w:hanging="535"/>
        <w:spacing w:after="0"/>
        <w:tabs>
          <w:tab w:leader="none" w:pos="540" w:val="left"/>
        </w:tabs>
        <w:numPr>
          <w:ilvl w:val="0"/>
          <w:numId w:val="1179"/>
        </w:numPr>
        <w:rPr>
          <w:rFonts w:ascii="Arial" w:cs="Arial" w:eastAsia="Arial" w:hAnsi="Arial"/>
          <w:sz w:val="18"/>
          <w:szCs w:val="18"/>
          <w:color w:val="auto"/>
        </w:rPr>
      </w:pPr>
      <w:r>
        <w:rPr>
          <w:rFonts w:ascii="Arial" w:cs="Arial" w:eastAsia="Arial" w:hAnsi="Arial"/>
          <w:sz w:val="18"/>
          <w:szCs w:val="18"/>
          <w:color w:val="auto"/>
        </w:rPr>
        <w:t>The amount of any Indebtedness outstanding as of any date will be:</w:t>
      </w:r>
    </w:p>
    <w:p>
      <w:pPr>
        <w:spacing w:after="0" w:line="130" w:lineRule="exact"/>
        <w:rPr>
          <w:rFonts w:ascii="Arial" w:cs="Arial" w:eastAsia="Arial" w:hAnsi="Arial"/>
          <w:sz w:val="18"/>
          <w:szCs w:val="18"/>
          <w:color w:val="auto"/>
        </w:rPr>
      </w:pPr>
    </w:p>
    <w:p>
      <w:pPr>
        <w:ind w:left="1200" w:hanging="655"/>
        <w:spacing w:after="0"/>
        <w:tabs>
          <w:tab w:leader="none" w:pos="1200" w:val="left"/>
        </w:tabs>
        <w:numPr>
          <w:ilvl w:val="1"/>
          <w:numId w:val="1179"/>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30" w:lineRule="exact"/>
        <w:rPr>
          <w:rFonts w:ascii="Arial" w:cs="Arial" w:eastAsia="Arial" w:hAnsi="Arial"/>
          <w:sz w:val="18"/>
          <w:szCs w:val="18"/>
          <w:color w:val="auto"/>
        </w:rPr>
      </w:pPr>
    </w:p>
    <w:p>
      <w:pPr>
        <w:ind w:left="1200" w:hanging="655"/>
        <w:spacing w:after="0"/>
        <w:tabs>
          <w:tab w:leader="none" w:pos="1200" w:val="left"/>
        </w:tabs>
        <w:numPr>
          <w:ilvl w:val="1"/>
          <w:numId w:val="1179"/>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58" w:lineRule="exact"/>
        <w:rPr>
          <w:sz w:val="20"/>
          <w:szCs w:val="20"/>
          <w:color w:val="auto"/>
        </w:rPr>
      </w:pPr>
    </w:p>
    <w:p>
      <w:pPr>
        <w:jc w:val="both"/>
        <w:ind w:left="4660"/>
        <w:spacing w:after="0"/>
        <w:tabs>
          <w:tab w:leader="none" w:pos="808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75" w:name="page776"/>
    <w:bookmarkEnd w:id="775"/>
    <w:p>
      <w:pPr>
        <w:ind w:left="1964" w:hanging="655"/>
        <w:spacing w:after="0"/>
        <w:tabs>
          <w:tab w:leader="none" w:pos="1964" w:val="left"/>
        </w:tabs>
        <w:numPr>
          <w:ilvl w:val="2"/>
          <w:numId w:val="11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respect of Indebtedness of another Person secured by a Lien on the assets of the specified Person, the lesser of:</w:t>
      </w:r>
    </w:p>
    <w:p>
      <w:pPr>
        <w:spacing w:after="0" w:line="142" w:lineRule="exact"/>
        <w:rPr>
          <w:rFonts w:ascii="Arial" w:cs="Arial" w:eastAsia="Arial" w:hAnsi="Arial"/>
          <w:sz w:val="17"/>
          <w:szCs w:val="17"/>
          <w:color w:val="auto"/>
        </w:rPr>
      </w:pPr>
    </w:p>
    <w:p>
      <w:pPr>
        <w:ind w:left="2504" w:hanging="533"/>
        <w:spacing w:after="0"/>
        <w:tabs>
          <w:tab w:leader="none" w:pos="2504" w:val="left"/>
        </w:tabs>
        <w:numPr>
          <w:ilvl w:val="3"/>
          <w:numId w:val="1180"/>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30" w:lineRule="exact"/>
        <w:rPr>
          <w:rFonts w:ascii="Arial" w:cs="Arial" w:eastAsia="Arial" w:hAnsi="Arial"/>
          <w:sz w:val="18"/>
          <w:szCs w:val="18"/>
          <w:color w:val="auto"/>
        </w:rPr>
      </w:pPr>
    </w:p>
    <w:p>
      <w:pPr>
        <w:ind w:left="2504" w:hanging="533"/>
        <w:spacing w:after="0"/>
        <w:tabs>
          <w:tab w:leader="none" w:pos="2504" w:val="left"/>
        </w:tabs>
        <w:numPr>
          <w:ilvl w:val="3"/>
          <w:numId w:val="1180"/>
        </w:numPr>
        <w:rPr>
          <w:rFonts w:ascii="Arial" w:cs="Arial" w:eastAsia="Arial" w:hAnsi="Arial"/>
          <w:sz w:val="18"/>
          <w:szCs w:val="18"/>
          <w:color w:val="auto"/>
        </w:rPr>
      </w:pPr>
      <w:r>
        <w:rPr>
          <w:rFonts w:ascii="Arial" w:cs="Arial" w:eastAsia="Arial" w:hAnsi="Arial"/>
          <w:sz w:val="18"/>
          <w:szCs w:val="18"/>
          <w:color w:val="auto"/>
        </w:rPr>
        <w:t>the face amount of the Indebtedness of the other Person.</w:t>
      </w:r>
    </w:p>
    <w:p>
      <w:pPr>
        <w:spacing w:after="0" w:line="373" w:lineRule="exact"/>
        <w:rPr>
          <w:rFonts w:ascii="Arial" w:cs="Arial" w:eastAsia="Arial" w:hAnsi="Arial"/>
          <w:sz w:val="18"/>
          <w:szCs w:val="18"/>
          <w:color w:val="auto"/>
        </w:rPr>
      </w:pPr>
    </w:p>
    <w:p>
      <w:pPr>
        <w:ind w:left="764" w:hanging="764"/>
        <w:spacing w:after="0"/>
        <w:tabs>
          <w:tab w:leader="none" w:pos="764" w:val="left"/>
        </w:tabs>
        <w:numPr>
          <w:ilvl w:val="0"/>
          <w:numId w:val="1181"/>
        </w:numPr>
        <w:rPr>
          <w:rFonts w:ascii="Arial" w:cs="Arial" w:eastAsia="Arial" w:hAnsi="Arial"/>
          <w:sz w:val="18"/>
          <w:szCs w:val="18"/>
          <w:color w:val="auto"/>
        </w:rPr>
      </w:pPr>
      <w:r>
        <w:rPr>
          <w:rFonts w:ascii="Arial" w:cs="Arial" w:eastAsia="Arial" w:hAnsi="Arial"/>
          <w:sz w:val="18"/>
          <w:szCs w:val="18"/>
          <w:color w:val="auto"/>
        </w:rPr>
        <w:t>Asset Sales</w:t>
      </w:r>
    </w:p>
    <w:p>
      <w:pPr>
        <w:spacing w:after="0" w:line="130" w:lineRule="exact"/>
        <w:rPr>
          <w:rFonts w:ascii="Arial" w:cs="Arial" w:eastAsia="Arial" w:hAnsi="Arial"/>
          <w:sz w:val="18"/>
          <w:szCs w:val="18"/>
          <w:color w:val="auto"/>
        </w:rPr>
      </w:pPr>
    </w:p>
    <w:p>
      <w:pPr>
        <w:ind w:left="1304" w:right="180" w:hanging="535"/>
        <w:spacing w:after="0" w:line="277" w:lineRule="auto"/>
        <w:tabs>
          <w:tab w:leader="none" w:pos="1304" w:val="left"/>
        </w:tabs>
        <w:numPr>
          <w:ilvl w:val="1"/>
          <w:numId w:val="1181"/>
        </w:numPr>
        <w:rPr>
          <w:rFonts w:ascii="Arial" w:cs="Arial" w:eastAsia="Arial" w:hAnsi="Arial"/>
          <w:sz w:val="18"/>
          <w:szCs w:val="18"/>
          <w:color w:val="auto"/>
        </w:rPr>
      </w:pPr>
      <w:r>
        <w:rPr>
          <w:rFonts w:ascii="Arial" w:cs="Arial" w:eastAsia="Arial" w:hAnsi="Arial"/>
          <w:sz w:val="18"/>
          <w:szCs w:val="18"/>
          <w:color w:val="auto"/>
        </w:rPr>
        <w:t>The Company will not, and the Company will not permit any of its Restricted Subsidiaries to, consummate an Asset Sale (other than an Event of Loss), unless:</w:t>
      </w:r>
    </w:p>
    <w:p>
      <w:pPr>
        <w:spacing w:after="0" w:line="75" w:lineRule="exact"/>
        <w:rPr>
          <w:rFonts w:ascii="Arial" w:cs="Arial" w:eastAsia="Arial" w:hAnsi="Arial"/>
          <w:sz w:val="18"/>
          <w:szCs w:val="18"/>
          <w:color w:val="auto"/>
        </w:rPr>
      </w:pPr>
    </w:p>
    <w:p>
      <w:pPr>
        <w:ind w:left="1964" w:right="220" w:hanging="655"/>
        <w:spacing w:after="0" w:line="308" w:lineRule="auto"/>
        <w:tabs>
          <w:tab w:leader="none" w:pos="1964" w:val="left"/>
        </w:tabs>
        <w:numPr>
          <w:ilvl w:val="2"/>
          <w:numId w:val="1181"/>
        </w:numPr>
        <w:rPr>
          <w:rFonts w:ascii="Arial" w:cs="Arial" w:eastAsia="Arial" w:hAnsi="Arial"/>
          <w:sz w:val="17"/>
          <w:szCs w:val="17"/>
          <w:color w:val="auto"/>
        </w:rPr>
      </w:pPr>
      <w:r>
        <w:rPr>
          <w:rFonts w:ascii="Arial" w:cs="Arial" w:eastAsia="Arial" w:hAnsi="Arial"/>
          <w:sz w:val="17"/>
          <w:szCs w:val="17"/>
          <w:color w:val="auto"/>
        </w:rPr>
        <w:t>the Company or the Restricted Subsidiary, as the case may be, receives consideration at the time of such Asset Sale at least equal to the Fair Market Value of the assets or Equity Interests issued or sold or otherwise disposed of; and</w:t>
      </w:r>
    </w:p>
    <w:p>
      <w:pPr>
        <w:spacing w:after="0" w:line="52" w:lineRule="exact"/>
        <w:rPr>
          <w:sz w:val="20"/>
          <w:szCs w:val="20"/>
          <w:color w:val="auto"/>
        </w:rPr>
      </w:pPr>
    </w:p>
    <w:p>
      <w:pPr>
        <w:ind w:left="1964" w:right="220" w:hanging="655"/>
        <w:spacing w:after="0" w:line="277" w:lineRule="auto"/>
        <w:tabs>
          <w:tab w:leader="none" w:pos="1964" w:val="left"/>
        </w:tabs>
        <w:numPr>
          <w:ilvl w:val="1"/>
          <w:numId w:val="1182"/>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is in the form of cash. For purposes of this provision, each of the following will be deemed to be cash:</w:t>
      </w:r>
    </w:p>
    <w:p>
      <w:pPr>
        <w:spacing w:after="0" w:line="75" w:lineRule="exact"/>
        <w:rPr>
          <w:rFonts w:ascii="Arial" w:cs="Arial" w:eastAsia="Arial" w:hAnsi="Arial"/>
          <w:sz w:val="18"/>
          <w:szCs w:val="18"/>
          <w:color w:val="auto"/>
        </w:rPr>
      </w:pPr>
    </w:p>
    <w:p>
      <w:pPr>
        <w:ind w:left="2504" w:right="60" w:hanging="533"/>
        <w:spacing w:after="0" w:line="279" w:lineRule="auto"/>
        <w:tabs>
          <w:tab w:leader="none" w:pos="2504" w:val="left"/>
        </w:tabs>
        <w:numPr>
          <w:ilvl w:val="3"/>
          <w:numId w:val="1182"/>
        </w:numPr>
        <w:rPr>
          <w:rFonts w:ascii="Arial" w:cs="Arial" w:eastAsia="Arial" w:hAnsi="Arial"/>
          <w:sz w:val="17"/>
          <w:szCs w:val="17"/>
          <w:color w:val="auto"/>
        </w:rPr>
      </w:pPr>
      <w:r>
        <w:rPr>
          <w:rFonts w:ascii="Arial" w:cs="Arial" w:eastAsia="Arial" w:hAnsi="Arial"/>
          <w:sz w:val="17"/>
          <w:szCs w:val="17"/>
          <w:color w:val="auto"/>
        </w:rPr>
        <w:t>any liabilities, as shown on the Company’s most recent consolidated balance sheet, of the Company or any Restricted Subsidiary (other than contingent liabilities and liabilities that are by their terms subordinated to the Facilities Liabilities) that are assumed by the transferee of any such assets pursuant to a customary novation agreement that releases the Company or such Restricted Subsidiary from further liability;</w:t>
      </w:r>
    </w:p>
    <w:p>
      <w:pPr>
        <w:spacing w:after="0" w:line="76" w:lineRule="exact"/>
        <w:rPr>
          <w:rFonts w:ascii="Arial" w:cs="Arial" w:eastAsia="Arial" w:hAnsi="Arial"/>
          <w:sz w:val="17"/>
          <w:szCs w:val="17"/>
          <w:color w:val="auto"/>
        </w:rPr>
      </w:pPr>
    </w:p>
    <w:p>
      <w:pPr>
        <w:ind w:left="2504" w:hanging="533"/>
        <w:spacing w:after="0" w:line="263" w:lineRule="auto"/>
        <w:tabs>
          <w:tab w:leader="none" w:pos="2504" w:val="left"/>
        </w:tabs>
        <w:numPr>
          <w:ilvl w:val="3"/>
          <w:numId w:val="1182"/>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are, within 30 days of the receipt thereof, converted by the Company or such Restricted Subsidiary into cash, to the extent of the cash received in that conversion; and</w:t>
      </w:r>
    </w:p>
    <w:p>
      <w:pPr>
        <w:spacing w:after="0" w:line="89" w:lineRule="exact"/>
        <w:rPr>
          <w:rFonts w:ascii="Arial" w:cs="Arial" w:eastAsia="Arial" w:hAnsi="Arial"/>
          <w:sz w:val="18"/>
          <w:szCs w:val="18"/>
          <w:color w:val="auto"/>
        </w:rPr>
      </w:pPr>
    </w:p>
    <w:p>
      <w:pPr>
        <w:ind w:left="2504" w:hanging="533"/>
        <w:spacing w:after="0"/>
        <w:tabs>
          <w:tab w:leader="none" w:pos="2504" w:val="left"/>
        </w:tabs>
        <w:numPr>
          <w:ilvl w:val="3"/>
          <w:numId w:val="1182"/>
        </w:numPr>
        <w:rPr>
          <w:rFonts w:ascii="Arial" w:cs="Arial" w:eastAsia="Arial" w:hAnsi="Arial"/>
          <w:sz w:val="18"/>
          <w:szCs w:val="18"/>
          <w:color w:val="auto"/>
        </w:rPr>
      </w:pPr>
      <w:r>
        <w:rPr>
          <w:rFonts w:ascii="Arial" w:cs="Arial" w:eastAsia="Arial" w:hAnsi="Arial"/>
          <w:sz w:val="18"/>
          <w:szCs w:val="18"/>
          <w:color w:val="auto"/>
        </w:rPr>
        <w:t>any stock or assets of the kind referred to in Section 5(b)(ii) or (iv).</w:t>
      </w:r>
    </w:p>
    <w:p>
      <w:pPr>
        <w:spacing w:after="0" w:line="130" w:lineRule="exact"/>
        <w:rPr>
          <w:rFonts w:ascii="Arial" w:cs="Arial" w:eastAsia="Arial" w:hAnsi="Arial"/>
          <w:sz w:val="18"/>
          <w:szCs w:val="18"/>
          <w:color w:val="auto"/>
        </w:rPr>
      </w:pPr>
    </w:p>
    <w:p>
      <w:pPr>
        <w:ind w:left="1304" w:right="40" w:hanging="535"/>
        <w:spacing w:after="0" w:line="277" w:lineRule="auto"/>
        <w:tabs>
          <w:tab w:leader="none" w:pos="1304" w:val="left"/>
        </w:tabs>
        <w:numPr>
          <w:ilvl w:val="0"/>
          <w:numId w:val="1183"/>
        </w:numPr>
        <w:rPr>
          <w:rFonts w:ascii="Arial" w:cs="Arial" w:eastAsia="Arial" w:hAnsi="Arial"/>
          <w:sz w:val="18"/>
          <w:szCs w:val="18"/>
          <w:color w:val="auto"/>
        </w:rPr>
      </w:pPr>
      <w:r>
        <w:rPr>
          <w:rFonts w:ascii="Arial" w:cs="Arial" w:eastAsia="Arial" w:hAnsi="Arial"/>
          <w:sz w:val="18"/>
          <w:szCs w:val="18"/>
          <w:color w:val="auto"/>
        </w:rPr>
        <w:t>Within 360 days after the receipt of any Net Proceeds from an Asset Sale (including an Event of Loss), the Company or the applicable Restricted Subsidiary, as the case may be may apply such Net Proceeds:</w:t>
      </w:r>
    </w:p>
    <w:p>
      <w:pPr>
        <w:spacing w:after="0" w:line="75" w:lineRule="exact"/>
        <w:rPr>
          <w:rFonts w:ascii="Arial" w:cs="Arial" w:eastAsia="Arial" w:hAnsi="Arial"/>
          <w:sz w:val="18"/>
          <w:szCs w:val="18"/>
          <w:color w:val="auto"/>
        </w:rPr>
      </w:pPr>
    </w:p>
    <w:p>
      <w:pPr>
        <w:ind w:left="1964" w:right="100" w:hanging="655"/>
        <w:spacing w:after="0" w:line="271" w:lineRule="auto"/>
        <w:tabs>
          <w:tab w:leader="none" w:pos="1964" w:val="left"/>
        </w:tabs>
        <w:numPr>
          <w:ilvl w:val="1"/>
          <w:numId w:val="1183"/>
        </w:numPr>
        <w:rPr>
          <w:rFonts w:ascii="Arial" w:cs="Arial" w:eastAsia="Arial" w:hAnsi="Arial"/>
          <w:sz w:val="17"/>
          <w:szCs w:val="17"/>
          <w:color w:val="auto"/>
        </w:rPr>
      </w:pPr>
      <w:r>
        <w:rPr>
          <w:rFonts w:ascii="Arial" w:cs="Arial" w:eastAsia="Arial" w:hAnsi="Arial"/>
          <w:sz w:val="17"/>
          <w:szCs w:val="17"/>
          <w:color w:val="auto"/>
        </w:rPr>
        <w:t>to repay (A) Indebtedness Incurred under Section 4(b)(i) and Section 4(b)(xvii), (B) other Indebtedness of the Company or a Subsidiary Guarantor secured by property and assets that are the subject of such Asset Sale, and, in each case, if the Indebtedness repaid is revolving credit Indebtedness, to correspondingly reduce commitments with respect thereto,</w:t>
      </w:r>
    </w:p>
    <w:p>
      <w:pPr>
        <w:ind w:left="1964" w:right="200" w:hanging="7"/>
        <w:spacing w:after="0" w:line="260" w:lineRule="auto"/>
        <w:tabs>
          <w:tab w:leader="none" w:pos="2249" w:val="left"/>
        </w:tabs>
        <w:numPr>
          <w:ilvl w:val="2"/>
          <w:numId w:val="1183"/>
        </w:numPr>
        <w:rPr>
          <w:rFonts w:ascii="Arial" w:cs="Arial" w:eastAsia="Arial" w:hAnsi="Arial"/>
          <w:sz w:val="18"/>
          <w:szCs w:val="18"/>
          <w:color w:val="auto"/>
        </w:rPr>
      </w:pPr>
      <w:r>
        <w:rPr>
          <w:rFonts w:ascii="Arial" w:cs="Arial" w:eastAsia="Arial" w:hAnsi="Arial"/>
          <w:sz w:val="18"/>
          <w:szCs w:val="18"/>
          <w:color w:val="auto"/>
        </w:rPr>
        <w:t>Indebtedness of a Restricted Subsidiary that is not a Subsidiary Guarantor or (D) the 2025 Notes, the 2028 Notes or the 2029 Notes pursuant to the redemption provisions of the applicable Senior Notes Indenture;</w:t>
      </w:r>
    </w:p>
    <w:p>
      <w:pPr>
        <w:spacing w:after="0" w:line="91" w:lineRule="exact"/>
        <w:rPr>
          <w:sz w:val="20"/>
          <w:szCs w:val="20"/>
          <w:color w:val="auto"/>
        </w:rPr>
      </w:pPr>
    </w:p>
    <w:p>
      <w:pPr>
        <w:ind w:left="1964" w:right="120" w:hanging="655"/>
        <w:spacing w:after="0" w:line="291" w:lineRule="auto"/>
        <w:tabs>
          <w:tab w:leader="none" w:pos="1964" w:val="left"/>
        </w:tabs>
        <w:numPr>
          <w:ilvl w:val="0"/>
          <w:numId w:val="1184"/>
        </w:numPr>
        <w:rPr>
          <w:rFonts w:ascii="Arial" w:cs="Arial" w:eastAsia="Arial" w:hAnsi="Arial"/>
          <w:sz w:val="16"/>
          <w:szCs w:val="16"/>
          <w:color w:val="auto"/>
        </w:rPr>
      </w:pPr>
      <w:r>
        <w:rPr>
          <w:rFonts w:ascii="Arial" w:cs="Arial" w:eastAsia="Arial" w:hAnsi="Arial"/>
          <w:sz w:val="16"/>
          <w:szCs w:val="16"/>
          <w:color w:val="auto"/>
        </w:rPr>
        <w:t xml:space="preserve">to acquire all or substantially all of the assets of another Permitted Business, or any Capital Stock of, a Person undertaking another Permitted Business, if, after giving effect to any such acquisition of Capital Stock, the Permitted Business is or becomes a Restricted Subsidiary of the Company;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 such acquisition funded with any proceeds from an Event of Loss occurs within the date that is 545 days after receipt of the Net Proceeds from the relevant Event of Loss to the extent that a binding agreement to acquire such assets or Capital Stock is entered into on or prior to the date that is 360 days after receipt of the Net Proceeds from the relevant Event of Loss, and (B) if such acquisition is not consummated within the period set forth in clause (A), the Net Proceeds not so applied will be deemed to be Excess Proceeds;</w:t>
      </w:r>
    </w:p>
    <w:p>
      <w:pPr>
        <w:spacing w:after="0" w:line="99"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76" w:name="page777"/>
    <w:bookmarkEnd w:id="776"/>
    <w:p>
      <w:pPr>
        <w:ind w:left="1964" w:right="100" w:hanging="655"/>
        <w:spacing w:after="0" w:line="259" w:lineRule="auto"/>
        <w:tabs>
          <w:tab w:leader="none" w:pos="1964" w:val="left"/>
        </w:tabs>
        <w:numPr>
          <w:ilvl w:val="0"/>
          <w:numId w:val="1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make a capital expenditure;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capital expenditure funded with any proceeds from an Event of Loss occurs within the date that is 545 days after receipt of the Net Proceeds from the relevant Event of Loss to the extent that a binding agreement to make such capital expenditure is entered into on or prior to the date that is 360 days after receipt of the Net Proceeds from the relevant Event of Loss; or</w:t>
      </w:r>
    </w:p>
    <w:p>
      <w:pPr>
        <w:spacing w:after="0" w:line="92" w:lineRule="exact"/>
        <w:rPr>
          <w:rFonts w:ascii="Arial" w:cs="Arial" w:eastAsia="Arial" w:hAnsi="Arial"/>
          <w:sz w:val="18"/>
          <w:szCs w:val="18"/>
          <w:color w:val="auto"/>
        </w:rPr>
      </w:pPr>
    </w:p>
    <w:p>
      <w:pPr>
        <w:ind w:left="1964" w:right="260" w:hanging="655"/>
        <w:spacing w:after="0" w:line="286" w:lineRule="auto"/>
        <w:tabs>
          <w:tab w:leader="none" w:pos="1964" w:val="left"/>
        </w:tabs>
        <w:numPr>
          <w:ilvl w:val="0"/>
          <w:numId w:val="1185"/>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U.S. GAAP and that are used or useful in a Permitted Business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 such acquisition funded from an Event of Loss occurs within the date that is 545 days after receipt of the Net Proceeds from the relevant Event of Loss to the extent that a binding agreement to acquire such assets is entered into on or prior to the date that is 360 days after receipt of the Net Proceeds from the relevant Event of Loss, and</w:t>
      </w:r>
    </w:p>
    <w:p>
      <w:pPr>
        <w:spacing w:after="0" w:line="1" w:lineRule="exact"/>
        <w:rPr>
          <w:rFonts w:ascii="Arial" w:cs="Arial" w:eastAsia="Arial" w:hAnsi="Arial"/>
          <w:sz w:val="16"/>
          <w:szCs w:val="16"/>
          <w:color w:val="auto"/>
        </w:rPr>
      </w:pPr>
    </w:p>
    <w:p>
      <w:pPr>
        <w:ind w:left="1964" w:right="180" w:hanging="7"/>
        <w:spacing w:after="0" w:line="260" w:lineRule="auto"/>
        <w:tabs>
          <w:tab w:leader="none" w:pos="2249" w:val="left"/>
        </w:tabs>
        <w:numPr>
          <w:ilvl w:val="1"/>
          <w:numId w:val="1185"/>
        </w:numPr>
        <w:rPr>
          <w:rFonts w:ascii="Arial" w:cs="Arial" w:eastAsia="Arial" w:hAnsi="Arial"/>
          <w:sz w:val="18"/>
          <w:szCs w:val="18"/>
          <w:color w:val="auto"/>
        </w:rPr>
      </w:pPr>
      <w:r>
        <w:rPr>
          <w:rFonts w:ascii="Arial" w:cs="Arial" w:eastAsia="Arial" w:hAnsi="Arial"/>
          <w:sz w:val="18"/>
          <w:szCs w:val="18"/>
          <w:color w:val="auto"/>
        </w:rPr>
        <w:t>if such acquisition is not consummated within the period set forth in clause (A), the Net Proceeds not so applied will be deemed to be Excess Proceeds);</w:t>
      </w:r>
    </w:p>
    <w:p>
      <w:pPr>
        <w:spacing w:after="0" w:line="77" w:lineRule="exact"/>
        <w:rPr>
          <w:sz w:val="20"/>
          <w:szCs w:val="20"/>
          <w:color w:val="auto"/>
        </w:rPr>
      </w:pPr>
    </w:p>
    <w:p>
      <w:pPr>
        <w:ind w:left="1324" w:right="20"/>
        <w:spacing w:after="0" w:line="272" w:lineRule="auto"/>
        <w:rPr>
          <w:sz w:val="20"/>
          <w:szCs w:val="20"/>
          <w:color w:val="auto"/>
        </w:rPr>
      </w:pPr>
      <w:r>
        <w:rPr>
          <w:rFonts w:ascii="Arial" w:cs="Arial" w:eastAsia="Arial" w:hAnsi="Arial"/>
          <w:sz w:val="17"/>
          <w:szCs w:val="17"/>
          <w:color w:val="auto"/>
        </w:rPr>
        <w:t xml:space="preserve">or enter into a binding commitment regarding clauses (ii), (iii) or (iv) above (in addition to the binding commitments expressly referenced in those clauses);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binding commitment shall be treated as a permitted application of Net Proceeds from the date of such commitment until the earlier of (x) the date on which such acquisition or expenditure is consummated and (y) the 180th day following the expiration of the aforementioned 360-day period. To the extent such acquisition or expenditure is not consummated on or before such 180th day and the Company or such Restricted Subsidiary shall not have applied such Net Proceeds pursuant to clauses (ii), (iii) or (iv) above on or before such 180th day, such commitment shall be deemed not to have been a permitted application of Net Proceeds, and such Net Proceeds will constitute Excess Proceeds.</w:t>
      </w:r>
    </w:p>
    <w:p>
      <w:pPr>
        <w:spacing w:after="0" w:line="204" w:lineRule="exact"/>
        <w:rPr>
          <w:sz w:val="20"/>
          <w:szCs w:val="20"/>
          <w:color w:val="auto"/>
        </w:rPr>
      </w:pPr>
    </w:p>
    <w:p>
      <w:pPr>
        <w:ind w:left="1304" w:right="340" w:hanging="535"/>
        <w:spacing w:after="0" w:line="277" w:lineRule="auto"/>
        <w:tabs>
          <w:tab w:leader="none" w:pos="1304" w:val="left"/>
        </w:tabs>
        <w:numPr>
          <w:ilvl w:val="1"/>
          <w:numId w:val="1186"/>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Agreement.</w:t>
      </w:r>
    </w:p>
    <w:p>
      <w:pPr>
        <w:spacing w:after="0" w:line="75" w:lineRule="exact"/>
        <w:rPr>
          <w:rFonts w:ascii="Arial" w:cs="Arial" w:eastAsia="Arial" w:hAnsi="Arial"/>
          <w:sz w:val="18"/>
          <w:szCs w:val="18"/>
          <w:color w:val="auto"/>
        </w:rPr>
      </w:pPr>
    </w:p>
    <w:p>
      <w:pPr>
        <w:ind w:left="1304" w:right="80" w:hanging="535"/>
        <w:spacing w:after="0" w:line="296" w:lineRule="auto"/>
        <w:tabs>
          <w:tab w:leader="none" w:pos="1304" w:val="left"/>
        </w:tabs>
        <w:numPr>
          <w:ilvl w:val="1"/>
          <w:numId w:val="1186"/>
        </w:numPr>
        <w:rPr>
          <w:rFonts w:ascii="Arial" w:cs="Arial" w:eastAsia="Arial" w:hAnsi="Arial"/>
          <w:sz w:val="16"/>
          <w:szCs w:val="16"/>
          <w:color w:val="auto"/>
        </w:rPr>
      </w:pPr>
      <w:r>
        <w:rPr>
          <w:rFonts w:ascii="Arial" w:cs="Arial" w:eastAsia="Arial" w:hAnsi="Arial"/>
          <w:sz w:val="16"/>
          <w:szCs w:val="16"/>
          <w:color w:val="auto"/>
        </w:rPr>
        <w:t>If the aggregate amount of Excess Proceeds exceeds US$5.0 million, the Company shall make an Asset Sale Offer to all Holders with respect to offers to prepay or purchase or redeem with the proceeds of sales of assets to purchase the maximum principal amount of the 2025 Notes, the 2028 Notes and the 2029 Notes that may be purchased out of the Excess Proceeds and comply with the terms and conditions of the 2025 Notes Indenture, the 2028 Notes Indenture and the 2029 Notes Indenture in respect of such Excess Proceeds and comply with Clause 23.15 (</w:t>
      </w:r>
      <w:r>
        <w:rPr>
          <w:rFonts w:ascii="Arial" w:cs="Arial" w:eastAsia="Arial" w:hAnsi="Arial"/>
          <w:sz w:val="16"/>
          <w:szCs w:val="16"/>
          <w:i w:val="1"/>
          <w:iCs w:val="1"/>
          <w:color w:val="auto"/>
        </w:rPr>
        <w:t>Notes Repurchase condition</w:t>
      </w:r>
      <w:r>
        <w:rPr>
          <w:rFonts w:ascii="Arial" w:cs="Arial" w:eastAsia="Arial" w:hAnsi="Arial"/>
          <w:sz w:val="16"/>
          <w:szCs w:val="16"/>
          <w:color w:val="auto"/>
        </w:rPr>
        <w:t>) of this Agreement in connection with the same.</w:t>
      </w:r>
    </w:p>
    <w:p>
      <w:pPr>
        <w:spacing w:after="0" w:line="309" w:lineRule="exact"/>
        <w:rPr>
          <w:rFonts w:ascii="Arial" w:cs="Arial" w:eastAsia="Arial" w:hAnsi="Arial"/>
          <w:sz w:val="16"/>
          <w:szCs w:val="16"/>
          <w:color w:val="auto"/>
        </w:rPr>
      </w:pPr>
    </w:p>
    <w:p>
      <w:pPr>
        <w:ind w:left="764" w:hanging="764"/>
        <w:spacing w:after="0"/>
        <w:tabs>
          <w:tab w:leader="none" w:pos="764" w:val="left"/>
        </w:tabs>
        <w:numPr>
          <w:ilvl w:val="0"/>
          <w:numId w:val="1187"/>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130" w:lineRule="exact"/>
        <w:rPr>
          <w:rFonts w:ascii="Arial" w:cs="Arial" w:eastAsia="Arial" w:hAnsi="Arial"/>
          <w:sz w:val="18"/>
          <w:szCs w:val="18"/>
          <w:color w:val="auto"/>
        </w:rPr>
      </w:pPr>
    </w:p>
    <w:p>
      <w:pPr>
        <w:ind w:left="1304" w:right="140" w:hanging="535"/>
        <w:spacing w:after="0" w:line="259" w:lineRule="auto"/>
        <w:tabs>
          <w:tab w:leader="none" w:pos="1304" w:val="left"/>
        </w:tabs>
        <w:numPr>
          <w:ilvl w:val="1"/>
          <w:numId w:val="118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Arial" w:cs="Arial" w:eastAsia="Arial" w:hAnsi="Arial"/>
          <w:sz w:val="18"/>
          <w:szCs w:val="18"/>
          <w:b w:val="1"/>
          <w:bCs w:val="1"/>
          <w:color w:val="auto"/>
        </w:rPr>
        <w:t>Affiliate Transaction</w:t>
      </w:r>
      <w:r>
        <w:rPr>
          <w:rFonts w:ascii="Arial" w:cs="Arial" w:eastAsia="Arial" w:hAnsi="Arial"/>
          <w:sz w:val="18"/>
          <w:szCs w:val="18"/>
          <w:color w:val="auto"/>
        </w:rPr>
        <w:t>”), unless:</w:t>
      </w:r>
    </w:p>
    <w:p>
      <w:pPr>
        <w:spacing w:after="0" w:line="92" w:lineRule="exact"/>
        <w:rPr>
          <w:rFonts w:ascii="Arial" w:cs="Arial" w:eastAsia="Arial" w:hAnsi="Arial"/>
          <w:sz w:val="18"/>
          <w:szCs w:val="18"/>
          <w:color w:val="auto"/>
        </w:rPr>
      </w:pPr>
    </w:p>
    <w:p>
      <w:pPr>
        <w:ind w:left="1964" w:right="400" w:hanging="655"/>
        <w:spacing w:after="0" w:line="263" w:lineRule="auto"/>
        <w:tabs>
          <w:tab w:leader="none" w:pos="1964" w:val="left"/>
        </w:tabs>
        <w:numPr>
          <w:ilvl w:val="2"/>
          <w:numId w:val="1187"/>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Company or the relevant Restricted Subsidiary than those that would have been obtained in a comparable transaction by the Company or such Restricted Subsidiary with a Person that is not an Affiliate of the Company; and</w:t>
      </w:r>
    </w:p>
    <w:p>
      <w:pPr>
        <w:spacing w:after="0" w:line="116"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77" w:name="page778"/>
    <w:bookmarkEnd w:id="777"/>
    <w:p>
      <w:pPr>
        <w:ind w:left="1200" w:hanging="655"/>
        <w:spacing w:after="0"/>
        <w:tabs>
          <w:tab w:leader="none" w:pos="1200" w:val="left"/>
        </w:tabs>
        <w:numPr>
          <w:ilvl w:val="1"/>
          <w:numId w:val="1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delivers to the Agent:</w:t>
      </w:r>
    </w:p>
    <w:p>
      <w:pPr>
        <w:spacing w:after="0" w:line="130" w:lineRule="exact"/>
        <w:rPr>
          <w:rFonts w:ascii="Arial" w:cs="Arial" w:eastAsia="Arial" w:hAnsi="Arial"/>
          <w:sz w:val="18"/>
          <w:szCs w:val="18"/>
          <w:color w:val="auto"/>
        </w:rPr>
      </w:pPr>
    </w:p>
    <w:p>
      <w:pPr>
        <w:ind w:left="1740" w:right="100" w:hanging="533"/>
        <w:spacing w:after="0" w:line="293" w:lineRule="auto"/>
        <w:tabs>
          <w:tab w:leader="none" w:pos="1740" w:val="left"/>
        </w:tabs>
        <w:numPr>
          <w:ilvl w:val="2"/>
          <w:numId w:val="1188"/>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US$55.0 million, a resolution of the Board of Directors of the Company set forth in an Officer’s Certificate certifying that such Affiliate Transaction complies with this Section 6(a) and that such Affiliate Transaction has been approved by a majority of the disinterested members of the Board of Directors of the Company or, if the Board of Directors of the Company has no disinterested directors, approved in good faith by a majority of the members (or in the case of a single member, the sole member) of the Board of Directors of the Company; and</w:t>
      </w:r>
    </w:p>
    <w:p>
      <w:pPr>
        <w:spacing w:after="0" w:line="69" w:lineRule="exact"/>
        <w:rPr>
          <w:rFonts w:ascii="Arial" w:cs="Arial" w:eastAsia="Arial" w:hAnsi="Arial"/>
          <w:sz w:val="16"/>
          <w:szCs w:val="16"/>
          <w:color w:val="auto"/>
        </w:rPr>
      </w:pPr>
    </w:p>
    <w:p>
      <w:pPr>
        <w:ind w:left="1740" w:right="100" w:hanging="533"/>
        <w:spacing w:after="0" w:line="275" w:lineRule="auto"/>
        <w:tabs>
          <w:tab w:leader="none" w:pos="1740" w:val="left"/>
        </w:tabs>
        <w:numPr>
          <w:ilvl w:val="2"/>
          <w:numId w:val="1188"/>
        </w:numPr>
        <w:rPr>
          <w:rFonts w:ascii="Arial" w:cs="Arial" w:eastAsia="Arial" w:hAnsi="Arial"/>
          <w:sz w:val="17"/>
          <w:szCs w:val="17"/>
          <w:color w:val="auto"/>
        </w:rPr>
      </w:pPr>
      <w:r>
        <w:rPr>
          <w:rFonts w:ascii="Arial" w:cs="Arial" w:eastAsia="Arial" w:hAnsi="Arial"/>
          <w:sz w:val="17"/>
          <w:szCs w:val="17"/>
          <w:color w:val="auto"/>
        </w:rPr>
        <w:t>with respect to any Affiliate Transaction or series of related Affiliate Transactions involving aggregate consideration in excess of US$70.0 million, an opinion as to the fairness to the Company or such Restricted Subsidiary of such Affiliate Transaction from a financial point of view issued by an accounting, appraisal or investment banking firm of international standing, or other recognized independent expert of national standing with experience appraising the terms and conditions of the type of transaction or series of related transactions.</w:t>
      </w:r>
    </w:p>
    <w:p>
      <w:pPr>
        <w:spacing w:after="0" w:line="81" w:lineRule="exact"/>
        <w:rPr>
          <w:rFonts w:ascii="Arial" w:cs="Arial" w:eastAsia="Arial" w:hAnsi="Arial"/>
          <w:sz w:val="17"/>
          <w:szCs w:val="17"/>
          <w:color w:val="auto"/>
        </w:rPr>
      </w:pPr>
    </w:p>
    <w:p>
      <w:pPr>
        <w:ind w:left="540" w:right="20" w:hanging="535"/>
        <w:spacing w:after="0" w:line="277" w:lineRule="auto"/>
        <w:tabs>
          <w:tab w:leader="none" w:pos="540" w:val="left"/>
        </w:tabs>
        <w:numPr>
          <w:ilvl w:val="0"/>
          <w:numId w:val="1189"/>
        </w:numPr>
        <w:rPr>
          <w:rFonts w:ascii="Arial" w:cs="Arial" w:eastAsia="Arial" w:hAnsi="Arial"/>
          <w:sz w:val="18"/>
          <w:szCs w:val="18"/>
          <w:color w:val="auto"/>
        </w:rPr>
      </w:pPr>
      <w:r>
        <w:rPr>
          <w:rFonts w:ascii="Arial" w:cs="Arial" w:eastAsia="Arial" w:hAnsi="Arial"/>
          <w:sz w:val="18"/>
          <w:szCs w:val="18"/>
          <w:color w:val="auto"/>
        </w:rPr>
        <w:t>The following items will not be deemed to be Affiliate Transactions and, therefore, will not be subject to the provisions of Section 6(a) hereof:</w:t>
      </w:r>
    </w:p>
    <w:p>
      <w:pPr>
        <w:spacing w:after="0" w:line="75" w:lineRule="exact"/>
        <w:rPr>
          <w:rFonts w:ascii="Arial" w:cs="Arial" w:eastAsia="Arial" w:hAnsi="Arial"/>
          <w:sz w:val="18"/>
          <w:szCs w:val="18"/>
          <w:color w:val="auto"/>
        </w:rPr>
      </w:pPr>
    </w:p>
    <w:p>
      <w:pPr>
        <w:ind w:left="1200" w:right="180" w:hanging="655"/>
        <w:spacing w:after="0" w:line="259" w:lineRule="auto"/>
        <w:tabs>
          <w:tab w:leader="none" w:pos="1200"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any employment agreement, employee benefit plan (including compensation, retirement, disability, severance and other similar plan), officer or director indemnification, stock option or incentive plan or agreement, employee equity subscription agreement or any similar arrangement entered into by the Company or any of its Restricted Subsidiaries in the ordinary course of business and payments pursuant thereto;</w:t>
      </w:r>
    </w:p>
    <w:p>
      <w:pPr>
        <w:spacing w:after="0" w:line="92" w:lineRule="exact"/>
        <w:rPr>
          <w:sz w:val="20"/>
          <w:szCs w:val="20"/>
          <w:color w:val="auto"/>
        </w:rPr>
      </w:pPr>
    </w:p>
    <w:p>
      <w:pPr>
        <w:ind w:left="1200" w:hanging="655"/>
        <w:spacing w:after="0"/>
        <w:tabs>
          <w:tab w:leader="none" w:pos="1200" w:val="left"/>
        </w:tabs>
        <w:numPr>
          <w:ilvl w:val="0"/>
          <w:numId w:val="1190"/>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w:t>
      </w:r>
    </w:p>
    <w:p>
      <w:pPr>
        <w:spacing w:after="0" w:line="130" w:lineRule="exact"/>
        <w:rPr>
          <w:rFonts w:ascii="Arial" w:cs="Arial" w:eastAsia="Arial" w:hAnsi="Arial"/>
          <w:sz w:val="18"/>
          <w:szCs w:val="18"/>
          <w:color w:val="auto"/>
        </w:rPr>
      </w:pPr>
    </w:p>
    <w:p>
      <w:pPr>
        <w:ind w:left="1200" w:right="420" w:hanging="655"/>
        <w:spacing w:after="0" w:line="342" w:lineRule="auto"/>
        <w:tabs>
          <w:tab w:leader="none" w:pos="1200" w:val="left"/>
        </w:tabs>
        <w:numPr>
          <w:ilvl w:val="0"/>
          <w:numId w:val="1190"/>
        </w:numPr>
        <w:rPr>
          <w:rFonts w:ascii="Arial" w:cs="Arial" w:eastAsia="Arial" w:hAnsi="Arial"/>
          <w:sz w:val="16"/>
          <w:szCs w:val="16"/>
          <w:color w:val="auto"/>
        </w:rPr>
      </w:pPr>
      <w:r>
        <w:rPr>
          <w:rFonts w:ascii="Arial" w:cs="Arial" w:eastAsia="Arial" w:hAnsi="Arial"/>
          <w:sz w:val="16"/>
          <w:szCs w:val="16"/>
          <w:color w:val="auto"/>
        </w:rPr>
        <w:t>transactions with a Person (other than an Unrestricted Subsidiary) that is an Affiliate of the Company solely because the Company owns directly or through a Restricted Subsidiary, an Equity Interest in, or controls, such Person;</w:t>
      </w:r>
    </w:p>
    <w:p>
      <w:pPr>
        <w:spacing w:after="0" w:line="29" w:lineRule="exact"/>
        <w:rPr>
          <w:rFonts w:ascii="Arial" w:cs="Arial" w:eastAsia="Arial" w:hAnsi="Arial"/>
          <w:sz w:val="16"/>
          <w:szCs w:val="16"/>
          <w:color w:val="auto"/>
        </w:rPr>
      </w:pPr>
    </w:p>
    <w:p>
      <w:pPr>
        <w:ind w:left="1200" w:right="160" w:hanging="655"/>
        <w:spacing w:after="0" w:line="277" w:lineRule="auto"/>
        <w:tabs>
          <w:tab w:leader="none" w:pos="1200" w:val="left"/>
        </w:tabs>
        <w:numPr>
          <w:ilvl w:val="0"/>
          <w:numId w:val="1190"/>
        </w:numPr>
        <w:rPr>
          <w:rFonts w:ascii="Arial" w:cs="Arial" w:eastAsia="Arial" w:hAnsi="Arial"/>
          <w:sz w:val="18"/>
          <w:szCs w:val="18"/>
          <w:color w:val="auto"/>
        </w:rPr>
      </w:pPr>
      <w:r>
        <w:rPr>
          <w:rFonts w:ascii="Arial" w:cs="Arial" w:eastAsia="Arial" w:hAnsi="Arial"/>
          <w:sz w:val="18"/>
          <w:szCs w:val="18"/>
          <w:color w:val="auto"/>
        </w:rPr>
        <w:t>payment of reasonable officers’ and directors’ fees and reimbursement of expenses (including the provision of indemnity to officers and directors) to Persons who are not otherwise Affiliates of the Company;</w:t>
      </w:r>
    </w:p>
    <w:p>
      <w:pPr>
        <w:spacing w:after="0" w:line="75" w:lineRule="exact"/>
        <w:rPr>
          <w:rFonts w:ascii="Arial" w:cs="Arial" w:eastAsia="Arial" w:hAnsi="Arial"/>
          <w:sz w:val="18"/>
          <w:szCs w:val="18"/>
          <w:color w:val="auto"/>
        </w:rPr>
      </w:pPr>
    </w:p>
    <w:p>
      <w:pPr>
        <w:ind w:left="1200" w:right="60" w:hanging="655"/>
        <w:spacing w:after="0" w:line="277" w:lineRule="auto"/>
        <w:tabs>
          <w:tab w:leader="none" w:pos="1200" w:val="left"/>
        </w:tabs>
        <w:numPr>
          <w:ilvl w:val="0"/>
          <w:numId w:val="1190"/>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Company to Affiliates of the Company or contribution to the common equity capital of the Company;</w:t>
      </w:r>
    </w:p>
    <w:p>
      <w:pPr>
        <w:spacing w:after="0" w:line="75" w:lineRule="exact"/>
        <w:rPr>
          <w:rFonts w:ascii="Arial" w:cs="Arial" w:eastAsia="Arial" w:hAnsi="Arial"/>
          <w:sz w:val="18"/>
          <w:szCs w:val="18"/>
          <w:color w:val="auto"/>
        </w:rPr>
      </w:pPr>
    </w:p>
    <w:p>
      <w:pPr>
        <w:ind w:left="1200" w:right="240" w:hanging="655"/>
        <w:spacing w:after="0" w:line="277" w:lineRule="auto"/>
        <w:tabs>
          <w:tab w:leader="none" w:pos="1200" w:val="left"/>
        </w:tabs>
        <w:numPr>
          <w:ilvl w:val="0"/>
          <w:numId w:val="1190"/>
        </w:numPr>
        <w:rPr>
          <w:rFonts w:ascii="Arial" w:cs="Arial" w:eastAsia="Arial" w:hAnsi="Arial"/>
          <w:sz w:val="18"/>
          <w:szCs w:val="18"/>
          <w:color w:val="auto"/>
        </w:rPr>
      </w:pPr>
      <w:r>
        <w:rPr>
          <w:rFonts w:ascii="Arial" w:cs="Arial" w:eastAsia="Arial" w:hAnsi="Arial"/>
          <w:sz w:val="18"/>
          <w:szCs w:val="18"/>
          <w:color w:val="auto"/>
        </w:rPr>
        <w:t>Restricted Payments (including any payments made under, pursuant to or in connection with the Services and Right to Use Agreement, the Reinvestment Agreement or the MSA) that do not violate Section 2 hereof;</w:t>
      </w:r>
    </w:p>
    <w:p>
      <w:pPr>
        <w:spacing w:after="0" w:line="103" w:lineRule="exact"/>
        <w:rPr>
          <w:sz w:val="20"/>
          <w:szCs w:val="20"/>
          <w:color w:val="auto"/>
        </w:rPr>
      </w:pPr>
    </w:p>
    <w:p>
      <w:pPr>
        <w:jc w:val="both"/>
        <w:ind w:left="4660"/>
        <w:spacing w:after="0"/>
        <w:tabs>
          <w:tab w:leader="none" w:pos="80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78" w:name="page779"/>
    <w:bookmarkEnd w:id="778"/>
    <w:p>
      <w:pPr>
        <w:ind w:left="960" w:right="20" w:hanging="655"/>
        <w:spacing w:after="0" w:line="270" w:lineRule="auto"/>
        <w:tabs>
          <w:tab w:leader="none" w:pos="960" w:val="left"/>
        </w:tabs>
        <w:numPr>
          <w:ilvl w:val="0"/>
          <w:numId w:val="11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agreement or arrangement existing on the 2021 Amendment and Restatement Effective Date, including any amendments, modifications, supplements, extensions, replacements, terminations or renewals (so long as any such agreement or arrangement together with all such amendments, modifications, supplements, extensions, replacements, terminations and renewals, taken as a whole, is not materially more disadvantageous to the Company and its Restricted Subsidiaries, taken as a whole, than the original agreement or arrangement as in effect on the 2021 Amendment and Restatement Effective Date, unless any such amendments, modifications, supplements, extensions, replacements, terminations or renewals are imposed by any Gaming Authority or any other public authority, in each case having jurisdiction over the Studio City Casino, Melco Resorts Macau (or any other operator of the Studio City Casino), the Company or any of its Restricted Subsidiaries, including, but not limited to, the government of the Macau SAR);</w:t>
      </w:r>
    </w:p>
    <w:p>
      <w:pPr>
        <w:spacing w:after="0" w:line="86" w:lineRule="exact"/>
        <w:rPr>
          <w:rFonts w:ascii="Arial" w:cs="Arial" w:eastAsia="Arial" w:hAnsi="Arial"/>
          <w:sz w:val="17"/>
          <w:szCs w:val="17"/>
          <w:color w:val="auto"/>
        </w:rPr>
      </w:pPr>
    </w:p>
    <w:p>
      <w:pPr>
        <w:ind w:left="960" w:right="280" w:hanging="655"/>
        <w:spacing w:after="0" w:line="263" w:lineRule="auto"/>
        <w:tabs>
          <w:tab w:leader="none" w:pos="960" w:val="left"/>
        </w:tabs>
        <w:numPr>
          <w:ilvl w:val="0"/>
          <w:numId w:val="1191"/>
        </w:numPr>
        <w:rPr>
          <w:rFonts w:ascii="Arial" w:cs="Arial" w:eastAsia="Arial" w:hAnsi="Arial"/>
          <w:sz w:val="18"/>
          <w:szCs w:val="18"/>
          <w:color w:val="auto"/>
        </w:rPr>
      </w:pPr>
      <w:r>
        <w:rPr>
          <w:rFonts w:ascii="Arial" w:cs="Arial" w:eastAsia="Arial" w:hAnsi="Arial"/>
          <w:sz w:val="18"/>
          <w:szCs w:val="18"/>
          <w:color w:val="auto"/>
        </w:rPr>
        <w:t>loans or advances to employees (including personnel who provide services to the Company or any of its Restricted Subsidiaries pursuant to the MSA) in the ordinary course of business not to exceed US$2.0 million in the aggregate at any one time outstanding;</w:t>
      </w:r>
    </w:p>
    <w:p>
      <w:pPr>
        <w:spacing w:after="0" w:line="89" w:lineRule="exact"/>
        <w:rPr>
          <w:rFonts w:ascii="Arial" w:cs="Arial" w:eastAsia="Arial" w:hAnsi="Arial"/>
          <w:sz w:val="18"/>
          <w:szCs w:val="18"/>
          <w:color w:val="auto"/>
        </w:rPr>
      </w:pPr>
    </w:p>
    <w:p>
      <w:pPr>
        <w:ind w:left="960" w:hanging="655"/>
        <w:spacing w:after="0"/>
        <w:tabs>
          <w:tab w:leader="none" w:pos="960" w:val="left"/>
        </w:tabs>
        <w:numPr>
          <w:ilvl w:val="0"/>
          <w:numId w:val="1191"/>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960" w:right="60" w:hanging="655"/>
        <w:spacing w:after="0" w:line="285" w:lineRule="auto"/>
        <w:tabs>
          <w:tab w:leader="none" w:pos="960" w:val="left"/>
        </w:tabs>
        <w:numPr>
          <w:ilvl w:val="0"/>
          <w:numId w:val="1191"/>
        </w:numPr>
        <w:rPr>
          <w:rFonts w:ascii="Arial" w:cs="Arial" w:eastAsia="Arial" w:hAnsi="Arial"/>
          <w:sz w:val="16"/>
          <w:szCs w:val="16"/>
          <w:color w:val="auto"/>
        </w:rPr>
      </w:pPr>
      <w:r>
        <w:rPr>
          <w:rFonts w:ascii="Arial" w:cs="Arial" w:eastAsia="Arial" w:hAnsi="Arial"/>
          <w:sz w:val="16"/>
          <w:szCs w:val="16"/>
          <w:color w:val="auto"/>
        </w:rPr>
        <w:t>(A) transactions or arrangements under, pursuant to or in connection with the Services and Right to Use Agreement, the Reinvestment Agreement or the MSA, including any amendments, modifications, supplements, extensions, replacements, terminations or renewals thereof (so long as the Services and Right to Use Agreement and the Reinvestment Agreement, taken as a whole, or the MSA, respectively, together with all such amendments, modifications, supplements, extensions, replacements, terminations and renewals, taken as a whole, is not materially more disadvantageous to the Company and its Restricted Subsidiaries, taken as a whole, than the Services and Right to Use Agreement and the Reinvestment Agreement, taken as a whole, or the MSA, respectively, as in effect on the 2021 Amendment and Restatement Effective Date or, as determined in good faith by the Board of Directors of the Company, does not have and would not reasonably be expected to have a Material Adverse Effect under paragraph (b) of the definition of “Material Adverse Effect” only) and (B) other than with respect to transactions or arrangements subject to clause (A) above, transactions or arrangements with customers, clients, suppliers or sellers of goods or services in the ordinary course of business, on terms that are fair to the Company or any of its Restricted Subsidiaries, as applicable, or are no less favorable than those that might reasonably have been obtained in a comparable transaction at such time on an arms-length basis from a Person that is not an Affiliate of the Company, in the case of each of (A) and (B), unless any such amendments, modifications, supplements, extensions, replacements, terminations or renewals are imposed by any Gaming Authority or any other public authority having jurisdiction over Melco Resorts Macau (or any other operator of the Studio City Casino), the Company or any of its Restricted Subsidiaries, including, but not limited to, the government of the Macau SAR;</w:t>
      </w:r>
    </w:p>
    <w:p>
      <w:pPr>
        <w:spacing w:after="0" w:line="79" w:lineRule="exact"/>
        <w:rPr>
          <w:rFonts w:ascii="Arial" w:cs="Arial" w:eastAsia="Arial" w:hAnsi="Arial"/>
          <w:sz w:val="16"/>
          <w:szCs w:val="16"/>
          <w:color w:val="auto"/>
        </w:rPr>
      </w:pPr>
    </w:p>
    <w:p>
      <w:pPr>
        <w:ind w:left="960" w:right="460" w:hanging="655"/>
        <w:spacing w:after="0" w:line="277" w:lineRule="auto"/>
        <w:tabs>
          <w:tab w:leader="none" w:pos="960" w:val="left"/>
        </w:tabs>
        <w:numPr>
          <w:ilvl w:val="0"/>
          <w:numId w:val="1191"/>
        </w:numPr>
        <w:rPr>
          <w:rFonts w:ascii="Arial" w:cs="Arial" w:eastAsia="Arial" w:hAnsi="Arial"/>
          <w:sz w:val="18"/>
          <w:szCs w:val="18"/>
          <w:color w:val="auto"/>
        </w:rPr>
      </w:pPr>
      <w:r>
        <w:rPr>
          <w:rFonts w:ascii="Arial" w:cs="Arial" w:eastAsia="Arial" w:hAnsi="Arial"/>
          <w:sz w:val="18"/>
          <w:szCs w:val="18"/>
          <w:color w:val="auto"/>
        </w:rPr>
        <w:t>the execution of the Transactions, and the payment of all fees and expenses relating to the Transactions described in the Offering Memorandum;</w:t>
      </w:r>
    </w:p>
    <w:p>
      <w:pPr>
        <w:spacing w:after="0" w:line="75" w:lineRule="exact"/>
        <w:rPr>
          <w:rFonts w:ascii="Arial" w:cs="Arial" w:eastAsia="Arial" w:hAnsi="Arial"/>
          <w:sz w:val="18"/>
          <w:szCs w:val="18"/>
          <w:color w:val="auto"/>
        </w:rPr>
      </w:pPr>
    </w:p>
    <w:p>
      <w:pPr>
        <w:ind w:left="960" w:right="80" w:hanging="655"/>
        <w:spacing w:after="0" w:line="279" w:lineRule="auto"/>
        <w:tabs>
          <w:tab w:leader="none" w:pos="960" w:val="left"/>
        </w:tabs>
        <w:numPr>
          <w:ilvl w:val="0"/>
          <w:numId w:val="1191"/>
        </w:numPr>
        <w:rPr>
          <w:rFonts w:ascii="Arial" w:cs="Arial" w:eastAsia="Arial" w:hAnsi="Arial"/>
          <w:sz w:val="17"/>
          <w:szCs w:val="17"/>
          <w:color w:val="auto"/>
        </w:rPr>
      </w:pPr>
      <w:r>
        <w:rPr>
          <w:rFonts w:ascii="Arial" w:cs="Arial" w:eastAsia="Arial" w:hAnsi="Arial"/>
          <w:sz w:val="17"/>
          <w:szCs w:val="17"/>
          <w:color w:val="auto"/>
        </w:rPr>
        <w:t xml:space="preserve">transactions or arrangements to be entered into in connection with the Property in the ordinary course of business (including, for the avoidance of doubt, transactions or arrangements necessary to conduct a Permitted Business) including any amendments, modifications, supplements, extensions, replacements, terminations or renewals thereof;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transactions or arrangements must comply with clauses (a)(i) and (a)(ii)(A) of Section 6 hereof;</w:t>
      </w:r>
    </w:p>
    <w:p>
      <w:pPr>
        <w:spacing w:after="0" w:line="104" w:lineRule="exact"/>
        <w:rPr>
          <w:sz w:val="20"/>
          <w:szCs w:val="20"/>
          <w:color w:val="auto"/>
        </w:rPr>
      </w:pPr>
    </w:p>
    <w:p>
      <w:pPr>
        <w:jc w:val="both"/>
        <w:ind w:left="4420"/>
        <w:spacing w:after="0"/>
        <w:tabs>
          <w:tab w:leader="none" w:pos="78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020"/>
          </w:cols>
          <w:pgMar w:left="1440" w:top="274" w:right="439" w:bottom="1440" w:gutter="0" w:footer="0" w:header="0"/>
        </w:sectPr>
      </w:pPr>
    </w:p>
    <w:bookmarkStart w:id="779" w:name="page780"/>
    <w:bookmarkEnd w:id="779"/>
    <w:p>
      <w:pPr>
        <w:ind w:left="1964" w:right="60" w:hanging="655"/>
        <w:spacing w:after="0" w:line="273" w:lineRule="auto"/>
        <w:tabs>
          <w:tab w:leader="none" w:pos="1964" w:val="left"/>
        </w:tabs>
        <w:numPr>
          <w:ilvl w:val="0"/>
          <w:numId w:val="11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or arrangements duly approved by the Audit and Risk Committee of Studio City International (or any other committee of the board of directors of Studio City International so long as such committee consists entirely of independent directors) and the Company delivers to the Trustee a copy of the resolution of the Audit and Risk Committee of Studio City International (or, if applicable, such other committee) annexed to an Officer’s Certificate certifying that such Affiliate Transaction complies with this clause (xiii) and that such Affiliate Transaction has been duly approved by the Audit and Risk Committee of Studio City International (or, if applicable, such other committee);</w:t>
      </w:r>
    </w:p>
    <w:p>
      <w:pPr>
        <w:spacing w:after="0" w:line="83" w:lineRule="exact"/>
        <w:rPr>
          <w:rFonts w:ascii="Arial" w:cs="Arial" w:eastAsia="Arial" w:hAnsi="Arial"/>
          <w:sz w:val="17"/>
          <w:szCs w:val="17"/>
          <w:color w:val="auto"/>
        </w:rPr>
      </w:pPr>
    </w:p>
    <w:p>
      <w:pPr>
        <w:ind w:left="1964" w:right="360" w:hanging="655"/>
        <w:spacing w:after="0" w:line="277" w:lineRule="auto"/>
        <w:tabs>
          <w:tab w:leader="none" w:pos="1964" w:val="left"/>
        </w:tabs>
        <w:numPr>
          <w:ilvl w:val="0"/>
          <w:numId w:val="1192"/>
        </w:numPr>
        <w:rPr>
          <w:rFonts w:ascii="Arial" w:cs="Arial" w:eastAsia="Arial" w:hAnsi="Arial"/>
          <w:sz w:val="18"/>
          <w:szCs w:val="18"/>
          <w:color w:val="auto"/>
        </w:rPr>
      </w:pPr>
      <w:r>
        <w:rPr>
          <w:rFonts w:ascii="Arial" w:cs="Arial" w:eastAsia="Arial" w:hAnsi="Arial"/>
          <w:sz w:val="18"/>
          <w:szCs w:val="18"/>
          <w:color w:val="auto"/>
        </w:rPr>
        <w:t>execution, delivery and performance of any tax sharing agreement or the formation and maintenance of any consolidated group for tax, accounting or cash pooling or management purposes; and</w:t>
      </w:r>
    </w:p>
    <w:p>
      <w:pPr>
        <w:spacing w:after="0" w:line="75" w:lineRule="exact"/>
        <w:rPr>
          <w:rFonts w:ascii="Arial" w:cs="Arial" w:eastAsia="Arial" w:hAnsi="Arial"/>
          <w:sz w:val="18"/>
          <w:szCs w:val="18"/>
          <w:color w:val="auto"/>
        </w:rPr>
      </w:pPr>
    </w:p>
    <w:p>
      <w:pPr>
        <w:ind w:left="1964" w:right="360" w:hanging="655"/>
        <w:spacing w:after="0" w:line="277" w:lineRule="auto"/>
        <w:tabs>
          <w:tab w:leader="none" w:pos="1964" w:val="left"/>
        </w:tabs>
        <w:numPr>
          <w:ilvl w:val="0"/>
          <w:numId w:val="1192"/>
        </w:numPr>
        <w:rPr>
          <w:rFonts w:ascii="Arial" w:cs="Arial" w:eastAsia="Arial" w:hAnsi="Arial"/>
          <w:sz w:val="18"/>
          <w:szCs w:val="18"/>
          <w:color w:val="auto"/>
        </w:rPr>
      </w:pPr>
      <w:r>
        <w:rPr>
          <w:rFonts w:ascii="Arial" w:cs="Arial" w:eastAsia="Arial" w:hAnsi="Arial"/>
          <w:sz w:val="18"/>
          <w:szCs w:val="18"/>
          <w:color w:val="auto"/>
        </w:rPr>
        <w:t>provision by, between, among, to or from Persons who may be deemed Affiliates of group administrative, treasury, legal, accounting and similar services.</w:t>
      </w:r>
    </w:p>
    <w:p>
      <w:pPr>
        <w:spacing w:after="0" w:line="319" w:lineRule="exact"/>
        <w:rPr>
          <w:sz w:val="20"/>
          <w:szCs w:val="20"/>
          <w:color w:val="auto"/>
        </w:rPr>
      </w:pPr>
    </w:p>
    <w:p>
      <w:pPr>
        <w:ind w:left="764" w:hanging="764"/>
        <w:spacing w:after="0"/>
        <w:tabs>
          <w:tab w:leader="none" w:pos="764" w:val="left"/>
        </w:tabs>
        <w:numPr>
          <w:ilvl w:val="0"/>
          <w:numId w:val="1193"/>
        </w:numPr>
        <w:rPr>
          <w:rFonts w:ascii="Arial" w:cs="Arial" w:eastAsia="Arial" w:hAnsi="Arial"/>
          <w:sz w:val="18"/>
          <w:szCs w:val="18"/>
          <w:color w:val="auto"/>
        </w:rPr>
      </w:pPr>
      <w:r>
        <w:rPr>
          <w:rFonts w:ascii="Arial" w:cs="Arial" w:eastAsia="Arial" w:hAnsi="Arial"/>
          <w:sz w:val="18"/>
          <w:szCs w:val="18"/>
          <w:color w:val="auto"/>
        </w:rPr>
        <w:t>Liens</w:t>
      </w:r>
    </w:p>
    <w:p>
      <w:pPr>
        <w:spacing w:after="0" w:line="117" w:lineRule="exact"/>
        <w:rPr>
          <w:rFonts w:ascii="Arial" w:cs="Arial" w:eastAsia="Arial" w:hAnsi="Arial"/>
          <w:sz w:val="18"/>
          <w:szCs w:val="18"/>
          <w:color w:val="auto"/>
        </w:rPr>
      </w:pPr>
    </w:p>
    <w:p>
      <w:pPr>
        <w:ind w:left="764" w:right="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Company will not, and will not permit any of its Restricted Subsidiaries to, directly or indirectly, create, incur, assume or otherwise cause or suffer to exist or become effective any Lien of any kind securing Indebtedness on any asset now owned or hereafter acquired or any proceeds, income or profits therefrom or assign or convey any right to receive income therefrom, except Permitted Liens, or, if such Lien is not a Permitted Lien, unless the Facilities Liabilities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so secured until such time as such obligations are no longer secured by a Lien.</w:t>
      </w:r>
    </w:p>
    <w:p>
      <w:pPr>
        <w:spacing w:after="0" w:line="336" w:lineRule="exact"/>
        <w:rPr>
          <w:rFonts w:ascii="Arial" w:cs="Arial" w:eastAsia="Arial" w:hAnsi="Arial"/>
          <w:sz w:val="18"/>
          <w:szCs w:val="18"/>
          <w:color w:val="auto"/>
        </w:rPr>
      </w:pPr>
    </w:p>
    <w:p>
      <w:pPr>
        <w:ind w:left="764" w:hanging="764"/>
        <w:spacing w:after="0"/>
        <w:tabs>
          <w:tab w:leader="none" w:pos="764" w:val="left"/>
        </w:tabs>
        <w:numPr>
          <w:ilvl w:val="0"/>
          <w:numId w:val="1193"/>
        </w:numPr>
        <w:rPr>
          <w:rFonts w:ascii="Arial" w:cs="Arial" w:eastAsia="Arial" w:hAnsi="Arial"/>
          <w:sz w:val="18"/>
          <w:szCs w:val="18"/>
          <w:color w:val="auto"/>
        </w:rPr>
      </w:pPr>
      <w:r>
        <w:rPr>
          <w:rFonts w:ascii="Arial" w:cs="Arial" w:eastAsia="Arial" w:hAnsi="Arial"/>
          <w:sz w:val="18"/>
          <w:szCs w:val="18"/>
          <w:color w:val="auto"/>
        </w:rPr>
        <w:t>Business Activities</w:t>
      </w:r>
    </w:p>
    <w:p>
      <w:pPr>
        <w:spacing w:after="0" w:line="117" w:lineRule="exact"/>
        <w:rPr>
          <w:rFonts w:ascii="Arial" w:cs="Arial" w:eastAsia="Arial" w:hAnsi="Arial"/>
          <w:sz w:val="18"/>
          <w:szCs w:val="18"/>
          <w:color w:val="auto"/>
        </w:rPr>
      </w:pPr>
    </w:p>
    <w:p>
      <w:pPr>
        <w:ind w:left="764" w:right="60"/>
        <w:spacing w:after="0" w:line="277" w:lineRule="auto"/>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engage in any business other than Permitted Business, except to such extent as would not be material to the Company and its Restricted Subsidiaries (taken as a whole).</w:t>
      </w:r>
    </w:p>
    <w:p>
      <w:pPr>
        <w:spacing w:after="0" w:line="318" w:lineRule="exact"/>
        <w:rPr>
          <w:rFonts w:ascii="Arial" w:cs="Arial" w:eastAsia="Arial" w:hAnsi="Arial"/>
          <w:sz w:val="18"/>
          <w:szCs w:val="18"/>
          <w:color w:val="auto"/>
        </w:rPr>
      </w:pPr>
    </w:p>
    <w:p>
      <w:pPr>
        <w:ind w:left="764" w:hanging="764"/>
        <w:spacing w:after="0"/>
        <w:tabs>
          <w:tab w:leader="none" w:pos="764" w:val="left"/>
        </w:tabs>
        <w:numPr>
          <w:ilvl w:val="0"/>
          <w:numId w:val="1193"/>
        </w:numPr>
        <w:rPr>
          <w:rFonts w:ascii="Arial" w:cs="Arial" w:eastAsia="Arial" w:hAnsi="Arial"/>
          <w:sz w:val="18"/>
          <w:szCs w:val="18"/>
          <w:color w:val="auto"/>
        </w:rPr>
      </w:pPr>
      <w:r>
        <w:rPr>
          <w:rFonts w:ascii="Arial" w:cs="Arial" w:eastAsia="Arial" w:hAnsi="Arial"/>
          <w:sz w:val="18"/>
          <w:szCs w:val="18"/>
          <w:color w:val="auto"/>
        </w:rPr>
        <w:t>Corporate Existence</w:t>
      </w:r>
    </w:p>
    <w:p>
      <w:pPr>
        <w:spacing w:after="0" w:line="117" w:lineRule="exact"/>
        <w:rPr>
          <w:rFonts w:ascii="Arial" w:cs="Arial" w:eastAsia="Arial" w:hAnsi="Arial"/>
          <w:sz w:val="18"/>
          <w:szCs w:val="18"/>
          <w:color w:val="auto"/>
        </w:rPr>
      </w:pPr>
    </w:p>
    <w:p>
      <w:pPr>
        <w:ind w:left="764"/>
        <w:spacing w:after="0"/>
        <w:rPr>
          <w:rFonts w:ascii="Arial" w:cs="Arial" w:eastAsia="Arial" w:hAnsi="Arial"/>
          <w:sz w:val="18"/>
          <w:szCs w:val="18"/>
          <w:color w:val="auto"/>
        </w:rPr>
      </w:pPr>
      <w:r>
        <w:rPr>
          <w:rFonts w:ascii="Arial" w:cs="Arial" w:eastAsia="Arial" w:hAnsi="Arial"/>
          <w:sz w:val="16"/>
          <w:szCs w:val="16"/>
          <w:color w:val="auto"/>
        </w:rPr>
        <w:t>Subject to Section 13 hereof, the Company shall do or cause to be done all things necessary to preserve and keep in full force and effect:</w:t>
      </w:r>
    </w:p>
    <w:p>
      <w:pPr>
        <w:spacing w:after="0" w:line="153" w:lineRule="exact"/>
        <w:rPr>
          <w:rFonts w:ascii="Arial" w:cs="Arial" w:eastAsia="Arial" w:hAnsi="Arial"/>
          <w:sz w:val="18"/>
          <w:szCs w:val="18"/>
          <w:color w:val="auto"/>
        </w:rPr>
      </w:pPr>
    </w:p>
    <w:p>
      <w:pPr>
        <w:ind w:left="1304" w:right="160" w:hanging="535"/>
        <w:spacing w:after="0" w:line="342" w:lineRule="auto"/>
        <w:tabs>
          <w:tab w:leader="none" w:pos="1304" w:val="left"/>
        </w:tabs>
        <w:numPr>
          <w:ilvl w:val="1"/>
          <w:numId w:val="1193"/>
        </w:numPr>
        <w:rPr>
          <w:rFonts w:ascii="Arial" w:cs="Arial" w:eastAsia="Arial" w:hAnsi="Arial"/>
          <w:sz w:val="16"/>
          <w:szCs w:val="16"/>
          <w:color w:val="auto"/>
        </w:rPr>
      </w:pPr>
      <w:r>
        <w:rPr>
          <w:rFonts w:ascii="Arial" w:cs="Arial" w:eastAsia="Arial" w:hAnsi="Arial"/>
          <w:sz w:val="16"/>
          <w:szCs w:val="16"/>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29" w:lineRule="exact"/>
        <w:rPr>
          <w:rFonts w:ascii="Arial" w:cs="Arial" w:eastAsia="Arial" w:hAnsi="Arial"/>
          <w:sz w:val="16"/>
          <w:szCs w:val="16"/>
          <w:color w:val="auto"/>
        </w:rPr>
      </w:pPr>
    </w:p>
    <w:p>
      <w:pPr>
        <w:ind w:left="1304" w:right="200" w:hanging="535"/>
        <w:spacing w:after="0" w:line="257" w:lineRule="auto"/>
        <w:tabs>
          <w:tab w:leader="none" w:pos="1304" w:val="left"/>
        </w:tabs>
        <w:numPr>
          <w:ilvl w:val="1"/>
          <w:numId w:val="1193"/>
        </w:numPr>
        <w:rPr>
          <w:rFonts w:ascii="Arial" w:cs="Arial" w:eastAsia="Arial" w:hAnsi="Arial"/>
          <w:sz w:val="18"/>
          <w:szCs w:val="18"/>
          <w:color w:val="auto"/>
        </w:rPr>
      </w:pPr>
      <w:r>
        <w:rPr>
          <w:rFonts w:ascii="Arial" w:cs="Arial" w:eastAsia="Arial" w:hAnsi="Arial"/>
          <w:sz w:val="18"/>
          <w:szCs w:val="18"/>
          <w:color w:val="auto"/>
        </w:rPr>
        <w:t xml:space="preserve">the rights (charter and statutory), licenses and franchises of the Company and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however,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Lenders.</w:t>
      </w:r>
    </w:p>
    <w:p>
      <w:pPr>
        <w:spacing w:after="0" w:line="120"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80" w:name="page781"/>
    <w:bookmarkEnd w:id="780"/>
    <w:p>
      <w:pPr>
        <w:ind w:left="764" w:hanging="764"/>
        <w:spacing w:after="0"/>
        <w:tabs>
          <w:tab w:leader="none" w:pos="764" w:val="left"/>
        </w:tabs>
        <w:numPr>
          <w:ilvl w:val="0"/>
          <w:numId w:val="1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Designation of Restricted and Unrestricted Subsidiaries</w:t>
      </w:r>
    </w:p>
    <w:p>
      <w:pPr>
        <w:spacing w:after="0" w:line="130" w:lineRule="exact"/>
        <w:rPr>
          <w:rFonts w:ascii="Arial" w:cs="Arial" w:eastAsia="Arial" w:hAnsi="Arial"/>
          <w:sz w:val="18"/>
          <w:szCs w:val="18"/>
          <w:color w:val="auto"/>
        </w:rPr>
      </w:pPr>
    </w:p>
    <w:p>
      <w:pPr>
        <w:ind w:left="1304" w:right="80" w:hanging="535"/>
        <w:spacing w:after="0" w:line="269" w:lineRule="auto"/>
        <w:tabs>
          <w:tab w:leader="none" w:pos="1304" w:val="left"/>
        </w:tabs>
        <w:numPr>
          <w:ilvl w:val="1"/>
          <w:numId w:val="1194"/>
        </w:numPr>
        <w:rPr>
          <w:rFonts w:ascii="Arial" w:cs="Arial" w:eastAsia="Arial" w:hAnsi="Arial"/>
          <w:sz w:val="17"/>
          <w:szCs w:val="17"/>
          <w:color w:val="auto"/>
        </w:rPr>
      </w:pPr>
      <w:r>
        <w:rPr>
          <w:rFonts w:ascii="Arial" w:cs="Arial" w:eastAsia="Arial" w:hAnsi="Arial"/>
          <w:sz w:val="17"/>
          <w:szCs w:val="17"/>
          <w:color w:val="auto"/>
        </w:rPr>
        <w:t xml:space="preserve">The Board of Directors of the Company may designate any Restricted Subsidiary to be an Unrestricted Subsidiary if that designation would not cause a Default;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no event will the business currently operated by the Company, Studio City Developments Limited, SCE or Studio City Hotels Limited be transferred to or held by an Unrestricted Subsidiary.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Section 2 hereof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Board of Directors of the Company may re-designate any Unrestricted Subsidiary to be a Restricted Subsidiary if that re-designation would not cause a Default.</w:t>
      </w:r>
    </w:p>
    <w:p>
      <w:pPr>
        <w:spacing w:after="0" w:line="90" w:lineRule="exact"/>
        <w:rPr>
          <w:rFonts w:ascii="Arial" w:cs="Arial" w:eastAsia="Arial" w:hAnsi="Arial"/>
          <w:sz w:val="17"/>
          <w:szCs w:val="17"/>
          <w:color w:val="auto"/>
        </w:rPr>
      </w:pPr>
    </w:p>
    <w:p>
      <w:pPr>
        <w:ind w:left="1304" w:right="20" w:hanging="535"/>
        <w:spacing w:after="0" w:line="268" w:lineRule="auto"/>
        <w:tabs>
          <w:tab w:leader="none" w:pos="1304" w:val="left"/>
        </w:tabs>
        <w:numPr>
          <w:ilvl w:val="1"/>
          <w:numId w:val="1194"/>
        </w:numPr>
        <w:rPr>
          <w:rFonts w:ascii="Arial" w:cs="Arial" w:eastAsia="Arial" w:hAnsi="Arial"/>
          <w:sz w:val="17"/>
          <w:szCs w:val="17"/>
          <w:color w:val="auto"/>
        </w:rPr>
      </w:pPr>
      <w:r>
        <w:rPr>
          <w:rFonts w:ascii="Arial" w:cs="Arial" w:eastAsia="Arial" w:hAnsi="Arial"/>
          <w:sz w:val="17"/>
          <w:szCs w:val="17"/>
          <w:color w:val="auto"/>
        </w:rPr>
        <w:t xml:space="preserve">Any designation of a Subsidiary of the Company as an Unrestricted Subsidiary will be evidenced to the Agent by filing with the Agent a certified copy of a resolution of the Board of Directors of the Company giving effect to such designation and an Officer’s Certificate of the Company certifying that such designation complied with the preceding conditions and was permitted by Section 2 hereof. If, at any time, any Unrestricted Subsidiary would fail to meet the preceding requirements as an Unrestricted Subsidiary, it will thereafter cease to be an Unrestricted Subsidiary for purposes of this Agreement and any Indebtedness of such Subsidiary will be deemed to be Incurred by a Restricted Subsidiary of the Company as of such date and, if such Indebtedness is not permitted to be Incurred as of such date under Section 4 hereof, the Company will be in Default of such covenant. The Board of Directors of the Company may at any time designate any Unrestricted Subsidiary to be a Restricted Subsidiary of the Company;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designation will be deemed to be an Incurrence of Indebtedness by a Restricted Subsidiary of the Company of any outstanding Indebtedness of such Unrestricted Subsidiary, and such designation will only be permitted if (1) such Indebtedness is permitted under Section 4 hereof,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designation had occurred at the beginning of the reference period; and (2) no Default or Event of Default would be in existence following such designation. On such designation, the Company shall deliver an Officer’s Certificate of the Company to the Agent regarding such designation and certifying that such designation complies with the preceding conditions and the relevant covenants under this Agreement.</w:t>
      </w:r>
    </w:p>
    <w:p>
      <w:pPr>
        <w:spacing w:after="0" w:line="332" w:lineRule="exact"/>
        <w:rPr>
          <w:rFonts w:ascii="Arial" w:cs="Arial" w:eastAsia="Arial" w:hAnsi="Arial"/>
          <w:sz w:val="17"/>
          <w:szCs w:val="17"/>
          <w:color w:val="auto"/>
        </w:rPr>
      </w:pPr>
    </w:p>
    <w:p>
      <w:pPr>
        <w:ind w:left="764" w:hanging="764"/>
        <w:spacing w:after="0"/>
        <w:tabs>
          <w:tab w:leader="none" w:pos="764" w:val="left"/>
        </w:tabs>
        <w:numPr>
          <w:ilvl w:val="0"/>
          <w:numId w:val="1194"/>
        </w:numPr>
        <w:rPr>
          <w:rFonts w:ascii="Arial" w:cs="Arial" w:eastAsia="Arial" w:hAnsi="Arial"/>
          <w:sz w:val="18"/>
          <w:szCs w:val="18"/>
          <w:color w:val="auto"/>
        </w:rPr>
      </w:pPr>
      <w:r>
        <w:rPr>
          <w:rFonts w:ascii="Arial" w:cs="Arial" w:eastAsia="Arial" w:hAnsi="Arial"/>
          <w:sz w:val="18"/>
          <w:szCs w:val="18"/>
          <w:color w:val="auto"/>
        </w:rPr>
        <w:t>Intercompany Note Proceeds Loans</w:t>
      </w:r>
    </w:p>
    <w:p>
      <w:pPr>
        <w:spacing w:after="0" w:line="117" w:lineRule="exact"/>
        <w:rPr>
          <w:rFonts w:ascii="Arial" w:cs="Arial" w:eastAsia="Arial" w:hAnsi="Arial"/>
          <w:sz w:val="18"/>
          <w:szCs w:val="18"/>
          <w:color w:val="auto"/>
        </w:rPr>
      </w:pPr>
    </w:p>
    <w:p>
      <w:pPr>
        <w:ind w:left="764"/>
        <w:spacing w:after="0"/>
        <w:rPr>
          <w:rFonts w:ascii="Arial" w:cs="Arial" w:eastAsia="Arial" w:hAnsi="Arial"/>
          <w:sz w:val="18"/>
          <w:szCs w:val="18"/>
          <w:color w:val="auto"/>
        </w:rPr>
      </w:pPr>
      <w:r>
        <w:rPr>
          <w:rFonts w:ascii="Arial" w:cs="Arial" w:eastAsia="Arial" w:hAnsi="Arial"/>
          <w:sz w:val="18"/>
          <w:szCs w:val="18"/>
          <w:color w:val="auto"/>
        </w:rPr>
        <w:t>The Company shall, and shall cause its Restricted Subsidiaries to, ensure that:</w:t>
      </w:r>
    </w:p>
    <w:p>
      <w:pPr>
        <w:spacing w:after="0" w:line="130" w:lineRule="exact"/>
        <w:rPr>
          <w:rFonts w:ascii="Arial" w:cs="Arial" w:eastAsia="Arial" w:hAnsi="Arial"/>
          <w:sz w:val="18"/>
          <w:szCs w:val="18"/>
          <w:color w:val="auto"/>
        </w:rPr>
      </w:pPr>
    </w:p>
    <w:p>
      <w:pPr>
        <w:ind w:left="1304" w:right="100" w:hanging="535"/>
        <w:spacing w:after="0" w:line="277" w:lineRule="auto"/>
        <w:tabs>
          <w:tab w:leader="none" w:pos="1304" w:val="left"/>
        </w:tabs>
        <w:numPr>
          <w:ilvl w:val="1"/>
          <w:numId w:val="1194"/>
        </w:numPr>
        <w:rPr>
          <w:rFonts w:ascii="Arial" w:cs="Arial" w:eastAsia="Arial" w:hAnsi="Arial"/>
          <w:sz w:val="18"/>
          <w:szCs w:val="18"/>
          <w:color w:val="auto"/>
        </w:rPr>
      </w:pPr>
      <w:r>
        <w:rPr>
          <w:rFonts w:ascii="Arial" w:cs="Arial" w:eastAsia="Arial" w:hAnsi="Arial"/>
          <w:sz w:val="18"/>
          <w:szCs w:val="18"/>
          <w:color w:val="auto"/>
        </w:rPr>
        <w:t>the Intercompany Note Proceeds Loans are subordinated in right of payment to the Guarantees provided by the Company’s Restricted Subsidiaries party thereto;</w:t>
      </w:r>
    </w:p>
    <w:p>
      <w:pPr>
        <w:spacing w:after="0" w:line="75" w:lineRule="exact"/>
        <w:rPr>
          <w:rFonts w:ascii="Arial" w:cs="Arial" w:eastAsia="Arial" w:hAnsi="Arial"/>
          <w:sz w:val="18"/>
          <w:szCs w:val="18"/>
          <w:color w:val="auto"/>
        </w:rPr>
      </w:pPr>
    </w:p>
    <w:p>
      <w:pPr>
        <w:ind w:left="1304" w:right="100" w:hanging="535"/>
        <w:spacing w:after="0" w:line="277" w:lineRule="auto"/>
        <w:tabs>
          <w:tab w:leader="none" w:pos="1304" w:val="left"/>
        </w:tabs>
        <w:numPr>
          <w:ilvl w:val="1"/>
          <w:numId w:val="1194"/>
        </w:numPr>
        <w:rPr>
          <w:rFonts w:ascii="Arial" w:cs="Arial" w:eastAsia="Arial" w:hAnsi="Arial"/>
          <w:sz w:val="18"/>
          <w:szCs w:val="18"/>
          <w:color w:val="auto"/>
        </w:rPr>
      </w:pPr>
      <w:r>
        <w:rPr>
          <w:rFonts w:ascii="Arial" w:cs="Arial" w:eastAsia="Arial" w:hAnsi="Arial"/>
          <w:sz w:val="18"/>
          <w:szCs w:val="18"/>
          <w:color w:val="auto"/>
        </w:rPr>
        <w:t>the Company will receive interest payments under such Intercompany Note Proceeds Loans in amounts sufficient for the Company to make interest payments under the Notes as they become due; and</w:t>
      </w:r>
    </w:p>
    <w:p>
      <w:pPr>
        <w:spacing w:after="0" w:line="75" w:lineRule="exact"/>
        <w:rPr>
          <w:rFonts w:ascii="Arial" w:cs="Arial" w:eastAsia="Arial" w:hAnsi="Arial"/>
          <w:sz w:val="18"/>
          <w:szCs w:val="18"/>
          <w:color w:val="auto"/>
        </w:rPr>
      </w:pPr>
    </w:p>
    <w:p>
      <w:pPr>
        <w:ind w:left="1304" w:hanging="535"/>
        <w:spacing w:after="0"/>
        <w:tabs>
          <w:tab w:leader="none" w:pos="1304" w:val="left"/>
        </w:tabs>
        <w:numPr>
          <w:ilvl w:val="1"/>
          <w:numId w:val="1194"/>
        </w:numPr>
        <w:rPr>
          <w:rFonts w:ascii="Arial" w:cs="Arial" w:eastAsia="Arial" w:hAnsi="Arial"/>
          <w:sz w:val="18"/>
          <w:szCs w:val="18"/>
          <w:color w:val="auto"/>
        </w:rPr>
      </w:pPr>
      <w:r>
        <w:rPr>
          <w:rFonts w:ascii="Arial" w:cs="Arial" w:eastAsia="Arial" w:hAnsi="Arial"/>
          <w:sz w:val="18"/>
          <w:szCs w:val="18"/>
          <w:color w:val="auto"/>
        </w:rPr>
        <w:t>the maturity date of such Intercompany Note Proceeds Loans will be same as the maturity date of the Notes.</w:t>
      </w:r>
    </w:p>
    <w:p>
      <w:pPr>
        <w:spacing w:after="0" w:line="158"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81" w:name="page782"/>
    <w:bookmarkEnd w:id="781"/>
    <w:p>
      <w:pPr>
        <w:ind w:left="764" w:hanging="764"/>
        <w:spacing w:after="0"/>
        <w:tabs>
          <w:tab w:leader="none" w:pos="764" w:val="left"/>
        </w:tabs>
        <w:numPr>
          <w:ilvl w:val="0"/>
          <w:numId w:val="1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Suspension of Covenants</w:t>
      </w:r>
    </w:p>
    <w:p>
      <w:pPr>
        <w:spacing w:after="0" w:line="126" w:lineRule="exact"/>
        <w:rPr>
          <w:rFonts w:ascii="Arial" w:cs="Arial" w:eastAsia="Arial" w:hAnsi="Arial"/>
          <w:sz w:val="18"/>
          <w:szCs w:val="18"/>
          <w:color w:val="auto"/>
        </w:rPr>
      </w:pPr>
    </w:p>
    <w:p>
      <w:pPr>
        <w:ind w:left="1304" w:right="20" w:hanging="535"/>
        <w:spacing w:after="0" w:line="261" w:lineRule="auto"/>
        <w:tabs>
          <w:tab w:leader="none" w:pos="1304" w:val="left"/>
        </w:tabs>
        <w:numPr>
          <w:ilvl w:val="1"/>
          <w:numId w:val="1195"/>
        </w:numPr>
        <w:rPr>
          <w:rFonts w:ascii="Arial" w:cs="Arial" w:eastAsia="Arial" w:hAnsi="Arial"/>
          <w:sz w:val="18"/>
          <w:szCs w:val="18"/>
          <w:color w:val="auto"/>
        </w:rPr>
      </w:pPr>
      <w:r>
        <w:rPr>
          <w:rFonts w:ascii="Arial" w:cs="Arial" w:eastAsia="Arial" w:hAnsi="Arial"/>
          <w:sz w:val="18"/>
          <w:szCs w:val="18"/>
          <w:color w:val="auto"/>
        </w:rPr>
        <w:t>In this Section12, “</w:t>
      </w:r>
      <w:r>
        <w:rPr>
          <w:rFonts w:ascii="Arial" w:cs="Arial" w:eastAsia="Arial" w:hAnsi="Arial"/>
          <w:sz w:val="18"/>
          <w:szCs w:val="18"/>
          <w:b w:val="1"/>
          <w:bCs w:val="1"/>
          <w:color w:val="auto"/>
        </w:rPr>
        <w:t>Rated Liability</w:t>
      </w:r>
      <w:r>
        <w:rPr>
          <w:rFonts w:ascii="Arial" w:cs="Arial" w:eastAsia="Arial" w:hAnsi="Arial"/>
          <w:sz w:val="18"/>
          <w:szCs w:val="18"/>
          <w:color w:val="auto"/>
        </w:rPr>
        <w:t>” means (i) any Financial Indebtedness outstanding under the 2025 Notes Indenture, (ii) any Financial Indebtedness outstanding under the 2028 Notes Indenture, (iii) any Financial Indebtedness outstanding under the 2029 Notes Indenture or (iv) any Financial Indebtedness outstanding under any other Pari Passu Debt Document in an aggregate principal amount of at least US$400,000,000 and that is rated by S&amp;P or Moody’s.</w:t>
      </w:r>
    </w:p>
    <w:p>
      <w:pPr>
        <w:spacing w:after="0" w:line="85" w:lineRule="exact"/>
        <w:rPr>
          <w:rFonts w:ascii="Arial" w:cs="Arial" w:eastAsia="Arial" w:hAnsi="Arial"/>
          <w:sz w:val="18"/>
          <w:szCs w:val="18"/>
          <w:color w:val="auto"/>
        </w:rPr>
      </w:pPr>
    </w:p>
    <w:p>
      <w:pPr>
        <w:ind w:left="1304" w:right="120" w:hanging="535"/>
        <w:spacing w:after="0" w:line="261" w:lineRule="auto"/>
        <w:tabs>
          <w:tab w:leader="none" w:pos="1304" w:val="left"/>
        </w:tabs>
        <w:numPr>
          <w:ilvl w:val="1"/>
          <w:numId w:val="1195"/>
        </w:numPr>
        <w:rPr>
          <w:rFonts w:ascii="Arial" w:cs="Arial" w:eastAsia="Arial" w:hAnsi="Arial"/>
          <w:sz w:val="18"/>
          <w:szCs w:val="18"/>
          <w:color w:val="auto"/>
        </w:rPr>
      </w:pPr>
      <w:r>
        <w:rPr>
          <w:rFonts w:ascii="Arial" w:cs="Arial" w:eastAsia="Arial" w:hAnsi="Arial"/>
          <w:sz w:val="18"/>
          <w:szCs w:val="18"/>
          <w:color w:val="auto"/>
        </w:rPr>
        <w:t>The following covenants (the “</w:t>
      </w:r>
      <w:r>
        <w:rPr>
          <w:rFonts w:ascii="Arial" w:cs="Arial" w:eastAsia="Arial" w:hAnsi="Arial"/>
          <w:sz w:val="18"/>
          <w:szCs w:val="18"/>
          <w:b w:val="1"/>
          <w:bCs w:val="1"/>
          <w:color w:val="auto"/>
        </w:rPr>
        <w:t>Suspended Covenants</w:t>
      </w:r>
      <w:r>
        <w:rPr>
          <w:rFonts w:ascii="Arial" w:cs="Arial" w:eastAsia="Arial" w:hAnsi="Arial"/>
          <w:sz w:val="18"/>
          <w:szCs w:val="18"/>
          <w:color w:val="auto"/>
        </w:rPr>
        <w:t>”) will not apply during any period during which all of the Rated Liabilities have an Investment Grade Status (a “</w:t>
      </w:r>
      <w:r>
        <w:rPr>
          <w:rFonts w:ascii="Arial" w:cs="Arial" w:eastAsia="Arial" w:hAnsi="Arial"/>
          <w:sz w:val="18"/>
          <w:szCs w:val="18"/>
          <w:b w:val="1"/>
          <w:bCs w:val="1"/>
          <w:color w:val="auto"/>
        </w:rPr>
        <w:t>Suspension Period</w:t>
      </w:r>
      <w:r>
        <w:rPr>
          <w:rFonts w:ascii="Arial" w:cs="Arial" w:eastAsia="Arial" w:hAnsi="Arial"/>
          <w:sz w:val="18"/>
          <w:szCs w:val="18"/>
          <w:color w:val="auto"/>
        </w:rPr>
        <w:t>”): Sections 2, 3, 4, 5, 6 and 13(a)(iii). Additionally, during any Suspension Period, the Company will not be permitted to designate any Restricted Subsidiary as an Unrestricted Subsidiary. For the avoidance of doubt, a Suspension Period will not apply if there are no Rated Liabilities.</w:t>
      </w:r>
    </w:p>
    <w:p>
      <w:pPr>
        <w:spacing w:after="0" w:line="89" w:lineRule="exact"/>
        <w:rPr>
          <w:rFonts w:ascii="Arial" w:cs="Arial" w:eastAsia="Arial" w:hAnsi="Arial"/>
          <w:sz w:val="18"/>
          <w:szCs w:val="18"/>
          <w:color w:val="auto"/>
        </w:rPr>
      </w:pPr>
    </w:p>
    <w:p>
      <w:pPr>
        <w:ind w:left="1304" w:right="20" w:hanging="535"/>
        <w:spacing w:after="0" w:line="269" w:lineRule="auto"/>
        <w:tabs>
          <w:tab w:leader="none" w:pos="1304" w:val="left"/>
        </w:tabs>
        <w:numPr>
          <w:ilvl w:val="1"/>
          <w:numId w:val="1195"/>
        </w:numPr>
        <w:rPr>
          <w:rFonts w:ascii="Arial" w:cs="Arial" w:eastAsia="Arial" w:hAnsi="Arial"/>
          <w:sz w:val="17"/>
          <w:szCs w:val="17"/>
          <w:color w:val="auto"/>
        </w:rPr>
      </w:pPr>
      <w:r>
        <w:rPr>
          <w:rFonts w:ascii="Arial" w:cs="Arial" w:eastAsia="Arial" w:hAnsi="Arial"/>
          <w:sz w:val="17"/>
          <w:szCs w:val="17"/>
          <w:color w:val="auto"/>
        </w:rPr>
        <w:t>In the event that the Company and its Restricted Subsidiaries are not subject to the Suspended Covenants for any period of time as a result of clause (b) above, and on any subsequent date (the “</w:t>
      </w:r>
      <w:r>
        <w:rPr>
          <w:rFonts w:ascii="Arial" w:cs="Arial" w:eastAsia="Arial" w:hAnsi="Arial"/>
          <w:sz w:val="17"/>
          <w:szCs w:val="17"/>
          <w:b w:val="1"/>
          <w:bCs w:val="1"/>
          <w:color w:val="auto"/>
        </w:rPr>
        <w:t>Reversion Date</w:t>
      </w:r>
      <w:r>
        <w:rPr>
          <w:rFonts w:ascii="Arial" w:cs="Arial" w:eastAsia="Arial" w:hAnsi="Arial"/>
          <w:sz w:val="17"/>
          <w:szCs w:val="17"/>
          <w:color w:val="auto"/>
        </w:rPr>
        <w:t xml:space="preserve">”) any Rated Liability ceases to have Investment Grade Status (or there cease to be any Rated Liabilities), then the Suspended Covenants will apply with respect to events occurring following the Reversion Date (unless and until a Suspension Period applies again, in which case the Suspended Covenants will again be suspended for such time that there are Rated Liabilities and all of the Rated Liabilities have an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no Default or Event of Default will be deemed to exist under this Agreement with respect to the Suspended Covenants, and none of the Company or any of its Subsidiaries will bear any liability for any actions taken or events occurring during a Suspension Period and before any related Reversion Date, or any actions taken at any time pursuant to any contractual obligation or binding commitment arising prior to such Reversion Date, regardless of whether those actions or events would have been permitted if the applicable Suspended Covenant had remained in effect during such period. The Company shall notify the Agent should a Suspension Period commence;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notification shall not be a condition for the suspension of the covenants set forth above to be effective.</w:t>
      </w:r>
    </w:p>
    <w:p>
      <w:pPr>
        <w:spacing w:after="0" w:line="84" w:lineRule="exact"/>
        <w:rPr>
          <w:rFonts w:ascii="Arial" w:cs="Arial" w:eastAsia="Arial" w:hAnsi="Arial"/>
          <w:sz w:val="17"/>
          <w:szCs w:val="17"/>
          <w:color w:val="auto"/>
        </w:rPr>
      </w:pPr>
    </w:p>
    <w:p>
      <w:pPr>
        <w:ind w:left="1304" w:hanging="535"/>
        <w:spacing w:after="0" w:line="269" w:lineRule="auto"/>
        <w:tabs>
          <w:tab w:leader="none" w:pos="1304" w:val="left"/>
        </w:tabs>
        <w:numPr>
          <w:ilvl w:val="1"/>
          <w:numId w:val="1195"/>
        </w:numPr>
        <w:rPr>
          <w:rFonts w:ascii="Arial" w:cs="Arial" w:eastAsia="Arial" w:hAnsi="Arial"/>
          <w:sz w:val="17"/>
          <w:szCs w:val="17"/>
          <w:color w:val="auto"/>
        </w:rPr>
      </w:pPr>
      <w:r>
        <w:rPr>
          <w:rFonts w:ascii="Arial" w:cs="Arial" w:eastAsia="Arial" w:hAnsi="Arial"/>
          <w:sz w:val="17"/>
          <w:szCs w:val="17"/>
          <w:color w:val="auto"/>
        </w:rPr>
        <w:t xml:space="preserve">On each Reversion Date, all Indebtedness Incurred during the Suspension Period prior to such Reversion Date will be deemed to be Indebtedness existing on the 2021 Amendment and Restatement Effective Date. For purposes of calculating the amount available to be made as Restricted Payments under clause (iv)(C) of Section 2(a) on or after the Reversion Date, calculations under such covenant shall be made as though such covenant had been in effect during the entire period of time after the 2021 Amendment and Restatement Effective Date (including the Suspension Period). Restricted Payments made during the Suspension Period not otherwise permitted pursuant to any of clauses (ii) through (vi) or (xviii) under Section 2(b) hereof will reduce the amount available to be made as Restricted Payments under clause (iv)(C) of Section 2(a);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amount available to be made as Restricted Payments on the Reversion Date shall not be reduced to below zero solely as a result of such Restricted Payments. In addition, for purposes of the other Suspended Covenants, all agreements entered into and all actions taken during the Suspension Period, including, without limitation, the Incurrence of Indebtedness shall be deemed to have been taken or to have existed prior to the 2021 Amendment and Restatement Effective Date.</w:t>
      </w:r>
    </w:p>
    <w:p>
      <w:pPr>
        <w:spacing w:after="0" w:line="114"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82" w:name="page783"/>
    <w:bookmarkEnd w:id="782"/>
    <w:p>
      <w:pPr>
        <w:ind w:left="764" w:hanging="764"/>
        <w:spacing w:after="0"/>
        <w:tabs>
          <w:tab w:leader="none" w:pos="764" w:val="left"/>
        </w:tabs>
        <w:numPr>
          <w:ilvl w:val="0"/>
          <w:numId w:val="1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Consolidation, or Sale of Assets</w:t>
      </w:r>
    </w:p>
    <w:p>
      <w:pPr>
        <w:spacing w:after="0" w:line="130" w:lineRule="exact"/>
        <w:rPr>
          <w:rFonts w:ascii="Arial" w:cs="Arial" w:eastAsia="Arial" w:hAnsi="Arial"/>
          <w:sz w:val="18"/>
          <w:szCs w:val="18"/>
          <w:color w:val="auto"/>
        </w:rPr>
      </w:pPr>
    </w:p>
    <w:p>
      <w:pPr>
        <w:ind w:left="1304" w:right="80" w:hanging="535"/>
        <w:spacing w:after="0" w:line="286" w:lineRule="auto"/>
        <w:tabs>
          <w:tab w:leader="none" w:pos="1304" w:val="left"/>
        </w:tabs>
        <w:numPr>
          <w:ilvl w:val="1"/>
          <w:numId w:val="1196"/>
        </w:numPr>
        <w:rPr>
          <w:rFonts w:ascii="Arial" w:cs="Arial" w:eastAsia="Arial" w:hAnsi="Arial"/>
          <w:sz w:val="17"/>
          <w:szCs w:val="17"/>
          <w:color w:val="auto"/>
        </w:rPr>
      </w:pPr>
      <w:r>
        <w:rPr>
          <w:rFonts w:ascii="Arial" w:cs="Arial" w:eastAsia="Arial" w:hAnsi="Arial"/>
          <w:sz w:val="17"/>
          <w:szCs w:val="17"/>
          <w:color w:val="auto"/>
        </w:rPr>
        <w:t>The Company will not, directly or indirectly: (1) consolidate or merge with or into another Person (whether or not the Company survives); or (2) sell, assign, transfer, convey or otherwise dispose of all or substantially all of the properties or assets of the Company and its Restricted Subsidiaries taken as a whole, in one or more related transactions, to another Person unless:</w:t>
      </w:r>
    </w:p>
    <w:p>
      <w:pPr>
        <w:spacing w:after="0" w:line="70" w:lineRule="exact"/>
        <w:rPr>
          <w:rFonts w:ascii="Arial" w:cs="Arial" w:eastAsia="Arial" w:hAnsi="Arial"/>
          <w:sz w:val="17"/>
          <w:szCs w:val="17"/>
          <w:color w:val="auto"/>
        </w:rPr>
      </w:pPr>
    </w:p>
    <w:p>
      <w:pPr>
        <w:ind w:left="1964" w:hanging="655"/>
        <w:spacing w:after="0"/>
        <w:tabs>
          <w:tab w:leader="none" w:pos="1964" w:val="left"/>
        </w:tabs>
        <w:numPr>
          <w:ilvl w:val="2"/>
          <w:numId w:val="119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jc w:val="both"/>
        <w:ind w:left="2504" w:right="40" w:hanging="533"/>
        <w:spacing w:after="0" w:line="263" w:lineRule="auto"/>
        <w:tabs>
          <w:tab w:leader="none" w:pos="2504" w:val="left"/>
        </w:tabs>
        <w:numPr>
          <w:ilvl w:val="3"/>
          <w:numId w:val="1196"/>
        </w:numPr>
        <w:rPr>
          <w:rFonts w:ascii="Arial" w:cs="Arial" w:eastAsia="Arial" w:hAnsi="Arial"/>
          <w:sz w:val="18"/>
          <w:szCs w:val="18"/>
          <w:color w:val="auto"/>
        </w:rPr>
      </w:pPr>
      <w:r>
        <w:rPr>
          <w:rFonts w:ascii="Arial" w:cs="Arial" w:eastAsia="Arial" w:hAnsi="Arial"/>
          <w:sz w:val="18"/>
          <w:szCs w:val="18"/>
          <w:color w:val="auto"/>
        </w:rPr>
        <w:t>if the transaction or series of transactions is a consolidation of the Company with or a merger of the Company with or into any other Person, the Company, as the case may be, shall be the surviving entity of such merger or consolidation; or</w:t>
      </w:r>
    </w:p>
    <w:p>
      <w:pPr>
        <w:spacing w:after="0" w:line="89" w:lineRule="exact"/>
        <w:rPr>
          <w:rFonts w:ascii="Arial" w:cs="Arial" w:eastAsia="Arial" w:hAnsi="Arial"/>
          <w:sz w:val="18"/>
          <w:szCs w:val="18"/>
          <w:color w:val="auto"/>
        </w:rPr>
      </w:pPr>
    </w:p>
    <w:p>
      <w:pPr>
        <w:ind w:left="2504" w:right="100" w:hanging="533"/>
        <w:spacing w:after="0" w:line="255" w:lineRule="auto"/>
        <w:tabs>
          <w:tab w:leader="none" w:pos="2504" w:val="left"/>
        </w:tabs>
        <w:numPr>
          <w:ilvl w:val="3"/>
          <w:numId w:val="1196"/>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Company)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the Company under the Finance Documents pursuant to such accession documents or agreements that are reasonably satisfactory to the Agent;</w:t>
      </w:r>
    </w:p>
    <w:p>
      <w:pPr>
        <w:spacing w:after="0" w:line="97" w:lineRule="exact"/>
        <w:rPr>
          <w:rFonts w:ascii="Arial" w:cs="Arial" w:eastAsia="Arial" w:hAnsi="Arial"/>
          <w:sz w:val="18"/>
          <w:szCs w:val="18"/>
          <w:color w:val="auto"/>
        </w:rPr>
      </w:pPr>
    </w:p>
    <w:p>
      <w:pPr>
        <w:ind w:left="1964" w:hanging="655"/>
        <w:spacing w:after="0"/>
        <w:tabs>
          <w:tab w:leader="none" w:pos="1964" w:val="left"/>
        </w:tabs>
        <w:numPr>
          <w:ilvl w:val="2"/>
          <w:numId w:val="1196"/>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130" w:lineRule="exact"/>
        <w:rPr>
          <w:rFonts w:ascii="Arial" w:cs="Arial" w:eastAsia="Arial" w:hAnsi="Arial"/>
          <w:sz w:val="18"/>
          <w:szCs w:val="18"/>
          <w:color w:val="auto"/>
        </w:rPr>
      </w:pPr>
    </w:p>
    <w:p>
      <w:pPr>
        <w:ind w:left="1964" w:right="40" w:hanging="655"/>
        <w:spacing w:after="0" w:line="275" w:lineRule="auto"/>
        <w:tabs>
          <w:tab w:leader="none" w:pos="1964" w:val="left"/>
        </w:tabs>
        <w:numPr>
          <w:ilvl w:val="2"/>
          <w:numId w:val="1196"/>
        </w:numPr>
        <w:rPr>
          <w:rFonts w:ascii="Arial" w:cs="Arial" w:eastAsia="Arial" w:hAnsi="Arial"/>
          <w:sz w:val="17"/>
          <w:szCs w:val="17"/>
          <w:color w:val="auto"/>
        </w:rPr>
      </w:pPr>
      <w:r>
        <w:rPr>
          <w:rFonts w:ascii="Arial" w:cs="Arial" w:eastAsia="Arial" w:hAnsi="Arial"/>
          <w:sz w:val="17"/>
          <w:szCs w:val="17"/>
          <w:color w:val="auto"/>
        </w:rPr>
        <w:t>the Company or, if applicable, the Person formed by or surviving any such consolidation or merger (if other than the Company),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US$1.00 of additional Indebtedness pursuant to the Fixed Charge Coverage Ratio test set forth in Section 4(a) hereof; and</w:t>
      </w:r>
    </w:p>
    <w:p>
      <w:pPr>
        <w:spacing w:after="0" w:line="81" w:lineRule="exact"/>
        <w:rPr>
          <w:rFonts w:ascii="Arial" w:cs="Arial" w:eastAsia="Arial" w:hAnsi="Arial"/>
          <w:sz w:val="17"/>
          <w:szCs w:val="17"/>
          <w:color w:val="auto"/>
        </w:rPr>
      </w:pPr>
    </w:p>
    <w:p>
      <w:pPr>
        <w:ind w:left="1964" w:hanging="655"/>
        <w:spacing w:after="0"/>
        <w:tabs>
          <w:tab w:leader="none" w:pos="1964" w:val="left"/>
        </w:tabs>
        <w:numPr>
          <w:ilvl w:val="2"/>
          <w:numId w:val="1196"/>
        </w:numPr>
        <w:rPr>
          <w:rFonts w:ascii="Arial" w:cs="Arial" w:eastAsia="Arial" w:hAnsi="Arial"/>
          <w:sz w:val="18"/>
          <w:szCs w:val="18"/>
          <w:color w:val="auto"/>
        </w:rPr>
      </w:pPr>
      <w:r>
        <w:rPr>
          <w:rFonts w:ascii="Arial" w:cs="Arial" w:eastAsia="Arial" w:hAnsi="Arial"/>
          <w:sz w:val="18"/>
          <w:szCs w:val="18"/>
          <w:color w:val="auto"/>
        </w:rPr>
        <w:t>Clauses 22.10 (“</w:t>
      </w:r>
      <w:r>
        <w:rPr>
          <w:rFonts w:ascii="Arial" w:cs="Arial" w:eastAsia="Arial" w:hAnsi="Arial"/>
          <w:sz w:val="18"/>
          <w:szCs w:val="18"/>
          <w:i w:val="1"/>
          <w:iCs w:val="1"/>
          <w:color w:val="auto"/>
        </w:rPr>
        <w:t>Know your customer</w:t>
      </w:r>
      <w:r>
        <w:rPr>
          <w:rFonts w:ascii="Arial" w:cs="Arial" w:eastAsia="Arial" w:hAnsi="Arial"/>
          <w:sz w:val="18"/>
          <w:szCs w:val="18"/>
          <w:color w:val="auto"/>
        </w:rPr>
        <w:t xml:space="preserve">” </w:t>
      </w:r>
      <w:r>
        <w:rPr>
          <w:rFonts w:ascii="Arial" w:cs="Arial" w:eastAsia="Arial" w:hAnsi="Arial"/>
          <w:sz w:val="18"/>
          <w:szCs w:val="18"/>
          <w:i w:val="1"/>
          <w:iCs w:val="1"/>
          <w:color w:val="auto"/>
        </w:rPr>
        <w:t>checks</w:t>
      </w:r>
      <w:r>
        <w:rPr>
          <w:rFonts w:ascii="Arial" w:cs="Arial" w:eastAsia="Arial" w:hAnsi="Arial"/>
          <w:sz w:val="18"/>
          <w:szCs w:val="18"/>
          <w:color w:val="auto"/>
        </w:rPr>
        <w:t>) and 27 (</w:t>
      </w:r>
      <w:r>
        <w:rPr>
          <w:rFonts w:ascii="Arial" w:cs="Arial" w:eastAsia="Arial" w:hAnsi="Arial"/>
          <w:sz w:val="18"/>
          <w:szCs w:val="18"/>
          <w:i w:val="1"/>
          <w:iCs w:val="1"/>
          <w:color w:val="auto"/>
        </w:rPr>
        <w:t>Changes to the Obligors</w:t>
      </w:r>
      <w:r>
        <w:rPr>
          <w:rFonts w:ascii="Arial" w:cs="Arial" w:eastAsia="Arial" w:hAnsi="Arial"/>
          <w:sz w:val="18"/>
          <w:szCs w:val="18"/>
          <w:color w:val="auto"/>
        </w:rPr>
        <w:t>) of this Agreement are satisfied.</w:t>
      </w:r>
    </w:p>
    <w:p>
      <w:pPr>
        <w:spacing w:after="0" w:line="130" w:lineRule="exact"/>
        <w:rPr>
          <w:rFonts w:ascii="Arial" w:cs="Arial" w:eastAsia="Arial" w:hAnsi="Arial"/>
          <w:sz w:val="18"/>
          <w:szCs w:val="18"/>
          <w:color w:val="auto"/>
        </w:rPr>
      </w:pPr>
    </w:p>
    <w:p>
      <w:pPr>
        <w:ind w:left="1304" w:right="300" w:hanging="535"/>
        <w:spacing w:after="0" w:line="291" w:lineRule="auto"/>
        <w:tabs>
          <w:tab w:leader="none" w:pos="1304" w:val="left"/>
        </w:tabs>
        <w:numPr>
          <w:ilvl w:val="1"/>
          <w:numId w:val="1196"/>
        </w:numPr>
        <w:rPr>
          <w:rFonts w:ascii="Arial" w:cs="Arial" w:eastAsia="Arial" w:hAnsi="Arial"/>
          <w:sz w:val="16"/>
          <w:szCs w:val="16"/>
          <w:color w:val="auto"/>
        </w:rPr>
      </w:pPr>
      <w:r>
        <w:rPr>
          <w:rFonts w:ascii="Arial" w:cs="Arial" w:eastAsia="Arial" w:hAnsi="Arial"/>
          <w:sz w:val="16"/>
          <w:szCs w:val="16"/>
          <w:color w:val="auto"/>
        </w:rPr>
        <w:t>Subject to the Finance Documents, no Subsidiary Guarantor will, and the Company will not permit any Subsidiary Guarantor to, directly or indirectly: (1) consolidate or merge with or into another Person (whether or not such Subsidiary Guarantor survives); or</w:t>
      </w:r>
    </w:p>
    <w:p>
      <w:pPr>
        <w:ind w:left="1304" w:right="60"/>
        <w:spacing w:after="0" w:line="260" w:lineRule="auto"/>
        <w:rPr>
          <w:rFonts w:ascii="Arial" w:cs="Arial" w:eastAsia="Arial" w:hAnsi="Arial"/>
          <w:sz w:val="16"/>
          <w:szCs w:val="16"/>
          <w:color w:val="auto"/>
        </w:rPr>
      </w:pPr>
      <w:r>
        <w:rPr>
          <w:rFonts w:ascii="Arial" w:cs="Arial" w:eastAsia="Arial" w:hAnsi="Arial"/>
          <w:sz w:val="18"/>
          <w:szCs w:val="18"/>
          <w:color w:val="auto"/>
        </w:rPr>
        <w:t>(2) sell, assign, transfer, convey or otherwise dispose of all or substantially all of the properties or assets of such Subsidiary Guarantor in one or more related transactions, to another Person, unless:</w:t>
      </w:r>
    </w:p>
    <w:p>
      <w:pPr>
        <w:spacing w:after="0" w:line="90" w:lineRule="exact"/>
        <w:rPr>
          <w:rFonts w:ascii="Arial" w:cs="Arial" w:eastAsia="Arial" w:hAnsi="Arial"/>
          <w:sz w:val="16"/>
          <w:szCs w:val="16"/>
          <w:color w:val="auto"/>
        </w:rPr>
      </w:pPr>
    </w:p>
    <w:p>
      <w:pPr>
        <w:ind w:left="1964" w:hanging="655"/>
        <w:spacing w:after="0"/>
        <w:tabs>
          <w:tab w:leader="none" w:pos="1964" w:val="left"/>
        </w:tabs>
        <w:numPr>
          <w:ilvl w:val="2"/>
          <w:numId w:val="119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2504" w:right="200" w:hanging="533"/>
        <w:spacing w:after="0" w:line="263" w:lineRule="auto"/>
        <w:tabs>
          <w:tab w:leader="none" w:pos="2504" w:val="left"/>
        </w:tabs>
        <w:numPr>
          <w:ilvl w:val="3"/>
          <w:numId w:val="1196"/>
        </w:numPr>
        <w:rPr>
          <w:rFonts w:ascii="Arial" w:cs="Arial" w:eastAsia="Arial" w:hAnsi="Arial"/>
          <w:sz w:val="18"/>
          <w:szCs w:val="18"/>
          <w:color w:val="auto"/>
        </w:rPr>
      </w:pPr>
      <w:r>
        <w:rPr>
          <w:rFonts w:ascii="Arial" w:cs="Arial" w:eastAsia="Arial" w:hAnsi="Arial"/>
          <w:sz w:val="18"/>
          <w:szCs w:val="18"/>
          <w:color w:val="auto"/>
        </w:rPr>
        <w:t>if the transaction or series of transactions is a consolidation of such Subsidiary Guarantor with or a merger of such Subsidiary Guarantor with or into any other Person, such Subsidiary Guarantor shall be the surviving entity of such consolidation or merger; or</w:t>
      </w:r>
    </w:p>
    <w:p>
      <w:pPr>
        <w:spacing w:after="0" w:line="89" w:lineRule="exact"/>
        <w:rPr>
          <w:rFonts w:ascii="Arial" w:cs="Arial" w:eastAsia="Arial" w:hAnsi="Arial"/>
          <w:sz w:val="18"/>
          <w:szCs w:val="18"/>
          <w:color w:val="auto"/>
        </w:rPr>
      </w:pPr>
    </w:p>
    <w:p>
      <w:pPr>
        <w:ind w:left="2504" w:right="120" w:hanging="533"/>
        <w:spacing w:after="0" w:line="273" w:lineRule="auto"/>
        <w:tabs>
          <w:tab w:leader="none" w:pos="2504" w:val="left"/>
        </w:tabs>
        <w:numPr>
          <w:ilvl w:val="3"/>
          <w:numId w:val="1196"/>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such Subsidiary Guarantor)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the Company under the Finance Documents pursuant to such accession documents or agreements that are reasonably satisfactory to the Agent;</w:t>
      </w:r>
    </w:p>
    <w:p>
      <w:pPr>
        <w:spacing w:after="0" w:line="110"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83" w:name="page784"/>
    <w:bookmarkEnd w:id="783"/>
    <w:p>
      <w:pPr>
        <w:ind w:left="1200" w:hanging="655"/>
        <w:spacing w:after="0"/>
        <w:tabs>
          <w:tab w:leader="none" w:pos="1200" w:val="left"/>
        </w:tabs>
        <w:numPr>
          <w:ilvl w:val="0"/>
          <w:numId w:val="1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after such transaction, no Default or Event of Default exists; and</w:t>
      </w:r>
    </w:p>
    <w:p>
      <w:pPr>
        <w:spacing w:after="0" w:line="130" w:lineRule="exact"/>
        <w:rPr>
          <w:rFonts w:ascii="Arial" w:cs="Arial" w:eastAsia="Arial" w:hAnsi="Arial"/>
          <w:sz w:val="18"/>
          <w:szCs w:val="18"/>
          <w:color w:val="auto"/>
        </w:rPr>
      </w:pPr>
    </w:p>
    <w:p>
      <w:pPr>
        <w:ind w:left="1200" w:hanging="655"/>
        <w:spacing w:after="0"/>
        <w:tabs>
          <w:tab w:leader="none" w:pos="1200" w:val="left"/>
        </w:tabs>
        <w:numPr>
          <w:ilvl w:val="0"/>
          <w:numId w:val="1197"/>
        </w:numPr>
        <w:rPr>
          <w:rFonts w:ascii="Arial" w:cs="Arial" w:eastAsia="Arial" w:hAnsi="Arial"/>
          <w:sz w:val="18"/>
          <w:szCs w:val="18"/>
          <w:color w:val="auto"/>
        </w:rPr>
      </w:pPr>
      <w:r>
        <w:rPr>
          <w:rFonts w:ascii="Arial" w:cs="Arial" w:eastAsia="Arial" w:hAnsi="Arial"/>
          <w:sz w:val="18"/>
          <w:szCs w:val="18"/>
          <w:color w:val="auto"/>
        </w:rPr>
        <w:t>Clauses 22.10 (“</w:t>
      </w:r>
      <w:r>
        <w:rPr>
          <w:rFonts w:ascii="Arial" w:cs="Arial" w:eastAsia="Arial" w:hAnsi="Arial"/>
          <w:sz w:val="18"/>
          <w:szCs w:val="18"/>
          <w:i w:val="1"/>
          <w:iCs w:val="1"/>
          <w:color w:val="auto"/>
        </w:rPr>
        <w:t>Know your customer</w:t>
      </w:r>
      <w:r>
        <w:rPr>
          <w:rFonts w:ascii="Arial" w:cs="Arial" w:eastAsia="Arial" w:hAnsi="Arial"/>
          <w:sz w:val="18"/>
          <w:szCs w:val="18"/>
          <w:color w:val="auto"/>
        </w:rPr>
        <w:t xml:space="preserve">” </w:t>
      </w:r>
      <w:r>
        <w:rPr>
          <w:rFonts w:ascii="Arial" w:cs="Arial" w:eastAsia="Arial" w:hAnsi="Arial"/>
          <w:sz w:val="18"/>
          <w:szCs w:val="18"/>
          <w:i w:val="1"/>
          <w:iCs w:val="1"/>
          <w:color w:val="auto"/>
        </w:rPr>
        <w:t>checks</w:t>
      </w:r>
      <w:r>
        <w:rPr>
          <w:rFonts w:ascii="Arial" w:cs="Arial" w:eastAsia="Arial" w:hAnsi="Arial"/>
          <w:sz w:val="18"/>
          <w:szCs w:val="18"/>
          <w:color w:val="auto"/>
        </w:rPr>
        <w:t>) and 27 (</w:t>
      </w:r>
      <w:r>
        <w:rPr>
          <w:rFonts w:ascii="Arial" w:cs="Arial" w:eastAsia="Arial" w:hAnsi="Arial"/>
          <w:sz w:val="18"/>
          <w:szCs w:val="18"/>
          <w:i w:val="1"/>
          <w:iCs w:val="1"/>
          <w:color w:val="auto"/>
        </w:rPr>
        <w:t>Changes to the Obligors</w:t>
      </w:r>
      <w:r>
        <w:rPr>
          <w:rFonts w:ascii="Arial" w:cs="Arial" w:eastAsia="Arial" w:hAnsi="Arial"/>
          <w:sz w:val="18"/>
          <w:szCs w:val="18"/>
          <w:color w:val="auto"/>
        </w:rPr>
        <w:t>) of this Agreement are satisfied,</w:t>
      </w:r>
    </w:p>
    <w:p>
      <w:pPr>
        <w:spacing w:after="0" w:line="117" w:lineRule="exact"/>
        <w:rPr>
          <w:sz w:val="20"/>
          <w:szCs w:val="20"/>
          <w:color w:val="auto"/>
        </w:rPr>
      </w:pPr>
    </w:p>
    <w:p>
      <w:pPr>
        <w:ind w:left="560" w:right="52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provisions of this Section 13(b) shall not apply if such Subsidiary Guarantor is released from its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as a Subsidiary Guarantor as a result of such consolidation, merger, sale or other disposition pursuant to the Finance Documents.</w:t>
      </w:r>
    </w:p>
    <w:p>
      <w:pPr>
        <w:spacing w:after="0" w:line="89" w:lineRule="exact"/>
        <w:rPr>
          <w:sz w:val="20"/>
          <w:szCs w:val="20"/>
          <w:color w:val="auto"/>
        </w:rPr>
      </w:pPr>
    </w:p>
    <w:p>
      <w:pPr>
        <w:ind w:left="540" w:hanging="535"/>
        <w:spacing w:after="0"/>
        <w:tabs>
          <w:tab w:leader="none" w:pos="540" w:val="left"/>
        </w:tabs>
        <w:numPr>
          <w:ilvl w:val="0"/>
          <w:numId w:val="1198"/>
        </w:numPr>
        <w:rPr>
          <w:rFonts w:ascii="Arial" w:cs="Arial" w:eastAsia="Arial" w:hAnsi="Arial"/>
          <w:sz w:val="18"/>
          <w:szCs w:val="18"/>
          <w:color w:val="auto"/>
        </w:rPr>
      </w:pPr>
      <w:r>
        <w:rPr>
          <w:rFonts w:ascii="Arial" w:cs="Arial" w:eastAsia="Arial" w:hAnsi="Arial"/>
          <w:sz w:val="18"/>
          <w:szCs w:val="18"/>
          <w:color w:val="auto"/>
        </w:rPr>
        <w:t>This Section 13 will not apply to:</w:t>
      </w:r>
    </w:p>
    <w:p>
      <w:pPr>
        <w:spacing w:after="0" w:line="130" w:lineRule="exact"/>
        <w:rPr>
          <w:rFonts w:ascii="Arial" w:cs="Arial" w:eastAsia="Arial" w:hAnsi="Arial"/>
          <w:sz w:val="18"/>
          <w:szCs w:val="18"/>
          <w:color w:val="auto"/>
        </w:rPr>
      </w:pPr>
    </w:p>
    <w:p>
      <w:pPr>
        <w:ind w:left="1200" w:right="820" w:hanging="655"/>
        <w:spacing w:after="0" w:line="342" w:lineRule="auto"/>
        <w:tabs>
          <w:tab w:leader="none" w:pos="1200" w:val="left"/>
        </w:tabs>
        <w:numPr>
          <w:ilvl w:val="1"/>
          <w:numId w:val="1198"/>
        </w:numPr>
        <w:rPr>
          <w:rFonts w:ascii="Arial" w:cs="Arial" w:eastAsia="Arial" w:hAnsi="Arial"/>
          <w:sz w:val="16"/>
          <w:szCs w:val="16"/>
          <w:color w:val="auto"/>
        </w:rPr>
      </w:pPr>
      <w:r>
        <w:rPr>
          <w:rFonts w:ascii="Arial" w:cs="Arial" w:eastAsia="Arial" w:hAnsi="Arial"/>
          <w:sz w:val="16"/>
          <w:szCs w:val="16"/>
          <w:color w:val="auto"/>
        </w:rPr>
        <w:t>a merger of the Company or a Subsidiary Guarantor, as the case may be, with an Affiliate solely for the purpose of reincorporating the Company or a Subsidiary Guarantor, as the case may be, in another jurisdiction; or</w:t>
      </w:r>
    </w:p>
    <w:p>
      <w:pPr>
        <w:spacing w:after="0" w:line="29" w:lineRule="exact"/>
        <w:rPr>
          <w:rFonts w:ascii="Arial" w:cs="Arial" w:eastAsia="Arial" w:hAnsi="Arial"/>
          <w:sz w:val="16"/>
          <w:szCs w:val="16"/>
          <w:color w:val="auto"/>
        </w:rPr>
      </w:pPr>
    </w:p>
    <w:p>
      <w:pPr>
        <w:ind w:left="1200" w:right="200" w:hanging="655"/>
        <w:spacing w:after="0" w:line="308" w:lineRule="auto"/>
        <w:tabs>
          <w:tab w:leader="none" w:pos="1200" w:val="left"/>
        </w:tabs>
        <w:numPr>
          <w:ilvl w:val="1"/>
          <w:numId w:val="1198"/>
        </w:numPr>
        <w:rPr>
          <w:rFonts w:ascii="Arial" w:cs="Arial" w:eastAsia="Arial" w:hAnsi="Arial"/>
          <w:sz w:val="17"/>
          <w:szCs w:val="17"/>
          <w:color w:val="auto"/>
        </w:rPr>
      </w:pPr>
      <w:r>
        <w:rPr>
          <w:rFonts w:ascii="Arial" w:cs="Arial" w:eastAsia="Arial" w:hAnsi="Arial"/>
          <w:sz w:val="17"/>
          <w:szCs w:val="17"/>
          <w:color w:val="auto"/>
        </w:rPr>
        <w:t>any consolidation or merger, or any sale, assignment, transfer, conveyance, or other disposition of assets between or among the Company and the Subsidiary Guarantors or between or among the Subsidiary Guarantors.</w:t>
      </w:r>
    </w:p>
    <w:p>
      <w:pPr>
        <w:spacing w:after="0" w:line="51" w:lineRule="exact"/>
        <w:rPr>
          <w:rFonts w:ascii="Arial" w:cs="Arial" w:eastAsia="Arial" w:hAnsi="Arial"/>
          <w:sz w:val="17"/>
          <w:szCs w:val="17"/>
          <w:color w:val="auto"/>
        </w:rPr>
      </w:pPr>
    </w:p>
    <w:p>
      <w:pPr>
        <w:ind w:left="540" w:right="80" w:hanging="535"/>
        <w:spacing w:after="0" w:line="255" w:lineRule="auto"/>
        <w:tabs>
          <w:tab w:leader="none" w:pos="540" w:val="left"/>
        </w:tabs>
        <w:numPr>
          <w:ilvl w:val="0"/>
          <w:numId w:val="1198"/>
        </w:numPr>
        <w:rPr>
          <w:rFonts w:ascii="Arial" w:cs="Arial" w:eastAsia="Arial" w:hAnsi="Arial"/>
          <w:sz w:val="18"/>
          <w:szCs w:val="18"/>
          <w:color w:val="auto"/>
        </w:rPr>
      </w:pPr>
      <w:r>
        <w:rPr>
          <w:rFonts w:ascii="Arial" w:cs="Arial" w:eastAsia="Arial" w:hAnsi="Arial"/>
          <w:sz w:val="18"/>
          <w:szCs w:val="18"/>
          <w:color w:val="auto"/>
        </w:rPr>
        <w:t xml:space="preserve">Upon consummation of any consolidation or merger, or any sale, assignment, transfer, conveyance, or other disposition of assets by a Subsidiary Guarantor with or into the Company or another Subsidiary Guarantor in accordance with this Section 13 which results in a Subsidiary Guarantor distributing all of its assets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assets required by law to maintain its corporate existence) to the Company or another Subsidiary Guarantor, such transferring Subsidiary Guarantor may be wound up pursuant to a solvent liquidation or solvent reorganization;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it shall have no third party recourse Indebtedness or be the obligor under any intercompany Indebtedness.</w:t>
      </w:r>
    </w:p>
    <w:p>
      <w:pPr>
        <w:spacing w:after="0" w:line="125" w:lineRule="exact"/>
        <w:rPr>
          <w:sz w:val="20"/>
          <w:szCs w:val="20"/>
          <w:color w:val="auto"/>
        </w:rPr>
      </w:pPr>
    </w:p>
    <w:p>
      <w:pPr>
        <w:jc w:val="both"/>
        <w:ind w:left="4660"/>
        <w:spacing w:after="0"/>
        <w:tabs>
          <w:tab w:leader="none" w:pos="80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84" w:name="page785"/>
    <w:bookmarkEnd w:id="7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03" w:lineRule="exact"/>
        <w:rPr>
          <w:sz w:val="20"/>
          <w:szCs w:val="20"/>
          <w:color w:val="auto"/>
        </w:rPr>
      </w:pPr>
    </w:p>
    <w:p>
      <w:pPr>
        <w:ind w:left="760"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2016 7.250% Studio City Company Notes</w:t>
      </w:r>
      <w:r>
        <w:rPr>
          <w:rFonts w:ascii="Arial" w:cs="Arial" w:eastAsia="Arial" w:hAnsi="Arial"/>
          <w:sz w:val="18"/>
          <w:szCs w:val="18"/>
          <w:color w:val="auto"/>
        </w:rPr>
        <w:t>” means the US$850,000,000 7.250% Senior Secured Notes due 2021 of Studio City Company Limited which were redeemed in full on August 14, 2020.</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2024 Notes</w:t>
      </w:r>
      <w:r>
        <w:rPr>
          <w:rFonts w:ascii="Arial" w:cs="Arial" w:eastAsia="Arial" w:hAnsi="Arial"/>
          <w:sz w:val="16"/>
          <w:szCs w:val="16"/>
          <w:color w:val="auto"/>
        </w:rPr>
        <w:t>” means the US$600,000,000 7.250% senior notes due 2024 of the Company which were redeemed in full on February 17, 2021.</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2025 Notes</w:t>
      </w:r>
      <w:r>
        <w:rPr>
          <w:rFonts w:ascii="Arial" w:cs="Arial" w:eastAsia="Arial" w:hAnsi="Arial"/>
          <w:sz w:val="18"/>
          <w:szCs w:val="18"/>
          <w:color w:val="auto"/>
        </w:rPr>
        <w:t>” means:</w:t>
      </w:r>
    </w:p>
    <w:p>
      <w:pPr>
        <w:spacing w:after="0" w:line="117" w:lineRule="exact"/>
        <w:rPr>
          <w:sz w:val="20"/>
          <w:szCs w:val="20"/>
          <w:color w:val="auto"/>
        </w:rPr>
      </w:pPr>
    </w:p>
    <w:p>
      <w:pPr>
        <w:ind w:left="760" w:right="120" w:firstLine="519"/>
        <w:spacing w:after="0" w:line="277" w:lineRule="auto"/>
        <w:tabs>
          <w:tab w:leader="none" w:pos="1707" w:val="left"/>
        </w:tabs>
        <w:numPr>
          <w:ilvl w:val="0"/>
          <w:numId w:val="1199"/>
        </w:numPr>
        <w:rPr>
          <w:rFonts w:ascii="Arial" w:cs="Arial" w:eastAsia="Arial" w:hAnsi="Arial"/>
          <w:sz w:val="18"/>
          <w:szCs w:val="18"/>
          <w:color w:val="auto"/>
        </w:rPr>
      </w:pPr>
      <w:r>
        <w:rPr>
          <w:rFonts w:ascii="Arial" w:cs="Arial" w:eastAsia="Arial" w:hAnsi="Arial"/>
          <w:sz w:val="18"/>
          <w:szCs w:val="18"/>
          <w:color w:val="auto"/>
        </w:rPr>
        <w:t>the USD500,000,000 aggregate principal amount of 6.000% senior notes due 2025 issued by the Company as issuer pursuant to the 2025 Notes Indenture; and</w:t>
      </w:r>
    </w:p>
    <w:p>
      <w:pPr>
        <w:spacing w:after="0" w:line="62" w:lineRule="exact"/>
        <w:rPr>
          <w:rFonts w:ascii="Arial" w:cs="Arial" w:eastAsia="Arial" w:hAnsi="Arial"/>
          <w:sz w:val="18"/>
          <w:szCs w:val="18"/>
          <w:color w:val="auto"/>
        </w:rPr>
      </w:pPr>
    </w:p>
    <w:p>
      <w:pPr>
        <w:ind w:left="760" w:right="40" w:firstLine="519"/>
        <w:spacing w:after="0" w:line="286" w:lineRule="auto"/>
        <w:tabs>
          <w:tab w:leader="none" w:pos="1707" w:val="left"/>
        </w:tabs>
        <w:numPr>
          <w:ilvl w:val="0"/>
          <w:numId w:val="1199"/>
        </w:numPr>
        <w:rPr>
          <w:rFonts w:ascii="Arial" w:cs="Arial" w:eastAsia="Arial" w:hAnsi="Arial"/>
          <w:sz w:val="17"/>
          <w:szCs w:val="17"/>
          <w:color w:val="auto"/>
        </w:rPr>
      </w:pPr>
      <w:r>
        <w:rPr>
          <w:rFonts w:ascii="Arial" w:cs="Arial" w:eastAsia="Arial" w:hAnsi="Arial"/>
          <w:sz w:val="17"/>
          <w:szCs w:val="17"/>
          <w:color w:val="auto"/>
        </w:rPr>
        <w:t>any additional notes issued by the Company as issuer pursuant to the 2025 Notes Indenture as part of the same series of the senior notes issued under paragraph (1) above, provided that the Company has confirmed in writing that the incurrence of those notes will not breach the terms of any of the Finance Documents or any of its then existing Pari Passu Debt Documents.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2025 Notes Guarantees</w:t>
      </w:r>
      <w:r>
        <w:rPr>
          <w:rFonts w:ascii="Arial" w:cs="Arial" w:eastAsia="Arial" w:hAnsi="Arial"/>
          <w:sz w:val="18"/>
          <w:szCs w:val="18"/>
          <w:color w:val="auto"/>
        </w:rPr>
        <w:t>” means the “Notes Guarantee” as defined in the 2025 Notes Indenture.</w:t>
      </w:r>
    </w:p>
    <w:p>
      <w:pPr>
        <w:spacing w:after="0" w:line="225" w:lineRule="exact"/>
        <w:rPr>
          <w:sz w:val="20"/>
          <w:szCs w:val="20"/>
          <w:color w:val="auto"/>
        </w:rPr>
      </w:pPr>
    </w:p>
    <w:p>
      <w:pPr>
        <w:ind w:right="18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2025 Notes Indenture</w:t>
      </w:r>
      <w:r>
        <w:rPr>
          <w:rFonts w:ascii="Arial" w:cs="Arial" w:eastAsia="Arial" w:hAnsi="Arial"/>
          <w:sz w:val="18"/>
          <w:szCs w:val="18"/>
          <w:color w:val="auto"/>
        </w:rPr>
        <w:t>” means the indenture governing the 2025 Notes dated July 15, 2020 and made between, among others, the Company and the 2025 Notes Trustee, as amended or supplemented from time to time.</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2025 Notes Trustee</w:t>
      </w:r>
      <w:r>
        <w:rPr>
          <w:rFonts w:ascii="Arial" w:cs="Arial" w:eastAsia="Arial" w:hAnsi="Arial"/>
          <w:sz w:val="18"/>
          <w:szCs w:val="18"/>
          <w:color w:val="auto"/>
        </w:rPr>
        <w:t>” means the notes trustee in respect of the 2025 Notes.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2028 Notes</w:t>
      </w:r>
      <w:r>
        <w:rPr>
          <w:rFonts w:ascii="Arial" w:cs="Arial" w:eastAsia="Arial" w:hAnsi="Arial"/>
          <w:sz w:val="18"/>
          <w:szCs w:val="18"/>
          <w:color w:val="auto"/>
        </w:rPr>
        <w:t>” means:</w:t>
      </w:r>
    </w:p>
    <w:p>
      <w:pPr>
        <w:spacing w:after="0" w:line="117" w:lineRule="exact"/>
        <w:rPr>
          <w:sz w:val="20"/>
          <w:szCs w:val="20"/>
          <w:color w:val="auto"/>
        </w:rPr>
      </w:pPr>
    </w:p>
    <w:p>
      <w:pPr>
        <w:ind w:left="760" w:right="120" w:firstLine="519"/>
        <w:spacing w:after="0" w:line="277" w:lineRule="auto"/>
        <w:tabs>
          <w:tab w:leader="none" w:pos="1707" w:val="left"/>
        </w:tabs>
        <w:numPr>
          <w:ilvl w:val="0"/>
          <w:numId w:val="1200"/>
        </w:numPr>
        <w:rPr>
          <w:rFonts w:ascii="Arial" w:cs="Arial" w:eastAsia="Arial" w:hAnsi="Arial"/>
          <w:sz w:val="18"/>
          <w:szCs w:val="18"/>
          <w:color w:val="auto"/>
        </w:rPr>
      </w:pPr>
      <w:r>
        <w:rPr>
          <w:rFonts w:ascii="Arial" w:cs="Arial" w:eastAsia="Arial" w:hAnsi="Arial"/>
          <w:sz w:val="18"/>
          <w:szCs w:val="18"/>
          <w:color w:val="auto"/>
        </w:rPr>
        <w:t>the USD500,000,000 aggregate principal amount of 6.500% senior notes due 2028 issued by the Company as issuer pursuant to the 2028 Notes Indenture; and</w:t>
      </w:r>
    </w:p>
    <w:p>
      <w:pPr>
        <w:spacing w:after="0" w:line="62" w:lineRule="exact"/>
        <w:rPr>
          <w:rFonts w:ascii="Arial" w:cs="Arial" w:eastAsia="Arial" w:hAnsi="Arial"/>
          <w:sz w:val="18"/>
          <w:szCs w:val="18"/>
          <w:color w:val="auto"/>
        </w:rPr>
      </w:pPr>
    </w:p>
    <w:p>
      <w:pPr>
        <w:ind w:left="760" w:right="40" w:firstLine="519"/>
        <w:spacing w:after="0" w:line="286" w:lineRule="auto"/>
        <w:tabs>
          <w:tab w:leader="none" w:pos="1707" w:val="left"/>
        </w:tabs>
        <w:numPr>
          <w:ilvl w:val="0"/>
          <w:numId w:val="1200"/>
        </w:numPr>
        <w:rPr>
          <w:rFonts w:ascii="Arial" w:cs="Arial" w:eastAsia="Arial" w:hAnsi="Arial"/>
          <w:sz w:val="17"/>
          <w:szCs w:val="17"/>
          <w:color w:val="auto"/>
        </w:rPr>
      </w:pPr>
      <w:r>
        <w:rPr>
          <w:rFonts w:ascii="Arial" w:cs="Arial" w:eastAsia="Arial" w:hAnsi="Arial"/>
          <w:sz w:val="17"/>
          <w:szCs w:val="17"/>
          <w:color w:val="auto"/>
        </w:rPr>
        <w:t>any additional notes issued by the Company as issuer pursuant to the 2028 Notes Indenture as part of the same series of the senior notes issued under paragraph (1) above, provided that the Company has confirmed in writing that the incurrence of those notes will not breach the terms of any of the Finance Documents or any of its then existing Pari Passu Debt Documents.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2028 Notes Guarantees</w:t>
      </w:r>
      <w:r>
        <w:rPr>
          <w:rFonts w:ascii="Arial" w:cs="Arial" w:eastAsia="Arial" w:hAnsi="Arial"/>
          <w:sz w:val="18"/>
          <w:szCs w:val="18"/>
          <w:color w:val="auto"/>
        </w:rPr>
        <w:t>” means the “Notes Guarantee” as defined in the 2028 Notes Indenture.</w:t>
      </w:r>
    </w:p>
    <w:p>
      <w:pPr>
        <w:spacing w:after="0" w:line="117" w:lineRule="exact"/>
        <w:rPr>
          <w:sz w:val="20"/>
          <w:szCs w:val="20"/>
          <w:color w:val="auto"/>
        </w:rPr>
      </w:pPr>
    </w:p>
    <w:p>
      <w:pPr>
        <w:ind w:right="18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2028 Notes Indenture</w:t>
      </w:r>
      <w:r>
        <w:rPr>
          <w:rFonts w:ascii="Arial" w:cs="Arial" w:eastAsia="Arial" w:hAnsi="Arial"/>
          <w:sz w:val="18"/>
          <w:szCs w:val="18"/>
          <w:color w:val="auto"/>
        </w:rPr>
        <w:t>” means the indenture governing the 2028 Notes dated July 15, 2020 and made between, among others, the Company and the 2028 Notes Trustee, as amended or supplemented from time to time.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2028 Notes Trustee</w:t>
      </w:r>
      <w:r>
        <w:rPr>
          <w:rFonts w:ascii="Arial" w:cs="Arial" w:eastAsia="Arial" w:hAnsi="Arial"/>
          <w:sz w:val="18"/>
          <w:szCs w:val="18"/>
          <w:color w:val="auto"/>
        </w:rPr>
        <w:t>” means the notes trustee in respect of the 2028 Notes. “</w:t>
      </w:r>
      <w:r>
        <w:rPr>
          <w:rFonts w:ascii="Arial" w:cs="Arial" w:eastAsia="Arial" w:hAnsi="Arial"/>
          <w:sz w:val="18"/>
          <w:szCs w:val="18"/>
          <w:i w:val="1"/>
          <w:iCs w:val="1"/>
          <w:color w:val="auto"/>
        </w:rPr>
        <w:t>2029 Notes</w:t>
      </w:r>
      <w:r>
        <w:rPr>
          <w:rFonts w:ascii="Arial" w:cs="Arial" w:eastAsia="Arial" w:hAnsi="Arial"/>
          <w:sz w:val="18"/>
          <w:szCs w:val="18"/>
          <w:color w:val="auto"/>
        </w:rPr>
        <w:t>” means:</w:t>
      </w:r>
    </w:p>
    <w:p>
      <w:pPr>
        <w:spacing w:after="0" w:line="117" w:lineRule="exact"/>
        <w:rPr>
          <w:sz w:val="20"/>
          <w:szCs w:val="20"/>
          <w:color w:val="auto"/>
        </w:rPr>
      </w:pPr>
    </w:p>
    <w:p>
      <w:pPr>
        <w:ind w:left="760" w:right="120" w:firstLine="519"/>
        <w:spacing w:after="0" w:line="277" w:lineRule="auto"/>
        <w:tabs>
          <w:tab w:leader="none" w:pos="1707" w:val="left"/>
        </w:tabs>
        <w:numPr>
          <w:ilvl w:val="0"/>
          <w:numId w:val="1201"/>
        </w:numPr>
        <w:rPr>
          <w:rFonts w:ascii="Arial" w:cs="Arial" w:eastAsia="Arial" w:hAnsi="Arial"/>
          <w:sz w:val="18"/>
          <w:szCs w:val="18"/>
          <w:color w:val="auto"/>
        </w:rPr>
      </w:pPr>
      <w:r>
        <w:rPr>
          <w:rFonts w:ascii="Arial" w:cs="Arial" w:eastAsia="Arial" w:hAnsi="Arial"/>
          <w:sz w:val="18"/>
          <w:szCs w:val="18"/>
          <w:color w:val="auto"/>
        </w:rPr>
        <w:t>the USD750,000,000 aggregate principal amount of 5.000% senior notes due 2029 issued by the Company as issuer pursuant to the 2029 Notes Indenture; and</w:t>
      </w:r>
    </w:p>
    <w:p>
      <w:pPr>
        <w:spacing w:after="0" w:line="62" w:lineRule="exact"/>
        <w:rPr>
          <w:rFonts w:ascii="Arial" w:cs="Arial" w:eastAsia="Arial" w:hAnsi="Arial"/>
          <w:sz w:val="18"/>
          <w:szCs w:val="18"/>
          <w:color w:val="auto"/>
        </w:rPr>
      </w:pPr>
    </w:p>
    <w:p>
      <w:pPr>
        <w:ind w:left="760" w:right="40" w:firstLine="519"/>
        <w:spacing w:after="0" w:line="286" w:lineRule="auto"/>
        <w:tabs>
          <w:tab w:leader="none" w:pos="1707" w:val="left"/>
        </w:tabs>
        <w:numPr>
          <w:ilvl w:val="0"/>
          <w:numId w:val="1201"/>
        </w:numPr>
        <w:rPr>
          <w:rFonts w:ascii="Arial" w:cs="Arial" w:eastAsia="Arial" w:hAnsi="Arial"/>
          <w:sz w:val="17"/>
          <w:szCs w:val="17"/>
          <w:color w:val="auto"/>
        </w:rPr>
      </w:pPr>
      <w:r>
        <w:rPr>
          <w:rFonts w:ascii="Arial" w:cs="Arial" w:eastAsia="Arial" w:hAnsi="Arial"/>
          <w:sz w:val="17"/>
          <w:szCs w:val="17"/>
          <w:color w:val="auto"/>
        </w:rPr>
        <w:t>any additional notes issued by the Company as issuer pursuant to the 2029 Notes Indenture as part of the same series of the senior notes issued under paragraph (1) above, provided that the Company has confirmed in writing that the incurrence of those notes will not breach the terms of any of the Finance Documents or any of its then existing Pari Passu Debt Documents.</w:t>
      </w:r>
    </w:p>
    <w:p>
      <w:pPr>
        <w:spacing w:after="0" w:line="98"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0" w:right="439" w:bottom="1440" w:gutter="0" w:footer="0" w:header="0"/>
        </w:sectPr>
      </w:pPr>
    </w:p>
    <w:bookmarkStart w:id="785" w:name="page786"/>
    <w:bookmarkEnd w:id="785"/>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2029 Notes Guarantees</w:t>
      </w:r>
      <w:r>
        <w:rPr>
          <w:rFonts w:ascii="Arial" w:cs="Arial" w:eastAsia="Arial" w:hAnsi="Arial"/>
          <w:sz w:val="18"/>
          <w:szCs w:val="18"/>
          <w:color w:val="auto"/>
        </w:rPr>
        <w:t>” means the “Note Guarantee” as defined in the 2029 Notes Indenture.</w:t>
      </w:r>
    </w:p>
    <w:p>
      <w:pPr>
        <w:spacing w:after="0" w:line="225" w:lineRule="exact"/>
        <w:rPr>
          <w:sz w:val="20"/>
          <w:szCs w:val="20"/>
          <w:color w:val="auto"/>
        </w:rPr>
      </w:pPr>
    </w:p>
    <w:p>
      <w:pPr>
        <w:ind w:right="66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2029 Notes Indenture</w:t>
      </w:r>
      <w:r>
        <w:rPr>
          <w:rFonts w:ascii="Arial" w:cs="Arial" w:eastAsia="Arial" w:hAnsi="Arial"/>
          <w:sz w:val="18"/>
          <w:szCs w:val="18"/>
          <w:color w:val="auto"/>
        </w:rPr>
        <w:t>” means the indenture governing the 2029 Notes dated January 14, 2021 and made between, among others, the Company and the 2029 Notes Trustee, as amended or supplemented from time to time.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2029 Notes Trustee</w:t>
      </w:r>
      <w:r>
        <w:rPr>
          <w:rFonts w:ascii="Arial" w:cs="Arial" w:eastAsia="Arial" w:hAnsi="Arial"/>
          <w:sz w:val="18"/>
          <w:szCs w:val="18"/>
          <w:color w:val="auto"/>
        </w:rPr>
        <w:t>” means the notes trustee in respect of the 2029 Notes.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760" w:right="100" w:firstLine="519"/>
        <w:spacing w:after="0" w:line="263" w:lineRule="auto"/>
        <w:tabs>
          <w:tab w:leader="none" w:pos="1707" w:val="left"/>
        </w:tabs>
        <w:numPr>
          <w:ilvl w:val="0"/>
          <w:numId w:val="1202"/>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75" w:lineRule="exact"/>
        <w:rPr>
          <w:rFonts w:ascii="Arial" w:cs="Arial" w:eastAsia="Arial" w:hAnsi="Arial"/>
          <w:sz w:val="18"/>
          <w:szCs w:val="18"/>
          <w:color w:val="auto"/>
        </w:rPr>
      </w:pPr>
    </w:p>
    <w:p>
      <w:pPr>
        <w:ind w:left="1720" w:hanging="441"/>
        <w:spacing w:after="0"/>
        <w:tabs>
          <w:tab w:leader="none" w:pos="1720" w:val="left"/>
        </w:tabs>
        <w:numPr>
          <w:ilvl w:val="0"/>
          <w:numId w:val="1202"/>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2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2025 Notes</w:t>
      </w:r>
      <w:r>
        <w:rPr>
          <w:rFonts w:ascii="Arial" w:cs="Arial" w:eastAsia="Arial" w:hAnsi="Arial"/>
          <w:sz w:val="18"/>
          <w:szCs w:val="18"/>
          <w:color w:val="auto"/>
        </w:rPr>
        <w:t xml:space="preserve">” means additional 2025 Notes (other than the Initial 2025 Notes) issued under the 2025 Notes Indenture, as part of the same series as the Initial 2025 Notes;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Additional 2025 Notes that are not fungible with the 2025 Notes for U.S. federal income tax purposes shall have a separate CUSIP, ISIN or other identifying number than any previously issued 2025 Notes, but shall otherwise be treated as a single class with all other 2025 Notes issued under the 2025 Notes Indenture.</w:t>
      </w:r>
    </w:p>
    <w:p>
      <w:pPr>
        <w:spacing w:after="0" w:line="187" w:lineRule="exact"/>
        <w:rPr>
          <w:sz w:val="20"/>
          <w:szCs w:val="20"/>
          <w:color w:val="auto"/>
        </w:rPr>
      </w:pPr>
    </w:p>
    <w:p>
      <w:pPr>
        <w:ind w:right="2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2028 Notes</w:t>
      </w:r>
      <w:r>
        <w:rPr>
          <w:rFonts w:ascii="Arial" w:cs="Arial" w:eastAsia="Arial" w:hAnsi="Arial"/>
          <w:sz w:val="18"/>
          <w:szCs w:val="18"/>
          <w:color w:val="auto"/>
        </w:rPr>
        <w:t xml:space="preserve">” means additional 2028 Notes (other than the Initial 2028 Notes) issued under the 2028 Notes Indenture, as part of the same series as the Initial 2028 Notes;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Additional 2028 Notes that are not fungible with the 2028 Notes for U.S. federal income tax purposes shall have a separate CUSIP, ISIN or other identifying number than any previously issued 2028 Notes, but shall otherwise be treated as a single class with all other 2028 Notes issued under the 2028 Notes Indenture.</w:t>
      </w:r>
    </w:p>
    <w:p>
      <w:pPr>
        <w:spacing w:after="0" w:line="187" w:lineRule="exact"/>
        <w:rPr>
          <w:sz w:val="20"/>
          <w:szCs w:val="20"/>
          <w:color w:val="auto"/>
        </w:rPr>
      </w:pPr>
    </w:p>
    <w:p>
      <w:pPr>
        <w:ind w:right="2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2029 Notes</w:t>
      </w:r>
      <w:r>
        <w:rPr>
          <w:rFonts w:ascii="Arial" w:cs="Arial" w:eastAsia="Arial" w:hAnsi="Arial"/>
          <w:sz w:val="18"/>
          <w:szCs w:val="18"/>
          <w:color w:val="auto"/>
        </w:rPr>
        <w:t xml:space="preserve">” means additional 2029 Notes (other than the Initial 2029 Notes) issued under the 2029 Notes Indenture, as part of the same series as the Initial 2029 Notes;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Additional 2029 Notes that are not fungible with the 2029 Notes for U.S. federal income tax purposes shall have a separate CUSIP, ISIN or other identifying number than any previously issued 2029 Notes, but shall otherwise be treated as a single class with all other 2029 Notes issued under the 2029 Notes Indenture.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Senior Notes</w:t>
      </w:r>
      <w:r>
        <w:rPr>
          <w:rFonts w:ascii="Arial" w:cs="Arial" w:eastAsia="Arial" w:hAnsi="Arial"/>
          <w:sz w:val="18"/>
          <w:szCs w:val="18"/>
          <w:color w:val="auto"/>
        </w:rPr>
        <w:t>” means Additional 2025 Notes, Additional 2028 Notes and Additional 2029 Notes.</w:t>
      </w:r>
    </w:p>
    <w:p>
      <w:pPr>
        <w:spacing w:after="0" w:line="225" w:lineRule="exact"/>
        <w:rPr>
          <w:sz w:val="20"/>
          <w:szCs w:val="20"/>
          <w:color w:val="auto"/>
        </w:rPr>
      </w:pPr>
    </w:p>
    <w:p>
      <w:pPr>
        <w:ind w:right="20" w:firstLine="77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7"/>
          <w:szCs w:val="17"/>
          <w:i w:val="1"/>
          <w:iCs w:val="1"/>
          <w:color w:val="auto"/>
        </w:rPr>
        <w:t>control</w:t>
      </w:r>
      <w:r>
        <w:rPr>
          <w:rFonts w:ascii="Arial" w:cs="Arial" w:eastAsia="Arial" w:hAnsi="Arial"/>
          <w:sz w:val="17"/>
          <w:szCs w:val="17"/>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beneficial ownership of 10% or more of the Voting Stock of a Person will be deemed to be control. For purposes of this definition, the terms “</w:t>
      </w:r>
      <w:r>
        <w:rPr>
          <w:rFonts w:ascii="Arial" w:cs="Arial" w:eastAsia="Arial" w:hAnsi="Arial"/>
          <w:sz w:val="17"/>
          <w:szCs w:val="17"/>
          <w:i w:val="1"/>
          <w:iCs w:val="1"/>
          <w:color w:val="auto"/>
        </w:rPr>
        <w:t>controlling,</w:t>
      </w:r>
      <w:r>
        <w:rPr>
          <w:rFonts w:ascii="Arial" w:cs="Arial" w:eastAsia="Arial" w:hAnsi="Arial"/>
          <w:sz w:val="17"/>
          <w:szCs w:val="17"/>
          <w:color w:val="auto"/>
        </w:rPr>
        <w:t>” “</w:t>
      </w:r>
      <w:r>
        <w:rPr>
          <w:rFonts w:ascii="Arial" w:cs="Arial" w:eastAsia="Arial" w:hAnsi="Arial"/>
          <w:sz w:val="17"/>
          <w:szCs w:val="17"/>
          <w:i w:val="1"/>
          <w:iCs w:val="1"/>
          <w:color w:val="auto"/>
        </w:rPr>
        <w:t>controlled by</w:t>
      </w:r>
      <w:r>
        <w:rPr>
          <w:rFonts w:ascii="Arial" w:cs="Arial" w:eastAsia="Arial" w:hAnsi="Arial"/>
          <w:sz w:val="17"/>
          <w:szCs w:val="17"/>
          <w:color w:val="auto"/>
        </w:rPr>
        <w:t>” and “</w:t>
      </w:r>
      <w:r>
        <w:rPr>
          <w:rFonts w:ascii="Arial" w:cs="Arial" w:eastAsia="Arial" w:hAnsi="Arial"/>
          <w:sz w:val="17"/>
          <w:szCs w:val="17"/>
          <w:i w:val="1"/>
          <w:iCs w:val="1"/>
          <w:color w:val="auto"/>
        </w:rPr>
        <w:t>under common control with</w:t>
      </w:r>
      <w:r>
        <w:rPr>
          <w:rFonts w:ascii="Arial" w:cs="Arial" w:eastAsia="Arial" w:hAnsi="Arial"/>
          <w:sz w:val="17"/>
          <w:szCs w:val="17"/>
          <w:color w:val="auto"/>
        </w:rPr>
        <w:t>” have correlative meanings.</w:t>
      </w:r>
    </w:p>
    <w:p>
      <w:pPr>
        <w:spacing w:after="0" w:line="109"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86" w:name="page787"/>
    <w:bookmarkEnd w:id="7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right="60" w:firstLine="1134"/>
        <w:spacing w:after="0" w:line="257" w:lineRule="auto"/>
        <w:tabs>
          <w:tab w:leader="none" w:pos="1562" w:val="left"/>
        </w:tabs>
        <w:numPr>
          <w:ilvl w:val="0"/>
          <w:numId w:val="1203"/>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sale, lease, conveyance or other disposition of all or substantially all of the assets of the Company and its Restricted Subsidiaries taken as a whole will be governed by Clause 9.2 (</w:t>
      </w:r>
      <w:r>
        <w:rPr>
          <w:rFonts w:ascii="Arial" w:cs="Arial" w:eastAsia="Arial" w:hAnsi="Arial"/>
          <w:sz w:val="18"/>
          <w:szCs w:val="18"/>
          <w:i w:val="1"/>
          <w:iCs w:val="1"/>
          <w:color w:val="auto"/>
        </w:rPr>
        <w:t>Change of Control, Concession-Related Mandatory Prepayment Event and Disposal Prepayment Event</w:t>
      </w:r>
      <w:r>
        <w:rPr>
          <w:rFonts w:ascii="Arial" w:cs="Arial" w:eastAsia="Arial" w:hAnsi="Arial"/>
          <w:sz w:val="18"/>
          <w:szCs w:val="18"/>
          <w:color w:val="auto"/>
        </w:rPr>
        <w:t>) of this Agreement and/or the provisions of this Agreement described in Section 13 of Schedule 10 (</w:t>
      </w:r>
      <w:r>
        <w:rPr>
          <w:rFonts w:ascii="Arial" w:cs="Arial" w:eastAsia="Arial" w:hAnsi="Arial"/>
          <w:sz w:val="18"/>
          <w:szCs w:val="18"/>
          <w:i w:val="1"/>
          <w:iCs w:val="1"/>
          <w:color w:val="auto"/>
        </w:rPr>
        <w:t>Covenants</w:t>
      </w:r>
      <w:r>
        <w:rPr>
          <w:rFonts w:ascii="Arial" w:cs="Arial" w:eastAsia="Arial" w:hAnsi="Arial"/>
          <w:sz w:val="18"/>
          <w:szCs w:val="18"/>
          <w:color w:val="auto"/>
        </w:rPr>
        <w:t>) and not by the provisions of Section 5 of Schedule 10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right="240" w:firstLine="1134"/>
        <w:spacing w:after="0" w:line="277" w:lineRule="auto"/>
        <w:tabs>
          <w:tab w:leader="none" w:pos="1562" w:val="left"/>
        </w:tabs>
        <w:numPr>
          <w:ilvl w:val="0"/>
          <w:numId w:val="1203"/>
        </w:numPr>
        <w:rPr>
          <w:rFonts w:ascii="Arial" w:cs="Arial" w:eastAsia="Arial" w:hAnsi="Arial"/>
          <w:sz w:val="18"/>
          <w:szCs w:val="18"/>
          <w:color w:val="auto"/>
        </w:rPr>
      </w:pPr>
      <w:r>
        <w:rPr>
          <w:rFonts w:ascii="Arial" w:cs="Arial" w:eastAsia="Arial" w:hAnsi="Arial"/>
          <w:sz w:val="18"/>
          <w:szCs w:val="18"/>
          <w:color w:val="auto"/>
        </w:rPr>
        <w:t>the issuance of Equity Interests in any of the Restricted Subsidiaries of the Company or the sale of Equity Interests in any of the Company’s Subsidiaries; and</w:t>
      </w:r>
    </w:p>
    <w:p>
      <w:pPr>
        <w:spacing w:after="0" w:line="62" w:lineRule="exact"/>
        <w:rPr>
          <w:rFonts w:ascii="Arial" w:cs="Arial" w:eastAsia="Arial" w:hAnsi="Arial"/>
          <w:sz w:val="18"/>
          <w:szCs w:val="18"/>
          <w:color w:val="auto"/>
        </w:rPr>
      </w:pPr>
    </w:p>
    <w:p>
      <w:pPr>
        <w:ind w:left="1560" w:hanging="426"/>
        <w:spacing w:after="0"/>
        <w:tabs>
          <w:tab w:leader="none" w:pos="1560" w:val="left"/>
        </w:tabs>
        <w:numPr>
          <w:ilvl w:val="0"/>
          <w:numId w:val="1203"/>
        </w:numPr>
        <w:rPr>
          <w:rFonts w:ascii="Arial" w:cs="Arial" w:eastAsia="Arial" w:hAnsi="Arial"/>
          <w:sz w:val="18"/>
          <w:szCs w:val="18"/>
          <w:color w:val="auto"/>
        </w:rPr>
      </w:pPr>
      <w:r>
        <w:rPr>
          <w:rFonts w:ascii="Arial" w:cs="Arial" w:eastAsia="Arial" w:hAnsi="Arial"/>
          <w:sz w:val="18"/>
          <w:szCs w:val="18"/>
          <w:color w:val="auto"/>
        </w:rPr>
        <w:t>any Event of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117" w:lineRule="exact"/>
        <w:rPr>
          <w:sz w:val="20"/>
          <w:szCs w:val="20"/>
          <w:color w:val="auto"/>
        </w:rPr>
      </w:pPr>
    </w:p>
    <w:p>
      <w:pPr>
        <w:ind w:left="1560" w:hanging="426"/>
        <w:spacing w:after="0"/>
        <w:tabs>
          <w:tab w:leader="none" w:pos="1560" w:val="left"/>
        </w:tabs>
        <w:numPr>
          <w:ilvl w:val="0"/>
          <w:numId w:val="1204"/>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involves assets having a Fair Market Value of less than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US$5.0 million;</w:t>
      </w:r>
    </w:p>
    <w:p>
      <w:pPr>
        <w:spacing w:after="0" w:line="102" w:lineRule="exact"/>
        <w:rPr>
          <w:rFonts w:ascii="Arial" w:cs="Arial" w:eastAsia="Arial" w:hAnsi="Arial"/>
          <w:sz w:val="17"/>
          <w:szCs w:val="17"/>
          <w:color w:val="auto"/>
        </w:rPr>
      </w:pPr>
    </w:p>
    <w:p>
      <w:pPr>
        <w:ind w:left="1560" w:hanging="426"/>
        <w:spacing w:after="0"/>
        <w:tabs>
          <w:tab w:leader="none" w:pos="1560" w:val="left"/>
        </w:tabs>
        <w:numPr>
          <w:ilvl w:val="0"/>
          <w:numId w:val="1204"/>
        </w:numPr>
        <w:rPr>
          <w:rFonts w:ascii="Arial" w:cs="Arial" w:eastAsia="Arial" w:hAnsi="Arial"/>
          <w:sz w:val="18"/>
          <w:szCs w:val="18"/>
          <w:color w:val="auto"/>
        </w:rPr>
      </w:pPr>
      <w:r>
        <w:rPr>
          <w:rFonts w:ascii="Arial" w:cs="Arial" w:eastAsia="Arial" w:hAnsi="Arial"/>
          <w:sz w:val="18"/>
          <w:szCs w:val="18"/>
          <w:color w:val="auto"/>
        </w:rPr>
        <w:t>a transfer of assets between or among the Company and its Restricted Subsidiaries;</w:t>
      </w:r>
    </w:p>
    <w:p>
      <w:pPr>
        <w:spacing w:after="0" w:line="117" w:lineRule="exact"/>
        <w:rPr>
          <w:rFonts w:ascii="Arial" w:cs="Arial" w:eastAsia="Arial" w:hAnsi="Arial"/>
          <w:sz w:val="18"/>
          <w:szCs w:val="18"/>
          <w:color w:val="auto"/>
        </w:rPr>
      </w:pPr>
    </w:p>
    <w:p>
      <w:pPr>
        <w:ind w:left="1560" w:hanging="426"/>
        <w:spacing w:after="0"/>
        <w:tabs>
          <w:tab w:leader="none" w:pos="1560" w:val="left"/>
        </w:tabs>
        <w:numPr>
          <w:ilvl w:val="0"/>
          <w:numId w:val="1204"/>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the Company to Company or a Restricted Subsidiary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right="100" w:firstLine="1134"/>
        <w:spacing w:after="0" w:line="257" w:lineRule="auto"/>
        <w:tabs>
          <w:tab w:leader="none" w:pos="1562" w:val="left"/>
        </w:tabs>
        <w:numPr>
          <w:ilvl w:val="0"/>
          <w:numId w:val="1204"/>
        </w:numPr>
        <w:rPr>
          <w:rFonts w:ascii="Arial" w:cs="Arial" w:eastAsia="Arial" w:hAnsi="Arial"/>
          <w:sz w:val="18"/>
          <w:szCs w:val="18"/>
          <w:color w:val="auto"/>
        </w:rPr>
      </w:pPr>
      <w:r>
        <w:rPr>
          <w:rFonts w:ascii="Arial" w:cs="Arial" w:eastAsia="Arial" w:hAnsi="Arial"/>
          <w:sz w:val="18"/>
          <w:szCs w:val="18"/>
          <w:color w:val="auto"/>
        </w:rPr>
        <w:t>the sale, license, transfer, lease (including the right to use) or other disposal of products, services, rights, accounts receivable, undertakings, establishments or other current assets or cessation of any undertaking or establishment in the ordinary course of business (including pursuant to any shared services agreements (including the MSA), Revenue Sharing Agreement or any construction and development activities) and any sale or other disposition of damaged, worn-out, surplus or obsolete assets (or the dissolution of any Dormant Subsidiary) in the ordinary course of business;</w:t>
      </w:r>
    </w:p>
    <w:p>
      <w:pPr>
        <w:spacing w:after="0" w:line="79" w:lineRule="exact"/>
        <w:rPr>
          <w:rFonts w:ascii="Arial" w:cs="Arial" w:eastAsia="Arial" w:hAnsi="Arial"/>
          <w:sz w:val="18"/>
          <w:szCs w:val="18"/>
          <w:color w:val="auto"/>
        </w:rPr>
      </w:pPr>
    </w:p>
    <w:p>
      <w:pPr>
        <w:ind w:left="1560" w:hanging="426"/>
        <w:spacing w:after="0"/>
        <w:tabs>
          <w:tab w:leader="none" w:pos="1560" w:val="left"/>
        </w:tabs>
        <w:numPr>
          <w:ilvl w:val="0"/>
          <w:numId w:val="1204"/>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17" w:lineRule="exact"/>
        <w:rPr>
          <w:rFonts w:ascii="Arial" w:cs="Arial" w:eastAsia="Arial" w:hAnsi="Arial"/>
          <w:sz w:val="18"/>
          <w:szCs w:val="18"/>
          <w:color w:val="auto"/>
        </w:rPr>
      </w:pPr>
    </w:p>
    <w:p>
      <w:pPr>
        <w:ind w:left="1560" w:hanging="426"/>
        <w:spacing w:after="0"/>
        <w:tabs>
          <w:tab w:leader="none" w:pos="1560" w:val="left"/>
        </w:tabs>
        <w:numPr>
          <w:ilvl w:val="0"/>
          <w:numId w:val="1204"/>
        </w:numPr>
        <w:rPr>
          <w:rFonts w:ascii="Arial" w:cs="Arial" w:eastAsia="Arial" w:hAnsi="Arial"/>
          <w:sz w:val="16"/>
          <w:szCs w:val="16"/>
          <w:color w:val="auto"/>
        </w:rPr>
      </w:pPr>
      <w:r>
        <w:rPr>
          <w:rFonts w:ascii="Arial" w:cs="Arial" w:eastAsia="Arial" w:hAnsi="Arial"/>
          <w:sz w:val="16"/>
          <w:szCs w:val="16"/>
          <w:color w:val="auto"/>
        </w:rPr>
        <w:t>any transfer, termination or unwinding or other disposition of Hedging Obligations in the ordinary course of business;</w:t>
      </w:r>
    </w:p>
    <w:p>
      <w:pPr>
        <w:spacing w:after="0" w:line="140" w:lineRule="exact"/>
        <w:rPr>
          <w:rFonts w:ascii="Arial" w:cs="Arial" w:eastAsia="Arial" w:hAnsi="Arial"/>
          <w:sz w:val="16"/>
          <w:szCs w:val="16"/>
          <w:color w:val="auto"/>
        </w:rPr>
      </w:pPr>
    </w:p>
    <w:p>
      <w:pPr>
        <w:ind w:right="400" w:firstLine="1134"/>
        <w:spacing w:after="0" w:line="277" w:lineRule="auto"/>
        <w:tabs>
          <w:tab w:leader="none" w:pos="1562" w:val="left"/>
        </w:tabs>
        <w:numPr>
          <w:ilvl w:val="0"/>
          <w:numId w:val="1204"/>
        </w:numPr>
        <w:rPr>
          <w:rFonts w:ascii="Arial" w:cs="Arial" w:eastAsia="Arial" w:hAnsi="Arial"/>
          <w:sz w:val="18"/>
          <w:szCs w:val="18"/>
          <w:color w:val="auto"/>
        </w:rPr>
      </w:pPr>
      <w:r>
        <w:rPr>
          <w:rFonts w:ascii="Arial" w:cs="Arial" w:eastAsia="Arial" w:hAnsi="Arial"/>
          <w:sz w:val="18"/>
          <w:szCs w:val="18"/>
          <w:color w:val="auto"/>
        </w:rPr>
        <w:t>a transaction covered under Clause 9.2 (</w:t>
      </w:r>
      <w:r>
        <w:rPr>
          <w:rFonts w:ascii="Arial" w:cs="Arial" w:eastAsia="Arial" w:hAnsi="Arial"/>
          <w:sz w:val="18"/>
          <w:szCs w:val="18"/>
          <w:i w:val="1"/>
          <w:iCs w:val="1"/>
          <w:color w:val="auto"/>
        </w:rPr>
        <w:t>Change of Control, Concession-Related Mandatory Prepayment Event and</w:t>
      </w:r>
      <w:r>
        <w:rPr>
          <w:rFonts w:ascii="Arial" w:cs="Arial" w:eastAsia="Arial" w:hAnsi="Arial"/>
          <w:sz w:val="18"/>
          <w:szCs w:val="18"/>
          <w:color w:val="auto"/>
        </w:rPr>
        <w:t xml:space="preserve"> </w:t>
      </w:r>
      <w:r>
        <w:rPr>
          <w:rFonts w:ascii="Arial" w:cs="Arial" w:eastAsia="Arial" w:hAnsi="Arial"/>
          <w:sz w:val="18"/>
          <w:szCs w:val="18"/>
          <w:i w:val="1"/>
          <w:iCs w:val="1"/>
          <w:color w:val="auto"/>
        </w:rPr>
        <w:t>Disposal Prepayment Event</w:t>
      </w:r>
      <w:r>
        <w:rPr>
          <w:rFonts w:ascii="Arial" w:cs="Arial" w:eastAsia="Arial" w:hAnsi="Arial"/>
          <w:sz w:val="18"/>
          <w:szCs w:val="18"/>
          <w:color w:val="auto"/>
        </w:rPr>
        <w:t>) of this Agreement or Section 13 of Schedule 10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00" w:firstLine="1134"/>
        <w:spacing w:after="0" w:line="263" w:lineRule="auto"/>
        <w:tabs>
          <w:tab w:leader="none" w:pos="1562" w:val="left"/>
        </w:tabs>
        <w:numPr>
          <w:ilvl w:val="0"/>
          <w:numId w:val="1204"/>
        </w:numPr>
        <w:rPr>
          <w:rFonts w:ascii="Arial" w:cs="Arial" w:eastAsia="Arial" w:hAnsi="Arial"/>
          <w:sz w:val="18"/>
          <w:szCs w:val="18"/>
          <w:color w:val="auto"/>
        </w:rPr>
      </w:pPr>
      <w:r>
        <w:rPr>
          <w:rFonts w:ascii="Arial" w:cs="Arial" w:eastAsia="Arial" w:hAnsi="Arial"/>
          <w:sz w:val="18"/>
          <w:szCs w:val="18"/>
          <w:color w:val="auto"/>
        </w:rPr>
        <w:t>the lease of, right to use or equivalent interest under Macau law on that portion of real property granted to Studio City Developments Limited pursuant to the applicable land concession granted by the government of the Macau SAR in connection with the development of the Phase II Project in accordance with such applicable land concession;</w:t>
      </w:r>
    </w:p>
    <w:p>
      <w:pPr>
        <w:spacing w:after="0" w:line="75" w:lineRule="exact"/>
        <w:rPr>
          <w:rFonts w:ascii="Arial" w:cs="Arial" w:eastAsia="Arial" w:hAnsi="Arial"/>
          <w:sz w:val="18"/>
          <w:szCs w:val="18"/>
          <w:color w:val="auto"/>
        </w:rPr>
      </w:pPr>
    </w:p>
    <w:p>
      <w:pPr>
        <w:ind w:right="80" w:firstLine="1134"/>
        <w:spacing w:after="0" w:line="257" w:lineRule="auto"/>
        <w:tabs>
          <w:tab w:leader="none" w:pos="1562" w:val="left"/>
        </w:tabs>
        <w:numPr>
          <w:ilvl w:val="0"/>
          <w:numId w:val="1204"/>
        </w:numPr>
        <w:rPr>
          <w:rFonts w:ascii="Arial" w:cs="Arial" w:eastAsia="Arial" w:hAnsi="Arial"/>
          <w:sz w:val="18"/>
          <w:szCs w:val="18"/>
          <w:color w:val="auto"/>
        </w:rPr>
      </w:pPr>
      <w:r>
        <w:rPr>
          <w:rFonts w:ascii="Arial" w:cs="Arial" w:eastAsia="Arial" w:hAnsi="Arial"/>
          <w:sz w:val="18"/>
          <w:szCs w:val="18"/>
          <w:color w:val="auto"/>
        </w:rPr>
        <w:t>a Restricted Payment that does not violate the provisions of Section 2 of Schedule 10 (</w:t>
      </w:r>
      <w:r>
        <w:rPr>
          <w:rFonts w:ascii="Arial" w:cs="Arial" w:eastAsia="Arial" w:hAnsi="Arial"/>
          <w:sz w:val="18"/>
          <w:szCs w:val="18"/>
          <w:i w:val="1"/>
          <w:iCs w:val="1"/>
          <w:color w:val="auto"/>
        </w:rPr>
        <w:t>Covenants</w:t>
      </w:r>
      <w:r>
        <w:rPr>
          <w:rFonts w:ascii="Arial" w:cs="Arial" w:eastAsia="Arial" w:hAnsi="Arial"/>
          <w:sz w:val="18"/>
          <w:szCs w:val="18"/>
          <w:color w:val="auto"/>
        </w:rPr>
        <w:t>) or a Permitted Investment, and any other payment under the Services and Right to Use Agreement, the Reinvestment Agreement or the MSA and any transactions or arrangements involving contractual rights under, pursuant to or in connection with the Services and Right to Use Agreement, the Reinvestment Agreement or the MSA, including any amendments, modifications, supplements, extensions, replacements, terminations or renewals thereof;</w:t>
      </w:r>
    </w:p>
    <w:p>
      <w:pPr>
        <w:spacing w:after="0" w:line="120" w:lineRule="exact"/>
        <w:rPr>
          <w:sz w:val="20"/>
          <w:szCs w:val="20"/>
          <w:color w:val="auto"/>
        </w:rPr>
      </w:pPr>
    </w:p>
    <w:p>
      <w:pPr>
        <w:jc w:val="both"/>
        <w:ind w:left="4660"/>
        <w:spacing w:after="0"/>
        <w:tabs>
          <w:tab w:leader="none" w:pos="80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787" w:name="page788"/>
    <w:bookmarkEnd w:id="787"/>
    <w:p>
      <w:pPr>
        <w:ind w:left="760" w:right="40" w:firstLine="1134"/>
        <w:spacing w:after="0" w:line="254" w:lineRule="auto"/>
        <w:tabs>
          <w:tab w:leader="none" w:pos="2411" w:val="left"/>
        </w:tabs>
        <w:numPr>
          <w:ilvl w:val="0"/>
          <w:numId w:val="1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 lease, sublease, license or right to use of any portion of the Property to persons who, either directly or through Affiliates of such persons, intend to develop, operate or manage gaming, hotel, nightclubs, bars, restaurants, malls, amusements, attractions, recreation, spa, pool, exercise or gym facilities, or entertainment facilities or venues or retail shops or venues or similar or related establishments or facilities within the Property and (ii) the grant of declarations of covenants, conditions and restrictions and/or easements or other rights to use with respect to common area spaces and similar instruments benefiting such tenants of such lease, subleases licenses and rights to use generally and/or entered into connection with the Property (collectively, the “</w:t>
      </w:r>
      <w:r>
        <w:rPr>
          <w:rFonts w:ascii="Arial" w:cs="Arial" w:eastAsia="Arial" w:hAnsi="Arial"/>
          <w:sz w:val="18"/>
          <w:szCs w:val="18"/>
          <w:i w:val="1"/>
          <w:iCs w:val="1"/>
          <w:color w:val="auto"/>
        </w:rPr>
        <w:t>Venue Easements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Venue Easements or operations conducted pursuant thereto would reasonably be expected to materially interfere with, or materially impair or detract from, the operation of the Property;</w:t>
      </w:r>
    </w:p>
    <w:p>
      <w:pPr>
        <w:spacing w:after="0" w:line="83" w:lineRule="exact"/>
        <w:rPr>
          <w:rFonts w:ascii="Arial" w:cs="Arial" w:eastAsia="Arial" w:hAnsi="Arial"/>
          <w:sz w:val="18"/>
          <w:szCs w:val="18"/>
          <w:color w:val="auto"/>
        </w:rPr>
      </w:pPr>
    </w:p>
    <w:p>
      <w:pPr>
        <w:ind w:left="760" w:right="40" w:firstLine="1134"/>
        <w:spacing w:after="0" w:line="259" w:lineRule="auto"/>
        <w:tabs>
          <w:tab w:leader="none" w:pos="2405" w:val="left"/>
        </w:tabs>
        <w:numPr>
          <w:ilvl w:val="0"/>
          <w:numId w:val="1205"/>
        </w:numPr>
        <w:rPr>
          <w:rFonts w:ascii="Arial" w:cs="Arial" w:eastAsia="Arial" w:hAnsi="Arial"/>
          <w:sz w:val="18"/>
          <w:szCs w:val="18"/>
          <w:color w:val="auto"/>
        </w:rPr>
      </w:pPr>
      <w:r>
        <w:rPr>
          <w:rFonts w:ascii="Arial" w:cs="Arial" w:eastAsia="Arial" w:hAnsi="Arial"/>
          <w:sz w:val="18"/>
          <w:szCs w:val="18"/>
          <w:color w:val="auto"/>
        </w:rPr>
        <w:t>the dedication of space or other dispositions of property in connection with and in furtherance of constructing structures or improvements reasonably related to the development, construction and operation of the Property; provided that in each case such dedication or other disposition is in furtherance of, and does not materially impair or interfere with the use or operations (or intended use or operations) of, the Property;</w:t>
      </w:r>
    </w:p>
    <w:p>
      <w:pPr>
        <w:spacing w:after="0" w:line="78" w:lineRule="exact"/>
        <w:rPr>
          <w:rFonts w:ascii="Arial" w:cs="Arial" w:eastAsia="Arial" w:hAnsi="Arial"/>
          <w:sz w:val="18"/>
          <w:szCs w:val="18"/>
          <w:color w:val="auto"/>
        </w:rPr>
      </w:pPr>
    </w:p>
    <w:p>
      <w:pPr>
        <w:ind w:left="760" w:right="20" w:firstLine="1134"/>
        <w:spacing w:after="0" w:line="259" w:lineRule="auto"/>
        <w:tabs>
          <w:tab w:leader="none" w:pos="2411" w:val="left"/>
        </w:tabs>
        <w:numPr>
          <w:ilvl w:val="0"/>
          <w:numId w:val="1205"/>
        </w:numPr>
        <w:rPr>
          <w:rFonts w:ascii="Arial" w:cs="Arial" w:eastAsia="Arial" w:hAnsi="Arial"/>
          <w:sz w:val="18"/>
          <w:szCs w:val="18"/>
          <w:color w:val="auto"/>
        </w:rPr>
      </w:pPr>
      <w:r>
        <w:rPr>
          <w:rFonts w:ascii="Arial" w:cs="Arial" w:eastAsia="Arial" w:hAnsi="Arial"/>
          <w:sz w:val="18"/>
          <w:szCs w:val="18"/>
          <w:color w:val="auto"/>
        </w:rPr>
        <w:t>the granting of easements, rights of way, rights of access and/or similar rights to any governmental authority, utility providers, cable or other communication providers and/or other parties providing services or benefits to the Property, the real property held by the Company or a Restricted Subsidiary of the Company or the public at large that would not reasonably be expected to interfere in any material respect with the construction, development or operation of the Property;</w:t>
      </w:r>
    </w:p>
    <w:p>
      <w:pPr>
        <w:spacing w:after="0" w:line="78" w:lineRule="exact"/>
        <w:rPr>
          <w:rFonts w:ascii="Arial" w:cs="Arial" w:eastAsia="Arial" w:hAnsi="Arial"/>
          <w:sz w:val="18"/>
          <w:szCs w:val="18"/>
          <w:color w:val="auto"/>
        </w:rPr>
      </w:pPr>
    </w:p>
    <w:p>
      <w:pPr>
        <w:ind w:left="760" w:right="20" w:firstLine="1134"/>
        <w:spacing w:after="0" w:line="263" w:lineRule="auto"/>
        <w:tabs>
          <w:tab w:leader="none" w:pos="2411" w:val="left"/>
        </w:tabs>
        <w:numPr>
          <w:ilvl w:val="0"/>
          <w:numId w:val="1205"/>
        </w:numPr>
        <w:rPr>
          <w:rFonts w:ascii="Arial" w:cs="Arial" w:eastAsia="Arial" w:hAnsi="Arial"/>
          <w:sz w:val="18"/>
          <w:szCs w:val="18"/>
          <w:color w:val="auto"/>
        </w:rPr>
      </w:pPr>
      <w:r>
        <w:rPr>
          <w:rFonts w:ascii="Arial" w:cs="Arial" w:eastAsia="Arial" w:hAnsi="Arial"/>
          <w:sz w:val="18"/>
          <w:szCs w:val="18"/>
          <w:color w:val="auto"/>
        </w:rPr>
        <w:t>the granting of a lease, right to use or equivalent interest to Melco Resorts Macau or Melco Resorts or any of its Affiliates for purposes of operating a gaming facility at Studio City, including under the Services and Right to Use Agreement and any related agreements, or any transactions or arrangements contemplated thereby;</w:t>
      </w:r>
    </w:p>
    <w:p>
      <w:pPr>
        <w:spacing w:after="0" w:line="75" w:lineRule="exact"/>
        <w:rPr>
          <w:rFonts w:ascii="Arial" w:cs="Arial" w:eastAsia="Arial" w:hAnsi="Arial"/>
          <w:sz w:val="18"/>
          <w:szCs w:val="18"/>
          <w:color w:val="auto"/>
        </w:rPr>
      </w:pPr>
    </w:p>
    <w:p>
      <w:pPr>
        <w:ind w:left="760" w:right="60" w:firstLine="1134"/>
        <w:spacing w:after="0" w:line="263" w:lineRule="auto"/>
        <w:tabs>
          <w:tab w:leader="none" w:pos="2411" w:val="left"/>
        </w:tabs>
        <w:numPr>
          <w:ilvl w:val="0"/>
          <w:numId w:val="1205"/>
        </w:numPr>
        <w:rPr>
          <w:rFonts w:ascii="Arial" w:cs="Arial" w:eastAsia="Arial" w:hAnsi="Arial"/>
          <w:sz w:val="18"/>
          <w:szCs w:val="18"/>
          <w:color w:val="auto"/>
        </w:rPr>
      </w:pPr>
      <w:r>
        <w:rPr>
          <w:rFonts w:ascii="Arial" w:cs="Arial" w:eastAsia="Arial" w:hAnsi="Arial"/>
          <w:sz w:val="18"/>
          <w:szCs w:val="18"/>
          <w:color w:val="auto"/>
        </w:rPr>
        <w:t>the grant of licenses to intellectual property rights to third Persons (other than Affiliates of the Company or any Restricted Subsidiary of the Company) on an arm’s length basis in the ordinary course of business or to Melco Resorts Macau, Melco Resorts and its Affiliates in the ordinary course of business;</w:t>
      </w:r>
    </w:p>
    <w:p>
      <w:pPr>
        <w:spacing w:after="0" w:line="75" w:lineRule="exact"/>
        <w:rPr>
          <w:rFonts w:ascii="Arial" w:cs="Arial" w:eastAsia="Arial" w:hAnsi="Arial"/>
          <w:sz w:val="18"/>
          <w:szCs w:val="18"/>
          <w:color w:val="auto"/>
        </w:rPr>
      </w:pPr>
    </w:p>
    <w:p>
      <w:pPr>
        <w:ind w:left="760" w:right="260" w:firstLine="1134"/>
        <w:spacing w:after="0" w:line="277" w:lineRule="auto"/>
        <w:tabs>
          <w:tab w:leader="none" w:pos="2411" w:val="left"/>
        </w:tabs>
        <w:numPr>
          <w:ilvl w:val="0"/>
          <w:numId w:val="1205"/>
        </w:numPr>
        <w:rPr>
          <w:rFonts w:ascii="Arial" w:cs="Arial" w:eastAsia="Arial" w:hAnsi="Arial"/>
          <w:sz w:val="18"/>
          <w:szCs w:val="18"/>
          <w:color w:val="auto"/>
        </w:rPr>
      </w:pPr>
      <w:r>
        <w:rPr>
          <w:rFonts w:ascii="Arial" w:cs="Arial" w:eastAsia="Arial" w:hAnsi="Arial"/>
          <w:sz w:val="18"/>
          <w:szCs w:val="18"/>
          <w:color w:val="auto"/>
        </w:rPr>
        <w:t>transfers, assignments or dispositions constituting an Incurrence of a Permitted Lien (but not the actual sale or other disposition of the property subject to such Lien); and</w:t>
      </w:r>
    </w:p>
    <w:p>
      <w:pPr>
        <w:spacing w:after="0" w:line="62" w:lineRule="exact"/>
        <w:rPr>
          <w:rFonts w:ascii="Arial" w:cs="Arial" w:eastAsia="Arial" w:hAnsi="Arial"/>
          <w:sz w:val="18"/>
          <w:szCs w:val="18"/>
          <w:color w:val="auto"/>
        </w:rPr>
      </w:pPr>
    </w:p>
    <w:p>
      <w:pPr>
        <w:ind w:left="760" w:right="200" w:firstLine="1134"/>
        <w:spacing w:after="0" w:line="308" w:lineRule="auto"/>
        <w:tabs>
          <w:tab w:leader="none" w:pos="2411" w:val="left"/>
        </w:tabs>
        <w:numPr>
          <w:ilvl w:val="0"/>
          <w:numId w:val="1205"/>
        </w:numPr>
        <w:rPr>
          <w:rFonts w:ascii="Arial" w:cs="Arial" w:eastAsia="Arial" w:hAnsi="Arial"/>
          <w:sz w:val="17"/>
          <w:szCs w:val="17"/>
          <w:color w:val="auto"/>
        </w:rPr>
      </w:pPr>
      <w:r>
        <w:rPr>
          <w:rFonts w:ascii="Arial" w:cs="Arial" w:eastAsia="Arial" w:hAnsi="Arial"/>
          <w:sz w:val="17"/>
          <w:szCs w:val="17"/>
          <w:color w:val="auto"/>
        </w:rPr>
        <w:t>any surrender or waiver of contractual rights or settlement, release, recovery on or surrender of contract, tort or other claims in the ordinary course of business. “</w:t>
      </w:r>
      <w:r>
        <w:rPr>
          <w:rFonts w:ascii="Arial" w:cs="Arial" w:eastAsia="Arial" w:hAnsi="Arial"/>
          <w:sz w:val="17"/>
          <w:szCs w:val="17"/>
          <w:i w:val="1"/>
          <w:iCs w:val="1"/>
          <w:color w:val="auto"/>
        </w:rPr>
        <w:t>Asset Sale Offer</w:t>
      </w:r>
      <w:r>
        <w:rPr>
          <w:rFonts w:ascii="Arial" w:cs="Arial" w:eastAsia="Arial" w:hAnsi="Arial"/>
          <w:sz w:val="17"/>
          <w:szCs w:val="17"/>
          <w:color w:val="auto"/>
        </w:rPr>
        <w:t>” has the meaning given to it under each High Yield Note Indenture.</w:t>
      </w:r>
    </w:p>
    <w:p>
      <w:pPr>
        <w:spacing w:after="0" w:line="146" w:lineRule="exact"/>
        <w:rPr>
          <w:sz w:val="20"/>
          <w:szCs w:val="20"/>
          <w:color w:val="auto"/>
        </w:rPr>
      </w:pPr>
    </w:p>
    <w:p>
      <w:pPr>
        <w:ind w:right="40" w:firstLine="77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20"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88" w:name="page789"/>
    <w:bookmarkEnd w:id="788"/>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760" w:right="200" w:firstLine="1134"/>
        <w:spacing w:after="0" w:line="277" w:lineRule="auto"/>
        <w:tabs>
          <w:tab w:leader="none" w:pos="2322" w:val="left"/>
        </w:tabs>
        <w:numPr>
          <w:ilvl w:val="0"/>
          <w:numId w:val="1206"/>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62" w:lineRule="exact"/>
        <w:rPr>
          <w:rFonts w:ascii="Arial" w:cs="Arial" w:eastAsia="Arial" w:hAnsi="Arial"/>
          <w:sz w:val="18"/>
          <w:szCs w:val="18"/>
          <w:color w:val="auto"/>
        </w:rPr>
      </w:pPr>
    </w:p>
    <w:p>
      <w:pPr>
        <w:ind w:left="2320" w:hanging="426"/>
        <w:spacing w:after="0"/>
        <w:tabs>
          <w:tab w:leader="none" w:pos="2320" w:val="left"/>
        </w:tabs>
        <w:numPr>
          <w:ilvl w:val="0"/>
          <w:numId w:val="1206"/>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760" w:right="720" w:firstLine="1134"/>
        <w:spacing w:after="0" w:line="277" w:lineRule="auto"/>
        <w:tabs>
          <w:tab w:leader="none" w:pos="2322" w:val="left"/>
        </w:tabs>
        <w:numPr>
          <w:ilvl w:val="0"/>
          <w:numId w:val="1206"/>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2320" w:hanging="426"/>
        <w:spacing w:after="0"/>
        <w:tabs>
          <w:tab w:leader="none" w:pos="2320" w:val="left"/>
        </w:tabs>
        <w:numPr>
          <w:ilvl w:val="0"/>
          <w:numId w:val="1206"/>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Legal Holiday.</w:t>
      </w:r>
    </w:p>
    <w:p>
      <w:pPr>
        <w:spacing w:after="0" w:line="225" w:lineRule="exact"/>
        <w:rPr>
          <w:sz w:val="20"/>
          <w:szCs w:val="20"/>
          <w:color w:val="auto"/>
        </w:rPr>
      </w:pPr>
    </w:p>
    <w:p>
      <w:pPr>
        <w:ind w:right="2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is to be made, the amount of the liability in respect of a finance or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2320" w:hanging="426"/>
        <w:spacing w:after="0"/>
        <w:tabs>
          <w:tab w:leader="none" w:pos="2320" w:val="left"/>
        </w:tabs>
        <w:numPr>
          <w:ilvl w:val="0"/>
          <w:numId w:val="1207"/>
        </w:numPr>
        <w:rPr>
          <w:rFonts w:ascii="Arial" w:cs="Arial" w:eastAsia="Arial" w:hAnsi="Arial"/>
          <w:sz w:val="18"/>
          <w:szCs w:val="18"/>
          <w:color w:val="auto"/>
        </w:rPr>
      </w:pPr>
      <w:r>
        <w:rPr>
          <w:rFonts w:ascii="Arial" w:cs="Arial" w:eastAsia="Arial" w:hAnsi="Arial"/>
          <w:sz w:val="18"/>
          <w:szCs w:val="18"/>
          <w:color w:val="auto"/>
        </w:rPr>
        <w:t>in the case of a corporation, corporate stock or shares;</w:t>
      </w:r>
    </w:p>
    <w:p>
      <w:pPr>
        <w:spacing w:after="0" w:line="117" w:lineRule="exact"/>
        <w:rPr>
          <w:rFonts w:ascii="Arial" w:cs="Arial" w:eastAsia="Arial" w:hAnsi="Arial"/>
          <w:sz w:val="18"/>
          <w:szCs w:val="18"/>
          <w:color w:val="auto"/>
        </w:rPr>
      </w:pPr>
    </w:p>
    <w:p>
      <w:pPr>
        <w:ind w:left="760" w:right="280" w:firstLine="1134"/>
        <w:spacing w:after="0" w:line="277" w:lineRule="auto"/>
        <w:tabs>
          <w:tab w:leader="none" w:pos="2322" w:val="left"/>
        </w:tabs>
        <w:numPr>
          <w:ilvl w:val="0"/>
          <w:numId w:val="120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2320" w:hanging="426"/>
        <w:spacing w:after="0"/>
        <w:tabs>
          <w:tab w:leader="none" w:pos="2320" w:val="left"/>
        </w:tabs>
        <w:numPr>
          <w:ilvl w:val="0"/>
          <w:numId w:val="1207"/>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or membership interests (whether general or</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limited); and</w:t>
      </w:r>
    </w:p>
    <w:p>
      <w:pPr>
        <w:spacing w:after="0" w:line="102" w:lineRule="exact"/>
        <w:rPr>
          <w:rFonts w:ascii="Arial" w:cs="Arial" w:eastAsia="Arial" w:hAnsi="Arial"/>
          <w:sz w:val="17"/>
          <w:szCs w:val="17"/>
          <w:color w:val="auto"/>
        </w:rPr>
      </w:pPr>
    </w:p>
    <w:p>
      <w:pPr>
        <w:ind w:left="760" w:right="380" w:firstLine="1134"/>
        <w:spacing w:after="0" w:line="263" w:lineRule="auto"/>
        <w:tabs>
          <w:tab w:leader="none" w:pos="2322" w:val="left"/>
        </w:tabs>
        <w:numPr>
          <w:ilvl w:val="0"/>
          <w:numId w:val="1207"/>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760" w:right="400" w:firstLine="1134"/>
        <w:spacing w:after="0" w:line="263" w:lineRule="auto"/>
        <w:tabs>
          <w:tab w:leader="none" w:pos="2322" w:val="left"/>
        </w:tabs>
        <w:numPr>
          <w:ilvl w:val="0"/>
          <w:numId w:val="1208"/>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full faith and credit of the United States is pledged in support of those securities) having maturities of not more than six months from the date of acquisition;</w:t>
      </w:r>
    </w:p>
    <w:p>
      <w:pPr>
        <w:spacing w:after="0" w:line="75" w:lineRule="exact"/>
        <w:rPr>
          <w:rFonts w:ascii="Arial" w:cs="Arial" w:eastAsia="Arial" w:hAnsi="Arial"/>
          <w:sz w:val="18"/>
          <w:szCs w:val="18"/>
          <w:color w:val="auto"/>
        </w:rPr>
      </w:pPr>
    </w:p>
    <w:p>
      <w:pPr>
        <w:ind w:left="760" w:right="80" w:firstLine="1134"/>
        <w:spacing w:after="0" w:line="273" w:lineRule="auto"/>
        <w:tabs>
          <w:tab w:leader="none" w:pos="2322" w:val="left"/>
        </w:tabs>
        <w:numPr>
          <w:ilvl w:val="0"/>
          <w:numId w:val="1208"/>
        </w:numPr>
        <w:rPr>
          <w:rFonts w:ascii="Arial" w:cs="Arial" w:eastAsia="Arial" w:hAnsi="Arial"/>
          <w:sz w:val="17"/>
          <w:szCs w:val="17"/>
          <w:color w:val="auto"/>
        </w:rPr>
      </w:pPr>
      <w:r>
        <w:rPr>
          <w:rFonts w:ascii="Arial" w:cs="Arial" w:eastAsia="Arial" w:hAnsi="Arial"/>
          <w:sz w:val="17"/>
          <w:szCs w:val="17"/>
          <w:color w:val="auto"/>
        </w:rPr>
        <w:t>demand deposits, certificates of deposit, time deposits and eurodollar time deposits with maturities of 12 months or less from the date of acquisition, bankers’ acceptances with maturities not exceeding six months and overnight bank deposits, in each case, with any commercial bank organized under the laws of Macau, Hong Kong, a member state of the European Union or of the United States of America or any state thereof having capital and surplus in excess of US$500.0 million (or the foreign currency equivalent thereof as of the date of such investment) and whose long-term debt is rated “A-3” or higher by Moody’s or “A-” or higher by S&amp;P or the equivalent rating category or another internationally recognized rating agency ;</w:t>
      </w:r>
    </w:p>
    <w:p>
      <w:pPr>
        <w:spacing w:after="0" w:line="110"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89" w:name="page790"/>
    <w:bookmarkEnd w:id="789"/>
    <w:p>
      <w:pPr>
        <w:ind w:left="760" w:right="520" w:firstLine="1134"/>
        <w:spacing w:after="0" w:line="342" w:lineRule="auto"/>
        <w:tabs>
          <w:tab w:leader="none" w:pos="2322" w:val="left"/>
        </w:tabs>
        <w:numPr>
          <w:ilvl w:val="1"/>
          <w:numId w:val="1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 obligations with a term of not more than seven days for underlying securities of the types described in clauses (1) and (2) above entered into with any financial institution meeting the qualifications specified in clause (2) above;</w:t>
      </w:r>
    </w:p>
    <w:p>
      <w:pPr>
        <w:spacing w:after="0" w:line="15" w:lineRule="exact"/>
        <w:rPr>
          <w:rFonts w:ascii="Arial" w:cs="Arial" w:eastAsia="Arial" w:hAnsi="Arial"/>
          <w:sz w:val="16"/>
          <w:szCs w:val="16"/>
          <w:color w:val="auto"/>
        </w:rPr>
      </w:pPr>
    </w:p>
    <w:p>
      <w:pPr>
        <w:ind w:left="760" w:right="240" w:firstLine="1134"/>
        <w:spacing w:after="0" w:line="277" w:lineRule="auto"/>
        <w:tabs>
          <w:tab w:leader="none" w:pos="2322" w:val="left"/>
        </w:tabs>
        <w:numPr>
          <w:ilvl w:val="1"/>
          <w:numId w:val="1209"/>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12 months after the date of acquisition; and</w:t>
      </w:r>
    </w:p>
    <w:p>
      <w:pPr>
        <w:spacing w:after="0" w:line="62" w:lineRule="exact"/>
        <w:rPr>
          <w:rFonts w:ascii="Arial" w:cs="Arial" w:eastAsia="Arial" w:hAnsi="Arial"/>
          <w:sz w:val="18"/>
          <w:szCs w:val="18"/>
          <w:color w:val="auto"/>
        </w:rPr>
      </w:pPr>
    </w:p>
    <w:p>
      <w:pPr>
        <w:ind w:left="2320" w:hanging="426"/>
        <w:spacing w:after="0"/>
        <w:tabs>
          <w:tab w:leader="none" w:pos="2320" w:val="left"/>
        </w:tabs>
        <w:numPr>
          <w:ilvl w:val="1"/>
          <w:numId w:val="1209"/>
        </w:numPr>
        <w:rPr>
          <w:rFonts w:ascii="Arial" w:cs="Arial" w:eastAsia="Arial" w:hAnsi="Arial"/>
          <w:sz w:val="16"/>
          <w:szCs w:val="16"/>
          <w:color w:val="auto"/>
        </w:rPr>
      </w:pPr>
      <w:r>
        <w:rPr>
          <w:rFonts w:ascii="Arial" w:cs="Arial" w:eastAsia="Arial" w:hAnsi="Arial"/>
          <w:sz w:val="16"/>
          <w:szCs w:val="16"/>
          <w:color w:val="auto"/>
        </w:rPr>
        <w:t>money market funds at least 95% of the assets of which constitute Cash Equivalents of the kinds described in clauses</w:t>
      </w:r>
    </w:p>
    <w:p>
      <w:pPr>
        <w:spacing w:after="0" w:line="46" w:lineRule="exact"/>
        <w:rPr>
          <w:rFonts w:ascii="Arial" w:cs="Arial" w:eastAsia="Arial" w:hAnsi="Arial"/>
          <w:sz w:val="16"/>
          <w:szCs w:val="16"/>
          <w:color w:val="auto"/>
        </w:rPr>
      </w:pPr>
    </w:p>
    <w:p>
      <w:pPr>
        <w:ind w:left="1020" w:hanging="253"/>
        <w:spacing w:after="0"/>
        <w:tabs>
          <w:tab w:leader="none" w:pos="1020" w:val="left"/>
        </w:tabs>
        <w:numPr>
          <w:ilvl w:val="0"/>
          <w:numId w:val="1210"/>
        </w:numPr>
        <w:rPr>
          <w:rFonts w:ascii="Arial" w:cs="Arial" w:eastAsia="Arial" w:hAnsi="Arial"/>
          <w:sz w:val="18"/>
          <w:szCs w:val="18"/>
          <w:color w:val="auto"/>
        </w:rPr>
      </w:pPr>
      <w:r>
        <w:rPr>
          <w:rFonts w:ascii="Arial" w:cs="Arial" w:eastAsia="Arial" w:hAnsi="Arial"/>
          <w:sz w:val="18"/>
          <w:szCs w:val="18"/>
          <w:color w:val="auto"/>
        </w:rPr>
        <w:t>through (4) of this definition.</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Casualty</w:t>
      </w:r>
      <w:r>
        <w:rPr>
          <w:rFonts w:ascii="Arial" w:cs="Arial" w:eastAsia="Arial" w:hAnsi="Arial"/>
          <w:sz w:val="16"/>
          <w:szCs w:val="16"/>
          <w:color w:val="auto"/>
        </w:rPr>
        <w:t>” means any casualty, loss, damage, destruction or other similar loss with respect to real or personal property or improvements.</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760" w:right="320" w:firstLine="1134"/>
        <w:spacing w:after="0" w:line="259" w:lineRule="auto"/>
        <w:tabs>
          <w:tab w:leader="none" w:pos="2322" w:val="left"/>
        </w:tabs>
        <w:numPr>
          <w:ilvl w:val="0"/>
          <w:numId w:val="1211"/>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or “group” (as such terms are used in Section 13(d) of the Exchange Act) (other than Melco Resorts or a Related Party of Melco Resorts); or</w:t>
      </w:r>
    </w:p>
    <w:p>
      <w:pPr>
        <w:spacing w:after="0" w:line="78" w:lineRule="exact"/>
        <w:rPr>
          <w:rFonts w:ascii="Arial" w:cs="Arial" w:eastAsia="Arial" w:hAnsi="Arial"/>
          <w:sz w:val="18"/>
          <w:szCs w:val="18"/>
          <w:color w:val="auto"/>
        </w:rPr>
      </w:pPr>
    </w:p>
    <w:p>
      <w:pPr>
        <w:ind w:left="2320" w:hanging="426"/>
        <w:spacing w:after="0"/>
        <w:tabs>
          <w:tab w:leader="none" w:pos="2320" w:val="left"/>
        </w:tabs>
        <w:numPr>
          <w:ilvl w:val="0"/>
          <w:numId w:val="1211"/>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w:t>
      </w:r>
    </w:p>
    <w:p>
      <w:pPr>
        <w:spacing w:after="0" w:line="117" w:lineRule="exact"/>
        <w:rPr>
          <w:rFonts w:ascii="Arial" w:cs="Arial" w:eastAsia="Arial" w:hAnsi="Arial"/>
          <w:sz w:val="18"/>
          <w:szCs w:val="18"/>
          <w:color w:val="auto"/>
        </w:rPr>
      </w:pPr>
    </w:p>
    <w:p>
      <w:pPr>
        <w:ind w:left="2320" w:hanging="426"/>
        <w:spacing w:after="0"/>
        <w:tabs>
          <w:tab w:leader="none" w:pos="2320" w:val="left"/>
        </w:tabs>
        <w:numPr>
          <w:ilvl w:val="0"/>
          <w:numId w:val="1211"/>
        </w:numPr>
        <w:rPr>
          <w:rFonts w:ascii="Arial" w:cs="Arial" w:eastAsia="Arial" w:hAnsi="Arial"/>
          <w:sz w:val="18"/>
          <w:szCs w:val="18"/>
          <w:color w:val="auto"/>
        </w:rPr>
      </w:pPr>
      <w:r>
        <w:rPr>
          <w:rFonts w:ascii="Arial" w:cs="Arial" w:eastAsia="Arial" w:hAnsi="Arial"/>
          <w:sz w:val="18"/>
          <w:szCs w:val="18"/>
          <w:color w:val="auto"/>
        </w:rPr>
        <w:t>the first day on which:</w:t>
      </w:r>
    </w:p>
    <w:p>
      <w:pPr>
        <w:spacing w:after="0" w:line="130" w:lineRule="exact"/>
        <w:rPr>
          <w:rFonts w:ascii="Arial" w:cs="Arial" w:eastAsia="Arial" w:hAnsi="Arial"/>
          <w:sz w:val="18"/>
          <w:szCs w:val="18"/>
          <w:color w:val="auto"/>
        </w:rPr>
      </w:pPr>
    </w:p>
    <w:p>
      <w:pPr>
        <w:ind w:left="3160" w:right="60" w:hanging="640"/>
        <w:spacing w:after="0" w:line="255" w:lineRule="auto"/>
        <w:tabs>
          <w:tab w:leader="none" w:pos="3160" w:val="left"/>
        </w:tabs>
        <w:numPr>
          <w:ilvl w:val="1"/>
          <w:numId w:val="1211"/>
        </w:numPr>
        <w:rPr>
          <w:rFonts w:ascii="Arial" w:cs="Arial" w:eastAsia="Arial" w:hAnsi="Arial"/>
          <w:sz w:val="18"/>
          <w:szCs w:val="18"/>
          <w:color w:val="auto"/>
        </w:rPr>
      </w:pPr>
      <w:r>
        <w:rPr>
          <w:rFonts w:ascii="Arial" w:cs="Arial" w:eastAsia="Arial" w:hAnsi="Arial"/>
          <w:sz w:val="18"/>
          <w:szCs w:val="18"/>
          <w:color w:val="auto"/>
        </w:rPr>
        <w:t>Melco Resorts ceases to own, directly or indirectly (i) a majority, or (ii) if Melco Resorts is authorized by the relevant Gaming Authority or is otherwise permitted to hold less than 50.1% of Equity Interest in Studio City International, the greater of (x) such lesser percentage and (y) 35%, of the outstanding Equity Interests and/or Voting Stock of each of the Company and SCH5 (or any Person which becomes a “Golden Shareholder” and/or a “Preference Holder” under the Direct Agreement pursuant to the terms thereof, if any);</w:t>
      </w:r>
    </w:p>
    <w:p>
      <w:pPr>
        <w:spacing w:after="0" w:line="97" w:lineRule="exact"/>
        <w:rPr>
          <w:rFonts w:ascii="Arial" w:cs="Arial" w:eastAsia="Arial" w:hAnsi="Arial"/>
          <w:sz w:val="18"/>
          <w:szCs w:val="18"/>
          <w:color w:val="auto"/>
        </w:rPr>
      </w:pPr>
    </w:p>
    <w:p>
      <w:pPr>
        <w:ind w:left="3160" w:right="400" w:hanging="640"/>
        <w:spacing w:after="0" w:line="277" w:lineRule="auto"/>
        <w:tabs>
          <w:tab w:leader="none" w:pos="3160" w:val="left"/>
        </w:tabs>
        <w:numPr>
          <w:ilvl w:val="1"/>
          <w:numId w:val="1211"/>
        </w:numPr>
        <w:rPr>
          <w:rFonts w:ascii="Arial" w:cs="Arial" w:eastAsia="Arial" w:hAnsi="Arial"/>
          <w:sz w:val="18"/>
          <w:szCs w:val="18"/>
          <w:color w:val="auto"/>
        </w:rPr>
      </w:pPr>
      <w:r>
        <w:rPr>
          <w:rFonts w:ascii="Arial" w:cs="Arial" w:eastAsia="Arial" w:hAnsi="Arial"/>
          <w:sz w:val="18"/>
          <w:szCs w:val="18"/>
          <w:color w:val="auto"/>
        </w:rPr>
        <w:t>Melco Resorts ceases to own, directly or indirectly, less than 50.1% of Equity Interest in Melco Resorts Macau (or another operator of the Studio City Casino); or</w:t>
      </w:r>
    </w:p>
    <w:p>
      <w:pPr>
        <w:spacing w:after="0" w:line="75" w:lineRule="exact"/>
        <w:rPr>
          <w:rFonts w:ascii="Arial" w:cs="Arial" w:eastAsia="Arial" w:hAnsi="Arial"/>
          <w:sz w:val="18"/>
          <w:szCs w:val="18"/>
          <w:color w:val="auto"/>
        </w:rPr>
      </w:pPr>
    </w:p>
    <w:p>
      <w:pPr>
        <w:jc w:val="both"/>
        <w:ind w:left="3160" w:right="80" w:hanging="640"/>
        <w:spacing w:after="0" w:line="263" w:lineRule="auto"/>
        <w:tabs>
          <w:tab w:leader="none" w:pos="3160" w:val="left"/>
        </w:tabs>
        <w:numPr>
          <w:ilvl w:val="1"/>
          <w:numId w:val="1211"/>
        </w:numPr>
        <w:rPr>
          <w:rFonts w:ascii="Arial" w:cs="Arial" w:eastAsia="Arial" w:hAnsi="Arial"/>
          <w:sz w:val="18"/>
          <w:szCs w:val="18"/>
          <w:color w:val="auto"/>
        </w:rPr>
      </w:pPr>
      <w:r>
        <w:rPr>
          <w:rFonts w:ascii="Arial" w:cs="Arial" w:eastAsia="Arial" w:hAnsi="Arial"/>
          <w:sz w:val="18"/>
          <w:szCs w:val="18"/>
          <w:color w:val="auto"/>
        </w:rPr>
        <w:t>Melco Resorts ceases to have, directly or indirectly (through a Subsidiary), the power to nominate a number of directors on the Board of Directors of the Company who are entitled to cast a majority of the votes which may be cast at a meeting of the Board of Directors of the Company.</w:t>
      </w:r>
    </w:p>
    <w:p>
      <w:pPr>
        <w:spacing w:after="0" w:line="184" w:lineRule="exact"/>
        <w:rPr>
          <w:sz w:val="20"/>
          <w:szCs w:val="20"/>
          <w:color w:val="auto"/>
        </w:rPr>
      </w:pPr>
    </w:p>
    <w:p>
      <w:pPr>
        <w:ind w:right="300" w:firstLine="77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Studio City Finance Limited, a BVI business company incorporated under the laws of the British Virgin Islands (registered number 1673307), whose registered office is at Jayla Place, Wickhams Cay 1, Road Town, Tortola, British Virgin Islands, and any and all successors thereto.</w:t>
      </w:r>
    </w:p>
    <w:p>
      <w:pPr>
        <w:spacing w:after="0" w:line="184" w:lineRule="exact"/>
        <w:rPr>
          <w:sz w:val="20"/>
          <w:szCs w:val="20"/>
          <w:color w:val="auto"/>
        </w:rPr>
      </w:pPr>
    </w:p>
    <w:p>
      <w:pPr>
        <w:ind w:right="340" w:firstLine="77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Condemnation</w:t>
      </w:r>
      <w:r>
        <w:rPr>
          <w:rFonts w:ascii="Arial" w:cs="Arial" w:eastAsia="Arial" w:hAnsi="Arial"/>
          <w:sz w:val="17"/>
          <w:szCs w:val="17"/>
          <w:color w:val="auto"/>
        </w:rPr>
        <w:t>” means any taking by a Governmental Authority of assets or property, or any part thereof or interest therein, for public or quasi-public use under the power of eminent domain, by reason of any public improvement or condemnation or in any other manner.</w:t>
      </w:r>
    </w:p>
    <w:p>
      <w:pPr>
        <w:spacing w:after="0" w:line="79"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90" w:name="page791"/>
    <w:bookmarkEnd w:id="790"/>
    <w:p>
      <w:pPr>
        <w:ind w:left="7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Consolidated Net Income</w:t>
      </w:r>
      <w:r>
        <w:rPr>
          <w:rFonts w:ascii="Arial" w:cs="Arial" w:eastAsia="Arial" w:hAnsi="Arial"/>
          <w:sz w:val="17"/>
          <w:szCs w:val="17"/>
          <w:color w:val="auto"/>
        </w:rPr>
        <w:t>” means, with respect to any Person for any period, the aggregate of the Net Income of such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Subsidiaries for such period, on a consolidated basis, determined in accordance with U.S. GAAP;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03" w:lineRule="exact"/>
        <w:rPr>
          <w:sz w:val="20"/>
          <w:szCs w:val="20"/>
          <w:color w:val="auto"/>
        </w:rPr>
      </w:pPr>
    </w:p>
    <w:p>
      <w:pPr>
        <w:jc w:val="both"/>
        <w:ind w:left="760" w:right="100" w:firstLine="1134"/>
        <w:spacing w:after="0" w:line="263" w:lineRule="auto"/>
        <w:tabs>
          <w:tab w:leader="none" w:pos="2322" w:val="left"/>
        </w:tabs>
        <w:numPr>
          <w:ilvl w:val="0"/>
          <w:numId w:val="1212"/>
        </w:numPr>
        <w:rPr>
          <w:rFonts w:ascii="Arial" w:cs="Arial" w:eastAsia="Arial" w:hAnsi="Arial"/>
          <w:sz w:val="18"/>
          <w:szCs w:val="18"/>
          <w:color w:val="auto"/>
        </w:rPr>
      </w:pPr>
      <w:r>
        <w:rPr>
          <w:rFonts w:ascii="Arial" w:cs="Arial" w:eastAsia="Arial" w:hAnsi="Arial"/>
          <w:sz w:val="18"/>
          <w:szCs w:val="18"/>
          <w:color w:val="auto"/>
        </w:rPr>
        <w:t>the Net Income (or loss) of any Person that is not a Restricted Subsidiary or that is accounted for by the equity method of accounting will be included only to the extent of the amount of dividends or similar distributions actually paid in cash to, or the amount of loss actually funded in cash by, the specified Person or a Restricted Subsidiary of the Person;</w:t>
      </w:r>
    </w:p>
    <w:p>
      <w:pPr>
        <w:spacing w:after="0" w:line="75" w:lineRule="exact"/>
        <w:rPr>
          <w:rFonts w:ascii="Arial" w:cs="Arial" w:eastAsia="Arial" w:hAnsi="Arial"/>
          <w:sz w:val="18"/>
          <w:szCs w:val="18"/>
          <w:color w:val="auto"/>
        </w:rPr>
      </w:pPr>
    </w:p>
    <w:p>
      <w:pPr>
        <w:ind w:left="760" w:right="220" w:firstLine="1134"/>
        <w:spacing w:after="0" w:line="272" w:lineRule="auto"/>
        <w:tabs>
          <w:tab w:leader="none" w:pos="2322" w:val="left"/>
        </w:tabs>
        <w:numPr>
          <w:ilvl w:val="0"/>
          <w:numId w:val="1212"/>
        </w:numPr>
        <w:rPr>
          <w:rFonts w:ascii="Arial" w:cs="Arial" w:eastAsia="Arial" w:hAnsi="Arial"/>
          <w:sz w:val="17"/>
          <w:szCs w:val="17"/>
          <w:color w:val="auto"/>
        </w:rPr>
      </w:pPr>
      <w:r>
        <w:rPr>
          <w:rFonts w:ascii="Arial" w:cs="Arial" w:eastAsia="Arial" w:hAnsi="Arial"/>
          <w:sz w:val="17"/>
          <w:szCs w:val="17"/>
          <w:color w:val="auto"/>
        </w:rPr>
        <w:t xml:space="preserve">the Net Income of any Restricted Subsidiary that is not a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r>
        <w:rPr>
          <w:rFonts w:ascii="Arial" w:cs="Arial" w:eastAsia="Arial" w:hAnsi="Arial"/>
          <w:sz w:val="17"/>
          <w:szCs w:val="17"/>
          <w:i w:val="1"/>
          <w:iCs w:val="1"/>
          <w:color w:val="auto"/>
        </w:rPr>
        <w:t>provided</w:t>
      </w:r>
      <w:r>
        <w:rPr>
          <w:rFonts w:ascii="Arial" w:cs="Arial" w:eastAsia="Arial" w:hAnsi="Arial"/>
          <w:sz w:val="17"/>
          <w:szCs w:val="17"/>
          <w:color w:val="auto"/>
        </w:rPr>
        <w:t>, however, that Consolidated Net Income of the specified Person will be increased by the amount of dividends or similar contributions actually paid in cash (or to the extent converted into cash) to the specified Person or any of its Restricted Subsidiaries that is a Subsidiary Guarantor, to the extent not already included therein;</w:t>
      </w:r>
    </w:p>
    <w:p>
      <w:pPr>
        <w:spacing w:after="0" w:line="69" w:lineRule="exact"/>
        <w:rPr>
          <w:rFonts w:ascii="Arial" w:cs="Arial" w:eastAsia="Arial" w:hAnsi="Arial"/>
          <w:sz w:val="17"/>
          <w:szCs w:val="17"/>
          <w:color w:val="auto"/>
        </w:rPr>
      </w:pPr>
    </w:p>
    <w:p>
      <w:pPr>
        <w:ind w:left="2320" w:hanging="426"/>
        <w:spacing w:after="0"/>
        <w:tabs>
          <w:tab w:leader="none" w:pos="2320" w:val="left"/>
        </w:tabs>
        <w:numPr>
          <w:ilvl w:val="0"/>
          <w:numId w:val="1212"/>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 and</w:t>
      </w:r>
    </w:p>
    <w:p>
      <w:pPr>
        <w:spacing w:after="0" w:line="117" w:lineRule="exact"/>
        <w:rPr>
          <w:rFonts w:ascii="Arial" w:cs="Arial" w:eastAsia="Arial" w:hAnsi="Arial"/>
          <w:sz w:val="18"/>
          <w:szCs w:val="18"/>
          <w:color w:val="auto"/>
        </w:rPr>
      </w:pPr>
    </w:p>
    <w:p>
      <w:pPr>
        <w:ind w:left="760" w:right="160" w:firstLine="1134"/>
        <w:spacing w:after="0" w:line="340" w:lineRule="auto"/>
        <w:tabs>
          <w:tab w:leader="none" w:pos="2322" w:val="left"/>
        </w:tabs>
        <w:numPr>
          <w:ilvl w:val="0"/>
          <w:numId w:val="1212"/>
        </w:numPr>
        <w:rPr>
          <w:rFonts w:ascii="Arial" w:cs="Arial" w:eastAsia="Arial" w:hAnsi="Arial"/>
          <w:sz w:val="15"/>
          <w:szCs w:val="15"/>
          <w:color w:val="auto"/>
        </w:rPr>
      </w:pPr>
      <w:r>
        <w:rPr>
          <w:rFonts w:ascii="Arial" w:cs="Arial" w:eastAsia="Arial" w:hAnsi="Arial"/>
          <w:sz w:val="15"/>
          <w:szCs w:val="15"/>
          <w:color w:val="auto"/>
        </w:rPr>
        <w:t>charges or expenses related to deferred financing fees and Indebtedness issuance costs, including related commissions, fees and expenses, premiums paid or other expenses incurred directly in connection with any early extinguishment of Indebtedness and any net gain (loss) from any write-off, extinguishment, repurchase, cancellation or forgiveness of Indebtedness will be excluded.</w:t>
      </w:r>
    </w:p>
    <w:p>
      <w:pPr>
        <w:spacing w:after="0" w:line="131" w:lineRule="exact"/>
        <w:rPr>
          <w:sz w:val="20"/>
          <w:szCs w:val="20"/>
          <w:color w:val="auto"/>
        </w:rPr>
      </w:pPr>
    </w:p>
    <w:p>
      <w:pPr>
        <w:ind w:right="300" w:firstLine="77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indentures or commercial paper facilities, in each case, with banks or other lenders providing for revolving credit loans, term loans, receivables financing (including through the sale of receivables to such lenders or to special purpose entities formed to borrow from such lenders against such receivables), letters of credit or other forms of Indebtedness, in each case, as amended, restated, modified, renewed, refunded, replaced (whether upon or after termination or otherwise) or refinanced (including by means of sales of debt securities to investors) in whole or in part from time to time.</w:t>
      </w:r>
    </w:p>
    <w:p>
      <w:pPr>
        <w:spacing w:after="0" w:line="188" w:lineRule="exact"/>
        <w:rPr>
          <w:sz w:val="20"/>
          <w:szCs w:val="20"/>
          <w:color w:val="auto"/>
        </w:rPr>
      </w:pPr>
    </w:p>
    <w:p>
      <w:pPr>
        <w:jc w:val="both"/>
        <w:ind w:right="280" w:firstLine="77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 Documents</w:t>
      </w:r>
      <w:r>
        <w:rPr>
          <w:rFonts w:ascii="Arial" w:cs="Arial" w:eastAsia="Arial" w:hAnsi="Arial"/>
          <w:sz w:val="18"/>
          <w:szCs w:val="18"/>
          <w:color w:val="auto"/>
        </w:rPr>
        <w:t>” means the collective reference to any Credit Facilities, any notes issued pursuant thereto and the guarantees thereof, and the collateral or other documents relating thereto, as amended, supplemented, restated, renewed, refunded, replaced, restructured, repaid, refinanced or otherwise modified, in whole or in part, from time to time.</w:t>
      </w:r>
    </w:p>
    <w:p>
      <w:pPr>
        <w:spacing w:after="0" w:line="184" w:lineRule="exact"/>
        <w:rPr>
          <w:sz w:val="20"/>
          <w:szCs w:val="20"/>
          <w:color w:val="auto"/>
        </w:rPr>
      </w:pPr>
    </w:p>
    <w:p>
      <w:pPr>
        <w:ind w:right="30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 Agreement</w:t>
      </w:r>
      <w:r>
        <w:rPr>
          <w:rFonts w:ascii="Arial" w:cs="Arial" w:eastAsia="Arial" w:hAnsi="Arial"/>
          <w:sz w:val="18"/>
          <w:szCs w:val="18"/>
          <w:color w:val="auto"/>
        </w:rPr>
        <w:t>” means the direct agreement dated November 26, 2013, in relation to (a) the Services and Right to Use Agreement and (b) the Reinvestment Agreement.</w:t>
      </w:r>
    </w:p>
    <w:p>
      <w:pPr>
        <w:spacing w:after="0" w:line="170" w:lineRule="exact"/>
        <w:rPr>
          <w:sz w:val="20"/>
          <w:szCs w:val="20"/>
          <w:color w:val="auto"/>
        </w:rPr>
      </w:pPr>
    </w:p>
    <w:p>
      <w:pPr>
        <w:ind w:right="100" w:firstLine="77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Stock</w:t>
      </w:r>
      <w:r>
        <w:rPr>
          <w:rFonts w:ascii="Arial" w:cs="Arial" w:eastAsia="Arial" w:hAnsi="Arial"/>
          <w:sz w:val="17"/>
          <w:szCs w:val="17"/>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last Final Repayment Date of the Facilities. Notwithstanding the preceding sentence, any Capital Stock that would constitute Disqualified Stock solely because the holders of the Capital Stock have the right to require the Company to repurchase such Capital Stock upon the occurrence of a change of control or an asset sale will not constitute Disqualified Stock if the terms of such Capital Stock provide that the Company may not repurchase or redeem any such Capital Stock pursuant to such provisions unless such repurchase or redemption complies with Section 2 of Schedule 10 (</w:t>
      </w:r>
      <w:r>
        <w:rPr>
          <w:rFonts w:ascii="Arial" w:cs="Arial" w:eastAsia="Arial" w:hAnsi="Arial"/>
          <w:sz w:val="17"/>
          <w:szCs w:val="17"/>
          <w:i w:val="1"/>
          <w:iCs w:val="1"/>
          <w:color w:val="auto"/>
        </w:rPr>
        <w:t>Covenants</w:t>
      </w:r>
      <w:r>
        <w:rPr>
          <w:rFonts w:ascii="Arial" w:cs="Arial" w:eastAsia="Arial" w:hAnsi="Arial"/>
          <w:sz w:val="17"/>
          <w:szCs w:val="17"/>
          <w:color w:val="auto"/>
        </w:rPr>
        <w:t>). The amount of Disqualified Stock deemed to be outstanding at any time for purposes of this Agreement will be the maximum amount that the Company may become obligated to pay upon the maturity of, or pursuant to any mandatory redemption provisions of, such Disqualified Stock, exclusive of accrued dividends.</w:t>
      </w:r>
    </w:p>
    <w:p>
      <w:pPr>
        <w:spacing w:after="0" w:line="118"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91" w:name="page792"/>
    <w:bookmarkEnd w:id="791"/>
    <w:p>
      <w:pPr>
        <w:jc w:val="both"/>
        <w:ind w:right="220" w:firstLine="77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Dormant Subsidiary</w:t>
      </w:r>
      <w:r>
        <w:rPr>
          <w:rFonts w:ascii="Arial" w:cs="Arial" w:eastAsia="Arial" w:hAnsi="Arial"/>
          <w:sz w:val="16"/>
          <w:szCs w:val="16"/>
          <w:color w:val="auto"/>
        </w:rPr>
        <w:t>” means a Restricted Subsidiary of the Company which does not trade (for itself or as agent for any other person) and does not own, legally or beneficially, assets (including, without limitation, Indebtedness owed to it) which in aggregate have a book value greater than US$100,000 and has no third-party recourse Indebtedness or intercompany Indebtedness with the Company or any other Restricted Subsidiary.</w:t>
      </w:r>
    </w:p>
    <w:p>
      <w:pPr>
        <w:spacing w:after="0" w:line="149" w:lineRule="exact"/>
        <w:rPr>
          <w:sz w:val="20"/>
          <w:szCs w:val="20"/>
          <w:color w:val="auto"/>
        </w:rPr>
      </w:pPr>
    </w:p>
    <w:p>
      <w:pPr>
        <w:ind w:right="50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xml:space="preserve">” means, with respect to any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62" w:lineRule="exact"/>
        <w:rPr>
          <w:sz w:val="20"/>
          <w:szCs w:val="20"/>
          <w:color w:val="auto"/>
        </w:rPr>
      </w:pPr>
    </w:p>
    <w:p>
      <w:pPr>
        <w:ind w:left="760" w:right="80" w:firstLine="1134"/>
        <w:spacing w:after="0" w:line="342" w:lineRule="auto"/>
        <w:tabs>
          <w:tab w:leader="none" w:pos="2322" w:val="left"/>
        </w:tabs>
        <w:numPr>
          <w:ilvl w:val="0"/>
          <w:numId w:val="1213"/>
        </w:numPr>
        <w:rPr>
          <w:rFonts w:ascii="Arial" w:cs="Arial" w:eastAsia="Arial" w:hAnsi="Arial"/>
          <w:sz w:val="16"/>
          <w:szCs w:val="16"/>
          <w:color w:val="auto"/>
        </w:rPr>
      </w:pPr>
      <w:r>
        <w:rPr>
          <w:rFonts w:ascii="Arial" w:cs="Arial" w:eastAsia="Arial" w:hAnsi="Arial"/>
          <w:sz w:val="16"/>
          <w:szCs w:val="16"/>
          <w:color w:val="auto"/>
        </w:rPr>
        <w:t xml:space="preserve">an amount equal to any extraordinary loss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net loss realized by such Person or any of its Restricted Subsidiaries in connection with an Asset Sale, to the extent such losses were deducted in computing such Consolidated Net Income; </w:t>
      </w:r>
      <w:r>
        <w:rPr>
          <w:rFonts w:ascii="Arial" w:cs="Arial" w:eastAsia="Arial" w:hAnsi="Arial"/>
          <w:sz w:val="16"/>
          <w:szCs w:val="16"/>
          <w:i w:val="1"/>
          <w:iCs w:val="1"/>
          <w:color w:val="auto"/>
        </w:rPr>
        <w:t>plus</w:t>
      </w:r>
    </w:p>
    <w:p>
      <w:pPr>
        <w:spacing w:after="0" w:line="15" w:lineRule="exact"/>
        <w:rPr>
          <w:rFonts w:ascii="Arial" w:cs="Arial" w:eastAsia="Arial" w:hAnsi="Arial"/>
          <w:sz w:val="16"/>
          <w:szCs w:val="16"/>
          <w:color w:val="auto"/>
        </w:rPr>
      </w:pPr>
    </w:p>
    <w:p>
      <w:pPr>
        <w:ind w:left="760" w:right="420" w:firstLine="1134"/>
        <w:spacing w:after="0" w:line="277" w:lineRule="auto"/>
        <w:tabs>
          <w:tab w:leader="none" w:pos="2322" w:val="left"/>
        </w:tabs>
        <w:numPr>
          <w:ilvl w:val="0"/>
          <w:numId w:val="1213"/>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62" w:lineRule="exact"/>
        <w:rPr>
          <w:rFonts w:ascii="Arial" w:cs="Arial" w:eastAsia="Arial" w:hAnsi="Arial"/>
          <w:sz w:val="18"/>
          <w:szCs w:val="18"/>
          <w:color w:val="auto"/>
        </w:rPr>
      </w:pPr>
    </w:p>
    <w:p>
      <w:pPr>
        <w:ind w:left="760" w:right="180" w:firstLine="1134"/>
        <w:spacing w:after="0" w:line="277" w:lineRule="auto"/>
        <w:tabs>
          <w:tab w:leader="none" w:pos="2322" w:val="left"/>
        </w:tabs>
        <w:numPr>
          <w:ilvl w:val="0"/>
          <w:numId w:val="1213"/>
        </w:numPr>
        <w:rPr>
          <w:rFonts w:ascii="Arial" w:cs="Arial" w:eastAsia="Arial" w:hAnsi="Arial"/>
          <w:sz w:val="18"/>
          <w:szCs w:val="18"/>
          <w:color w:val="auto"/>
        </w:rPr>
      </w:pPr>
      <w:r>
        <w:rPr>
          <w:rFonts w:ascii="Arial" w:cs="Arial" w:eastAsia="Arial" w:hAnsi="Arial"/>
          <w:sz w:val="18"/>
          <w:szCs w:val="18"/>
          <w:color w:val="auto"/>
        </w:rPr>
        <w:t>the Fixed Charges of such Person and its Restricted Subsidiaries for such period, to the extent that such Fixed Charges were deducted in computing such Consolidated Net Income; plus</w:t>
      </w:r>
    </w:p>
    <w:p>
      <w:pPr>
        <w:spacing w:after="0" w:line="62" w:lineRule="exact"/>
        <w:rPr>
          <w:rFonts w:ascii="Arial" w:cs="Arial" w:eastAsia="Arial" w:hAnsi="Arial"/>
          <w:sz w:val="18"/>
          <w:szCs w:val="18"/>
          <w:color w:val="auto"/>
        </w:rPr>
      </w:pPr>
    </w:p>
    <w:p>
      <w:pPr>
        <w:ind w:left="760" w:right="100" w:firstLine="1134"/>
        <w:spacing w:after="0" w:line="257" w:lineRule="auto"/>
        <w:tabs>
          <w:tab w:leader="none" w:pos="2322" w:val="left"/>
        </w:tabs>
        <w:numPr>
          <w:ilvl w:val="0"/>
          <w:numId w:val="1213"/>
        </w:numPr>
        <w:rPr>
          <w:rFonts w:ascii="Arial" w:cs="Arial" w:eastAsia="Arial" w:hAnsi="Arial"/>
          <w:sz w:val="18"/>
          <w:szCs w:val="18"/>
          <w:color w:val="auto"/>
        </w:rPr>
      </w:pPr>
      <w:r>
        <w:rPr>
          <w:rFonts w:ascii="Arial" w:cs="Arial" w:eastAsia="Arial" w:hAnsi="Arial"/>
          <w:sz w:val="18"/>
          <w:szCs w:val="18"/>
          <w:color w:val="auto"/>
        </w:rPr>
        <w:t>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plus</w:t>
      </w:r>
    </w:p>
    <w:p>
      <w:pPr>
        <w:spacing w:after="0" w:line="79" w:lineRule="exact"/>
        <w:rPr>
          <w:rFonts w:ascii="Arial" w:cs="Arial" w:eastAsia="Arial" w:hAnsi="Arial"/>
          <w:sz w:val="18"/>
          <w:szCs w:val="18"/>
          <w:color w:val="auto"/>
        </w:rPr>
      </w:pPr>
    </w:p>
    <w:p>
      <w:pPr>
        <w:ind w:left="2320" w:hanging="426"/>
        <w:spacing w:after="0"/>
        <w:tabs>
          <w:tab w:leader="none" w:pos="2320" w:val="left"/>
        </w:tabs>
        <w:numPr>
          <w:ilvl w:val="0"/>
          <w:numId w:val="1213"/>
        </w:numPr>
        <w:rPr>
          <w:rFonts w:ascii="Arial" w:cs="Arial" w:eastAsia="Arial" w:hAnsi="Arial"/>
          <w:sz w:val="16"/>
          <w:szCs w:val="16"/>
          <w:color w:val="auto"/>
        </w:rPr>
      </w:pPr>
      <w:r>
        <w:rPr>
          <w:rFonts w:ascii="Arial" w:cs="Arial" w:eastAsia="Arial" w:hAnsi="Arial"/>
          <w:sz w:val="16"/>
          <w:szCs w:val="16"/>
          <w:color w:val="auto"/>
        </w:rPr>
        <w:t>any non-cash compensation charge arising from any grant of stock, stock options or other equity based awards; plus</w:t>
      </w:r>
    </w:p>
    <w:p>
      <w:pPr>
        <w:spacing w:after="0" w:line="140" w:lineRule="exact"/>
        <w:rPr>
          <w:rFonts w:ascii="Arial" w:cs="Arial" w:eastAsia="Arial" w:hAnsi="Arial"/>
          <w:sz w:val="16"/>
          <w:szCs w:val="16"/>
          <w:color w:val="auto"/>
        </w:rPr>
      </w:pPr>
    </w:p>
    <w:p>
      <w:pPr>
        <w:ind w:left="2320" w:hanging="426"/>
        <w:spacing w:after="0"/>
        <w:tabs>
          <w:tab w:leader="none" w:pos="2320" w:val="left"/>
        </w:tabs>
        <w:numPr>
          <w:ilvl w:val="0"/>
          <w:numId w:val="1213"/>
        </w:numPr>
        <w:rPr>
          <w:rFonts w:ascii="Arial" w:cs="Arial" w:eastAsia="Arial" w:hAnsi="Arial"/>
          <w:sz w:val="17"/>
          <w:szCs w:val="17"/>
          <w:color w:val="auto"/>
        </w:rPr>
      </w:pPr>
      <w:r>
        <w:rPr>
          <w:rFonts w:ascii="Arial" w:cs="Arial" w:eastAsia="Arial" w:hAnsi="Arial"/>
          <w:sz w:val="17"/>
          <w:szCs w:val="17"/>
          <w:color w:val="auto"/>
        </w:rPr>
        <w:t>Pre-Opening Expenses, to the extent such expense were deducted in computing Consolidated Net Income; plus</w:t>
      </w:r>
    </w:p>
    <w:p>
      <w:pPr>
        <w:spacing w:after="0" w:line="128" w:lineRule="exact"/>
        <w:rPr>
          <w:rFonts w:ascii="Arial" w:cs="Arial" w:eastAsia="Arial" w:hAnsi="Arial"/>
          <w:sz w:val="17"/>
          <w:szCs w:val="17"/>
          <w:color w:val="auto"/>
        </w:rPr>
      </w:pPr>
    </w:p>
    <w:p>
      <w:pPr>
        <w:ind w:left="2320" w:hanging="426"/>
        <w:spacing w:after="0"/>
        <w:tabs>
          <w:tab w:leader="none" w:pos="2320" w:val="left"/>
        </w:tabs>
        <w:numPr>
          <w:ilvl w:val="0"/>
          <w:numId w:val="1213"/>
        </w:numPr>
        <w:rPr>
          <w:rFonts w:ascii="Arial" w:cs="Arial" w:eastAsia="Arial" w:hAnsi="Arial"/>
          <w:sz w:val="18"/>
          <w:szCs w:val="18"/>
          <w:color w:val="auto"/>
        </w:rPr>
      </w:pPr>
      <w:r>
        <w:rPr>
          <w:rFonts w:ascii="Arial" w:cs="Arial" w:eastAsia="Arial" w:hAnsi="Arial"/>
          <w:sz w:val="18"/>
          <w:szCs w:val="18"/>
          <w:color w:val="auto"/>
        </w:rPr>
        <w:t>any goodwill or other intangible asset impairment charge; plus</w:t>
      </w:r>
    </w:p>
    <w:p>
      <w:pPr>
        <w:spacing w:after="0" w:line="117" w:lineRule="exact"/>
        <w:rPr>
          <w:rFonts w:ascii="Arial" w:cs="Arial" w:eastAsia="Arial" w:hAnsi="Arial"/>
          <w:sz w:val="18"/>
          <w:szCs w:val="18"/>
          <w:color w:val="auto"/>
        </w:rPr>
      </w:pPr>
    </w:p>
    <w:p>
      <w:pPr>
        <w:ind w:left="760" w:right="520" w:firstLine="1134"/>
        <w:spacing w:after="0" w:line="277" w:lineRule="auto"/>
        <w:tabs>
          <w:tab w:leader="none" w:pos="2321" w:val="left"/>
        </w:tabs>
        <w:numPr>
          <w:ilvl w:val="0"/>
          <w:numId w:val="1213"/>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each case, on a consolidated basis and determined in accordance with U.S. GAAP.</w:t>
      </w:r>
    </w:p>
    <w:p>
      <w:pPr>
        <w:spacing w:after="0" w:line="225" w:lineRule="exact"/>
        <w:rPr>
          <w:sz w:val="20"/>
          <w:szCs w:val="20"/>
          <w:color w:val="auto"/>
        </w:rPr>
      </w:pPr>
    </w:p>
    <w:p>
      <w:pPr>
        <w:ind w:right="140" w:firstLine="771"/>
        <w:spacing w:after="0" w:line="263"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expenses of, a Restricted Subsidiary of the Company will be added to Consolidated Net Income to compute EBITDA of the Company only to the extent that a corresponding amount was included in the calculation of Consolidated Net Income.</w:t>
      </w:r>
    </w:p>
    <w:p>
      <w:pPr>
        <w:spacing w:after="0" w:line="116"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92" w:name="page793"/>
    <w:bookmarkEnd w:id="792"/>
    <w:p>
      <w:pPr>
        <w:ind w:right="100" w:firstLine="77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28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public sale or private issuance of Capital Stock (other than Disqualified Stock) of (1) the Company or (2) a direct or indirect parent of the Company to the extent the net proceeds from such issuance are contributed in cash to the common equity capital of the Company (in each case other than pursuant to a registration statement on Form S-8 or otherwise relating to equity securities issuable under any employee benefit plan of the Company).</w:t>
      </w:r>
    </w:p>
    <w:p>
      <w:pPr>
        <w:spacing w:after="0" w:line="187" w:lineRule="exact"/>
        <w:rPr>
          <w:sz w:val="20"/>
          <w:szCs w:val="20"/>
          <w:color w:val="auto"/>
        </w:rPr>
      </w:pPr>
    </w:p>
    <w:p>
      <w:pPr>
        <w:ind w:right="40" w:firstLine="77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the Company any Subsidiary Guarantor or any Restricted Subsidiary of the Company that is a Significant Subsidiary, any (1) Casualty, (2) Condemnation or seizure (other than pursuant to foreclosure) or (3) settlement in lieu of clause (2) above, in each case having a fair market value in excess of US$20.0 million.</w:t>
      </w:r>
    </w:p>
    <w:p>
      <w:pPr>
        <w:spacing w:after="0" w:line="184" w:lineRule="exact"/>
        <w:rPr>
          <w:sz w:val="20"/>
          <w:szCs w:val="20"/>
          <w:color w:val="auto"/>
        </w:rPr>
      </w:pPr>
    </w:p>
    <w:p>
      <w:pPr>
        <w:ind w:right="44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 means any Net Proceeds from Asset Sales that are not applied or invested as provided in Section 5(b) of Schedule 10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70" w:lineRule="exact"/>
        <w:rPr>
          <w:sz w:val="20"/>
          <w:szCs w:val="20"/>
          <w:color w:val="auto"/>
        </w:rPr>
      </w:pPr>
    </w:p>
    <w:p>
      <w:pPr>
        <w:ind w:right="2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United States Securities Exchange Act of 1934, as amended, and the rules and regulations of the SEC promulgated thereunder.</w:t>
      </w:r>
    </w:p>
    <w:p>
      <w:pPr>
        <w:spacing w:after="0" w:line="170" w:lineRule="exact"/>
        <w:rPr>
          <w:sz w:val="20"/>
          <w:szCs w:val="20"/>
          <w:color w:val="auto"/>
        </w:rPr>
      </w:pPr>
    </w:p>
    <w:p>
      <w:pPr>
        <w:ind w:right="54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Contributions</w:t>
      </w:r>
      <w:r>
        <w:rPr>
          <w:rFonts w:ascii="Arial" w:cs="Arial" w:eastAsia="Arial" w:hAnsi="Arial"/>
          <w:sz w:val="18"/>
          <w:szCs w:val="18"/>
          <w:color w:val="auto"/>
        </w:rPr>
        <w:t>” means the net cash proceeds received by the Company subsequent to the 2021 Amendment and Restatement Effective Date from:</w:t>
      </w:r>
    </w:p>
    <w:p>
      <w:pPr>
        <w:spacing w:after="0" w:line="62" w:lineRule="exact"/>
        <w:rPr>
          <w:sz w:val="20"/>
          <w:szCs w:val="20"/>
          <w:color w:val="auto"/>
        </w:rPr>
      </w:pPr>
    </w:p>
    <w:p>
      <w:pPr>
        <w:ind w:left="2320" w:hanging="426"/>
        <w:spacing w:after="0"/>
        <w:tabs>
          <w:tab w:leader="none" w:pos="2320" w:val="left"/>
        </w:tabs>
        <w:numPr>
          <w:ilvl w:val="0"/>
          <w:numId w:val="1214"/>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117" w:lineRule="exact"/>
        <w:rPr>
          <w:rFonts w:ascii="Arial" w:cs="Arial" w:eastAsia="Arial" w:hAnsi="Arial"/>
          <w:sz w:val="18"/>
          <w:szCs w:val="18"/>
          <w:color w:val="auto"/>
        </w:rPr>
      </w:pPr>
    </w:p>
    <w:p>
      <w:pPr>
        <w:ind w:left="760" w:right="240" w:firstLine="1134"/>
        <w:spacing w:after="0" w:line="263" w:lineRule="auto"/>
        <w:tabs>
          <w:tab w:leader="none" w:pos="2322" w:val="left"/>
        </w:tabs>
        <w:numPr>
          <w:ilvl w:val="0"/>
          <w:numId w:val="1214"/>
        </w:numPr>
        <w:rPr>
          <w:rFonts w:ascii="Arial" w:cs="Arial" w:eastAsia="Arial" w:hAnsi="Arial"/>
          <w:sz w:val="18"/>
          <w:szCs w:val="18"/>
          <w:color w:val="auto"/>
        </w:rPr>
      </w:pPr>
      <w:r>
        <w:rPr>
          <w:rFonts w:ascii="Arial" w:cs="Arial" w:eastAsia="Arial" w:hAnsi="Arial"/>
          <w:sz w:val="18"/>
          <w:szCs w:val="18"/>
          <w:color w:val="auto"/>
        </w:rPr>
        <w:t>the issuance or sale (other than to a Subsidiary of the Company or to any Company or Subsidiary management equity plan or stock option plan or any other management or employee benefit plan or agreement) by the Company of shares of its Capital Stock (other than Disqualified Stock) or a share capital increase;</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each case, designated as Excluded Contributions on the date on which such Excluded Contributions were received pursuant to an Officer’s Certificate, and excluded from the calculation set forth in clause (C)(II) of Section 2(a) of Schedule 10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70" w:lineRule="exact"/>
        <w:rPr>
          <w:sz w:val="20"/>
          <w:szCs w:val="20"/>
          <w:color w:val="auto"/>
        </w:rPr>
      </w:pPr>
    </w:p>
    <w:p>
      <w:pPr>
        <w:ind w:right="24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Facilities Liabilities</w:t>
      </w:r>
      <w:r>
        <w:rPr>
          <w:rFonts w:ascii="Arial" w:cs="Arial" w:eastAsia="Arial" w:hAnsi="Arial"/>
          <w:sz w:val="18"/>
          <w:szCs w:val="18"/>
          <w:color w:val="auto"/>
        </w:rPr>
        <w:t>” means the Liabilities (as defined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this Agreement) owed by the Obligors to the Finance Parties under or in connection with the Finance Documents.</w:t>
      </w:r>
    </w:p>
    <w:p>
      <w:pPr>
        <w:spacing w:after="0" w:line="170" w:lineRule="exact"/>
        <w:rPr>
          <w:sz w:val="20"/>
          <w:szCs w:val="20"/>
          <w:color w:val="auto"/>
        </w:rPr>
      </w:pPr>
    </w:p>
    <w:p>
      <w:pPr>
        <w:ind w:right="160" w:firstLine="77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the Board of Directors of the Company (unless otherwise provided in this Agreement).</w:t>
      </w:r>
    </w:p>
    <w:p>
      <w:pPr>
        <w:spacing w:after="0" w:line="124" w:lineRule="exact"/>
        <w:rPr>
          <w:sz w:val="20"/>
          <w:szCs w:val="20"/>
          <w:color w:val="auto"/>
        </w:rPr>
      </w:pPr>
    </w:p>
    <w:p>
      <w:pPr>
        <w:ind w:right="40" w:firstLine="77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98"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93" w:name="page794"/>
    <w:bookmarkEnd w:id="7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for purposes of calculating the Fixed Charge Coverage Ratio:</w:t>
      </w:r>
    </w:p>
    <w:p>
      <w:pPr>
        <w:spacing w:after="0" w:line="117" w:lineRule="exact"/>
        <w:rPr>
          <w:sz w:val="20"/>
          <w:szCs w:val="20"/>
          <w:color w:val="auto"/>
        </w:rPr>
      </w:pPr>
    </w:p>
    <w:p>
      <w:pPr>
        <w:ind w:left="760" w:right="80" w:firstLine="1134"/>
        <w:spacing w:after="0" w:line="296" w:lineRule="auto"/>
        <w:tabs>
          <w:tab w:leader="none" w:pos="2322" w:val="left"/>
        </w:tabs>
        <w:numPr>
          <w:ilvl w:val="0"/>
          <w:numId w:val="1215"/>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53" w:lineRule="exact"/>
        <w:rPr>
          <w:rFonts w:ascii="Arial" w:cs="Arial" w:eastAsia="Arial" w:hAnsi="Arial"/>
          <w:sz w:val="16"/>
          <w:szCs w:val="16"/>
          <w:color w:val="auto"/>
        </w:rPr>
      </w:pPr>
    </w:p>
    <w:p>
      <w:pPr>
        <w:ind w:left="760" w:right="240" w:firstLine="1134"/>
        <w:spacing w:after="0" w:line="277" w:lineRule="auto"/>
        <w:tabs>
          <w:tab w:leader="none" w:pos="2322"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the EBITDA attributable to discontinued operations, as determined in accordance with U.S. GAAP, and operations or businesses (and ownership interests therein) disposed of prior to the Calculation Date, will be excluded;</w:t>
      </w:r>
    </w:p>
    <w:p>
      <w:pPr>
        <w:spacing w:after="0" w:line="62" w:lineRule="exact"/>
        <w:rPr>
          <w:rFonts w:ascii="Arial" w:cs="Arial" w:eastAsia="Arial" w:hAnsi="Arial"/>
          <w:sz w:val="18"/>
          <w:szCs w:val="18"/>
          <w:color w:val="auto"/>
        </w:rPr>
      </w:pPr>
    </w:p>
    <w:p>
      <w:pPr>
        <w:ind w:left="760" w:right="60" w:firstLine="1134"/>
        <w:spacing w:after="0" w:line="259" w:lineRule="auto"/>
        <w:tabs>
          <w:tab w:leader="none" w:pos="2322"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U.S.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78" w:lineRule="exact"/>
        <w:rPr>
          <w:rFonts w:ascii="Arial" w:cs="Arial" w:eastAsia="Arial" w:hAnsi="Arial"/>
          <w:sz w:val="18"/>
          <w:szCs w:val="18"/>
          <w:color w:val="auto"/>
        </w:rPr>
      </w:pPr>
    </w:p>
    <w:p>
      <w:pPr>
        <w:ind w:left="760" w:right="140" w:firstLine="1134"/>
        <w:spacing w:after="0" w:line="277" w:lineRule="auto"/>
        <w:tabs>
          <w:tab w:leader="none" w:pos="2322"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62" w:lineRule="exact"/>
        <w:rPr>
          <w:rFonts w:ascii="Arial" w:cs="Arial" w:eastAsia="Arial" w:hAnsi="Arial"/>
          <w:sz w:val="18"/>
          <w:szCs w:val="18"/>
          <w:color w:val="auto"/>
        </w:rPr>
      </w:pPr>
    </w:p>
    <w:p>
      <w:pPr>
        <w:ind w:left="760" w:right="400" w:firstLine="1134"/>
        <w:spacing w:after="0" w:line="277" w:lineRule="auto"/>
        <w:tabs>
          <w:tab w:leader="none" w:pos="2322"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62" w:lineRule="exact"/>
        <w:rPr>
          <w:rFonts w:ascii="Arial" w:cs="Arial" w:eastAsia="Arial" w:hAnsi="Arial"/>
          <w:sz w:val="18"/>
          <w:szCs w:val="18"/>
          <w:color w:val="auto"/>
        </w:rPr>
      </w:pPr>
    </w:p>
    <w:p>
      <w:pPr>
        <w:jc w:val="both"/>
        <w:ind w:left="760" w:right="20" w:firstLine="1134"/>
        <w:spacing w:after="0" w:line="311" w:lineRule="auto"/>
        <w:tabs>
          <w:tab w:leader="none" w:pos="2322" w:val="left"/>
        </w:tabs>
        <w:numPr>
          <w:ilvl w:val="0"/>
          <w:numId w:val="1215"/>
        </w:numPr>
        <w:rPr>
          <w:rFonts w:ascii="Arial" w:cs="Arial" w:eastAsia="Arial" w:hAnsi="Arial"/>
          <w:sz w:val="16"/>
          <w:szCs w:val="16"/>
          <w:color w:val="auto"/>
        </w:rPr>
      </w:pPr>
      <w:r>
        <w:rPr>
          <w:rFonts w:ascii="Arial" w:cs="Arial" w:eastAsia="Arial" w:hAnsi="Arial"/>
          <w:sz w:val="16"/>
          <w:szCs w:val="16"/>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117" w:lineRule="exact"/>
        <w:rPr>
          <w:sz w:val="20"/>
          <w:szCs w:val="20"/>
          <w:color w:val="auto"/>
        </w:rPr>
      </w:pPr>
    </w:p>
    <w:p>
      <w:pPr>
        <w:ind w:left="760" w:right="500" w:firstLine="1134"/>
        <w:spacing w:after="0" w:line="291" w:lineRule="auto"/>
        <w:tabs>
          <w:tab w:leader="none" w:pos="2322" w:val="left"/>
        </w:tabs>
        <w:numPr>
          <w:ilvl w:val="1"/>
          <w:numId w:val="1216"/>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discount (but not (i) debt issuance costs, commissions, fees and expenses or</w:t>
      </w:r>
    </w:p>
    <w:p>
      <w:pPr>
        <w:ind w:left="760" w:right="140" w:firstLine="7"/>
        <w:spacing w:after="0" w:line="253" w:lineRule="auto"/>
        <w:tabs>
          <w:tab w:leader="none" w:pos="1025" w:val="left"/>
        </w:tabs>
        <w:numPr>
          <w:ilvl w:val="0"/>
          <w:numId w:val="1217"/>
        </w:numPr>
        <w:rPr>
          <w:rFonts w:ascii="Arial" w:cs="Arial" w:eastAsia="Arial" w:hAnsi="Arial"/>
          <w:sz w:val="18"/>
          <w:szCs w:val="18"/>
          <w:color w:val="auto"/>
        </w:rPr>
      </w:pPr>
      <w:r>
        <w:rPr>
          <w:rFonts w:ascii="Arial" w:cs="Arial" w:eastAsia="Arial" w:hAnsi="Arial"/>
          <w:sz w:val="18"/>
          <w:szCs w:val="18"/>
          <w:color w:val="auto"/>
        </w:rPr>
        <w:t xml:space="preserve">amortization of discount on the Intercompany Note Proceeds Loans),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2320" w:hanging="426"/>
        <w:spacing w:after="0"/>
        <w:tabs>
          <w:tab w:leader="none" w:pos="2320" w:val="left"/>
        </w:tabs>
        <w:numPr>
          <w:ilvl w:val="1"/>
          <w:numId w:val="1217"/>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that was capitalized during such period;</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i w:val="1"/>
          <w:iCs w:val="1"/>
          <w:color w:val="auto"/>
        </w:rPr>
        <w:t>plus</w:t>
      </w:r>
    </w:p>
    <w:p>
      <w:pPr>
        <w:spacing w:after="0" w:line="102" w:lineRule="exact"/>
        <w:rPr>
          <w:rFonts w:ascii="Arial" w:cs="Arial" w:eastAsia="Arial" w:hAnsi="Arial"/>
          <w:sz w:val="16"/>
          <w:szCs w:val="16"/>
          <w:color w:val="auto"/>
        </w:rPr>
      </w:pPr>
    </w:p>
    <w:p>
      <w:pPr>
        <w:ind w:left="760" w:right="80" w:firstLine="1134"/>
        <w:spacing w:after="0" w:line="311" w:lineRule="auto"/>
        <w:tabs>
          <w:tab w:leader="none" w:pos="2322" w:val="left"/>
        </w:tabs>
        <w:numPr>
          <w:ilvl w:val="1"/>
          <w:numId w:val="1217"/>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(other than Indebtedness secured by a Lien of the type specified in clause (22) of the definition of “Permitted Liens”), whether or not such Guarantee or Lien is called upon; </w:t>
      </w:r>
      <w:r>
        <w:rPr>
          <w:rFonts w:ascii="Arial" w:cs="Arial" w:eastAsia="Arial" w:hAnsi="Arial"/>
          <w:sz w:val="16"/>
          <w:szCs w:val="16"/>
          <w:i w:val="1"/>
          <w:iCs w:val="1"/>
          <w:color w:val="auto"/>
        </w:rPr>
        <w:t>plus</w:t>
      </w:r>
    </w:p>
    <w:p>
      <w:pPr>
        <w:spacing w:after="0" w:line="81"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94" w:name="page795"/>
    <w:bookmarkEnd w:id="794"/>
    <w:p>
      <w:pPr>
        <w:ind w:left="764" w:right="20" w:firstLine="1134"/>
        <w:spacing w:after="0" w:line="275" w:lineRule="auto"/>
        <w:tabs>
          <w:tab w:leader="none" w:pos="2326" w:val="left"/>
        </w:tabs>
        <w:numPr>
          <w:ilvl w:val="0"/>
          <w:numId w:val="12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product of (a) all dividends, whether paid or accrued and whether or not in cash, on any series of Preferred Stock of such Person or any of its Restricted Subsidiaries, other than dividends on Equity Interests payable solely in Equity Interests of such Person (other than Disqualified Stock) or to such Person or a Restricted Subsidiary of such Person, </w:t>
      </w:r>
      <w:r>
        <w:rPr>
          <w:rFonts w:ascii="Arial" w:cs="Arial" w:eastAsia="Arial" w:hAnsi="Arial"/>
          <w:sz w:val="17"/>
          <w:szCs w:val="17"/>
          <w:i w:val="1"/>
          <w:iCs w:val="1"/>
          <w:color w:val="auto"/>
        </w:rPr>
        <w:t>times</w:t>
      </w:r>
      <w:r>
        <w:rPr>
          <w:rFonts w:ascii="Arial" w:cs="Arial" w:eastAsia="Arial" w:hAnsi="Arial"/>
          <w:sz w:val="17"/>
          <w:szCs w:val="17"/>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U.S. GAAP.</w:t>
      </w:r>
    </w:p>
    <w:p>
      <w:pPr>
        <w:spacing w:after="0" w:line="176" w:lineRule="exact"/>
        <w:rPr>
          <w:sz w:val="20"/>
          <w:szCs w:val="20"/>
          <w:color w:val="auto"/>
        </w:rPr>
      </w:pPr>
    </w:p>
    <w:p>
      <w:pPr>
        <w:ind w:left="7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Gaming Authorities</w:t>
      </w:r>
      <w:r>
        <w:rPr>
          <w:rFonts w:ascii="Arial" w:cs="Arial" w:eastAsia="Arial" w:hAnsi="Arial"/>
          <w:sz w:val="17"/>
          <w:szCs w:val="17"/>
          <w:color w:val="auto"/>
        </w:rPr>
        <w:t>” means the applicable gaming board, commission, or other governmental gaming regulatory body or agency which</w:t>
      </w:r>
    </w:p>
    <w:p>
      <w:pPr>
        <w:spacing w:after="0" w:line="35" w:lineRule="exact"/>
        <w:rPr>
          <w:sz w:val="20"/>
          <w:szCs w:val="20"/>
          <w:color w:val="auto"/>
        </w:rPr>
      </w:pPr>
    </w:p>
    <w:p>
      <w:pPr>
        <w:ind w:left="4" w:right="60" w:hanging="4"/>
        <w:spacing w:after="0" w:line="253" w:lineRule="auto"/>
        <w:tabs>
          <w:tab w:leader="none" w:pos="249" w:val="left"/>
        </w:tabs>
        <w:numPr>
          <w:ilvl w:val="0"/>
          <w:numId w:val="1219"/>
        </w:numPr>
        <w:rPr>
          <w:rFonts w:ascii="Arial" w:cs="Arial" w:eastAsia="Arial" w:hAnsi="Arial"/>
          <w:sz w:val="18"/>
          <w:szCs w:val="18"/>
          <w:color w:val="auto"/>
        </w:rPr>
      </w:pPr>
      <w:r>
        <w:rPr>
          <w:rFonts w:ascii="Arial" w:cs="Arial" w:eastAsia="Arial" w:hAnsi="Arial"/>
          <w:sz w:val="18"/>
          <w:szCs w:val="18"/>
          <w:color w:val="auto"/>
        </w:rPr>
        <w:t>has, or may at any time after the 2021 Amendment and Restatement Effective Date have, jurisdiction over the gaming activities (i) at the Studio City Casino, (ii) of Melco Resorts Macau (or any other operator of the Studio City Casino including Melco Resorts or any of its Affiliates) or (iii) of the Company or any of its Subsidiaries, or any successor to such authority or (b) is, or may at any time after the 2021 Amendment and Restatement Effective Date be, responsible for interpreting, administering and enforcing the Gaming Laws.</w:t>
      </w:r>
    </w:p>
    <w:p>
      <w:pPr>
        <w:spacing w:after="0" w:line="193" w:lineRule="exact"/>
        <w:rPr>
          <w:sz w:val="20"/>
          <w:szCs w:val="20"/>
          <w:color w:val="auto"/>
        </w:rPr>
      </w:pPr>
    </w:p>
    <w:p>
      <w:pPr>
        <w:ind w:left="4" w:right="80" w:firstLine="77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Laws</w:t>
      </w:r>
      <w:r>
        <w:rPr>
          <w:rFonts w:ascii="Arial" w:cs="Arial" w:eastAsia="Arial" w:hAnsi="Arial"/>
          <w:sz w:val="18"/>
          <w:szCs w:val="18"/>
          <w:color w:val="auto"/>
        </w:rPr>
        <w:t>” means all applicable constitutions, treatises, resolutions, laws, regulations, instructions and statutes pursuant to which any Gaming Authority possesses regulatory, licensing or permit authority over gaming, gambling or casino activities, and all rules, rulings, orders, ordinances, regulations of any Gaming Authority applicable to the gambling, casino, gaming businesses or activities (i) at the Studio City Casino, (ii) of Melco Resorts Macau (or any other operator of the Studio City Casino including Melco Resorts or any of its Affiliates) or the Company or any of its Subsidiaries in any jurisdiction, as in effect from time to time, including the policies, interpretations and administration thereof by the Gaming Authorities.</w:t>
      </w:r>
    </w:p>
    <w:p>
      <w:pPr>
        <w:spacing w:after="0" w:line="192" w:lineRule="exact"/>
        <w:rPr>
          <w:sz w:val="20"/>
          <w:szCs w:val="20"/>
          <w:color w:val="auto"/>
        </w:rPr>
      </w:pPr>
    </w:p>
    <w:p>
      <w:pPr>
        <w:ind w:left="4" w:right="320" w:firstLine="77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Licenses</w:t>
      </w:r>
      <w:r>
        <w:rPr>
          <w:rFonts w:ascii="Arial" w:cs="Arial" w:eastAsia="Arial" w:hAnsi="Arial"/>
          <w:sz w:val="16"/>
          <w:szCs w:val="16"/>
          <w:color w:val="auto"/>
        </w:rPr>
        <w:t>” means any concession, subconcession, license, permit, franchise or other authorization at any time required under any Gaming Laws to own, lease, operate or otherwise conduct the gaming business (i) at the Studio City Casino or (ii) of Melco Resorts Macau.</w:t>
      </w:r>
    </w:p>
    <w:p>
      <w:pPr>
        <w:spacing w:after="0" w:line="124" w:lineRule="exact"/>
        <w:rPr>
          <w:sz w:val="20"/>
          <w:szCs w:val="20"/>
          <w:color w:val="auto"/>
        </w:rPr>
      </w:pPr>
    </w:p>
    <w:p>
      <w:pPr>
        <w:ind w:left="4" w:right="28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Macau SAR or any other territory,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left="4" w:right="80" w:firstLine="77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7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17" w:lineRule="exact"/>
        <w:rPr>
          <w:sz w:val="20"/>
          <w:szCs w:val="20"/>
          <w:color w:val="auto"/>
        </w:rPr>
      </w:pPr>
    </w:p>
    <w:p>
      <w:pPr>
        <w:ind w:left="764" w:right="40" w:firstLine="1134"/>
        <w:spacing w:after="0" w:line="277" w:lineRule="auto"/>
        <w:tabs>
          <w:tab w:leader="none" w:pos="2326" w:val="left"/>
        </w:tabs>
        <w:numPr>
          <w:ilvl w:val="0"/>
          <w:numId w:val="1220"/>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2324" w:hanging="426"/>
        <w:spacing w:after="0"/>
        <w:tabs>
          <w:tab w:leader="none" w:pos="2324" w:val="left"/>
        </w:tabs>
        <w:numPr>
          <w:ilvl w:val="0"/>
          <w:numId w:val="1220"/>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2324" w:hanging="426"/>
        <w:spacing w:after="0"/>
        <w:tabs>
          <w:tab w:leader="none" w:pos="2324" w:val="left"/>
        </w:tabs>
        <w:numPr>
          <w:ilvl w:val="0"/>
          <w:numId w:val="1220"/>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w:t>
      </w:r>
    </w:p>
    <w:p>
      <w:pPr>
        <w:spacing w:after="0" w:line="46" w:lineRule="exact"/>
        <w:rPr>
          <w:rFonts w:ascii="Arial" w:cs="Arial" w:eastAsia="Arial" w:hAnsi="Arial"/>
          <w:sz w:val="16"/>
          <w:szCs w:val="16"/>
          <w:color w:val="auto"/>
        </w:rPr>
      </w:pPr>
    </w:p>
    <w:p>
      <w:pPr>
        <w:ind w:left="764"/>
        <w:spacing w:after="0"/>
        <w:rPr>
          <w:rFonts w:ascii="Arial" w:cs="Arial" w:eastAsia="Arial" w:hAnsi="Arial"/>
          <w:sz w:val="16"/>
          <w:szCs w:val="16"/>
          <w:color w:val="auto"/>
        </w:rPr>
      </w:pPr>
      <w:r>
        <w:rPr>
          <w:rFonts w:ascii="Arial" w:cs="Arial" w:eastAsia="Arial" w:hAnsi="Arial"/>
          <w:sz w:val="18"/>
          <w:szCs w:val="18"/>
          <w:color w:val="auto"/>
        </w:rPr>
        <w:t>commodity prices.</w:t>
      </w:r>
    </w:p>
    <w:p>
      <w:pPr>
        <w:spacing w:after="0" w:line="143" w:lineRule="exact"/>
        <w:rPr>
          <w:sz w:val="20"/>
          <w:szCs w:val="20"/>
          <w:color w:val="auto"/>
        </w:rPr>
      </w:pPr>
    </w:p>
    <w:p>
      <w:pPr>
        <w:jc w:val="both"/>
        <w:ind w:left="5424"/>
        <w:spacing w:after="0"/>
        <w:tabs>
          <w:tab w:leader="none" w:pos="8844"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4"/>
          </w:cols>
          <w:pgMar w:left="436" w:top="274" w:right="439" w:bottom="1440" w:gutter="0" w:footer="0" w:header="0"/>
        </w:sectPr>
      </w:pPr>
    </w:p>
    <w:bookmarkStart w:id="795" w:name="page796"/>
    <w:bookmarkEnd w:id="795"/>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Senior Note is registered.</w:t>
      </w:r>
    </w:p>
    <w:p>
      <w:pPr>
        <w:spacing w:after="0" w:line="225" w:lineRule="exact"/>
        <w:rPr>
          <w:sz w:val="20"/>
          <w:szCs w:val="20"/>
          <w:color w:val="auto"/>
        </w:rPr>
      </w:pPr>
    </w:p>
    <w:p>
      <w:pPr>
        <w:ind w:right="120" w:firstLine="77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Incur</w:t>
      </w:r>
      <w:r>
        <w:rPr>
          <w:rFonts w:ascii="Arial" w:cs="Arial" w:eastAsia="Arial" w:hAnsi="Arial"/>
          <w:sz w:val="17"/>
          <w:szCs w:val="17"/>
          <w:color w:val="auto"/>
        </w:rPr>
        <w:t>” means, with respect to any Indebtedness, Capital Stock or other Obligation of any Person, to create, issue, assume, guarantee, incur (by conversion, exchange, or otherwise) or otherwise become liable in respect of such Indebtedness, Capital Stock or other Obligation or the recording, as required pursuant to U.S. GAAP or otherwise, of any such Indebtedness or other Obligation on the balance sheet of such Person. Indebtedness or Capital Stock otherwise Incurred by a Person before it becomes a Restricted Subsidiary of the Company shall be deemed to be Incurred at the time at which such Person becomes a Restricted Subsidiary of the Company. The accretion of original issue discount, the accrual of interest, the accrual of dividends, the payment of interest in the form of additional Indebtedness and the payment of dividends on Preferred Stock in the form of additional shares of Preferred Stock shall not be considered an Incurrence of Indebtedness.</w:t>
      </w:r>
    </w:p>
    <w:p>
      <w:pPr>
        <w:spacing w:after="0" w:line="177" w:lineRule="exact"/>
        <w:rPr>
          <w:sz w:val="20"/>
          <w:szCs w:val="20"/>
          <w:color w:val="auto"/>
        </w:rPr>
      </w:pPr>
    </w:p>
    <w:p>
      <w:pPr>
        <w:ind w:right="72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62" w:lineRule="exact"/>
        <w:rPr>
          <w:sz w:val="20"/>
          <w:szCs w:val="20"/>
          <w:color w:val="auto"/>
        </w:rPr>
      </w:pPr>
    </w:p>
    <w:p>
      <w:pPr>
        <w:ind w:left="2320" w:hanging="426"/>
        <w:spacing w:after="0"/>
        <w:tabs>
          <w:tab w:leader="none" w:pos="2320" w:val="left"/>
        </w:tabs>
        <w:numPr>
          <w:ilvl w:val="0"/>
          <w:numId w:val="122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2320" w:hanging="426"/>
        <w:spacing w:after="0"/>
        <w:tabs>
          <w:tab w:leader="none" w:pos="2320" w:val="left"/>
        </w:tabs>
        <w:numPr>
          <w:ilvl w:val="0"/>
          <w:numId w:val="1221"/>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respect thereof);</w:t>
      </w:r>
    </w:p>
    <w:p>
      <w:pPr>
        <w:spacing w:after="0" w:line="102" w:lineRule="exact"/>
        <w:rPr>
          <w:rFonts w:ascii="Arial" w:cs="Arial" w:eastAsia="Arial" w:hAnsi="Arial"/>
          <w:sz w:val="17"/>
          <w:szCs w:val="17"/>
          <w:color w:val="auto"/>
        </w:rPr>
      </w:pPr>
    </w:p>
    <w:p>
      <w:pPr>
        <w:ind w:left="2320" w:hanging="426"/>
        <w:spacing w:after="0"/>
        <w:tabs>
          <w:tab w:leader="none" w:pos="2320" w:val="left"/>
        </w:tabs>
        <w:numPr>
          <w:ilvl w:val="0"/>
          <w:numId w:val="1221"/>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2320" w:hanging="426"/>
        <w:spacing w:after="0"/>
        <w:tabs>
          <w:tab w:leader="none" w:pos="2320" w:val="left"/>
        </w:tabs>
        <w:numPr>
          <w:ilvl w:val="0"/>
          <w:numId w:val="1221"/>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17" w:lineRule="exact"/>
        <w:rPr>
          <w:rFonts w:ascii="Arial" w:cs="Arial" w:eastAsia="Arial" w:hAnsi="Arial"/>
          <w:sz w:val="18"/>
          <w:szCs w:val="18"/>
          <w:color w:val="auto"/>
        </w:rPr>
      </w:pPr>
    </w:p>
    <w:p>
      <w:pPr>
        <w:ind w:left="760" w:right="200" w:firstLine="1134"/>
        <w:spacing w:after="0" w:line="277" w:lineRule="auto"/>
        <w:tabs>
          <w:tab w:leader="none" w:pos="2322" w:val="left"/>
        </w:tabs>
        <w:numPr>
          <w:ilvl w:val="0"/>
          <w:numId w:val="1221"/>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one year after such property is acquired or such services are completed; or</w:t>
      </w:r>
    </w:p>
    <w:p>
      <w:pPr>
        <w:spacing w:after="0" w:line="62" w:lineRule="exact"/>
        <w:rPr>
          <w:rFonts w:ascii="Arial" w:cs="Arial" w:eastAsia="Arial" w:hAnsi="Arial"/>
          <w:sz w:val="18"/>
          <w:szCs w:val="18"/>
          <w:color w:val="auto"/>
        </w:rPr>
      </w:pPr>
    </w:p>
    <w:p>
      <w:pPr>
        <w:ind w:left="2320" w:hanging="426"/>
        <w:spacing w:after="0"/>
        <w:tabs>
          <w:tab w:leader="none" w:pos="2320" w:val="left"/>
        </w:tabs>
        <w:numPr>
          <w:ilvl w:val="0"/>
          <w:numId w:val="1221"/>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180" w:firstLine="771"/>
        <w:spacing w:after="0" w:line="279" w:lineRule="auto"/>
        <w:rPr>
          <w:sz w:val="20"/>
          <w:szCs w:val="20"/>
          <w:color w:val="auto"/>
        </w:rPr>
      </w:pPr>
      <w:r>
        <w:rPr>
          <w:rFonts w:ascii="Arial" w:cs="Arial" w:eastAsia="Arial" w:hAnsi="Arial"/>
          <w:sz w:val="17"/>
          <w:szCs w:val="17"/>
          <w:color w:val="auto"/>
        </w:rPr>
        <w:t>if and to the extent any of the preceding items (other than letters of credit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71" w:lineRule="exact"/>
        <w:rPr>
          <w:sz w:val="20"/>
          <w:szCs w:val="20"/>
          <w:color w:val="auto"/>
        </w:rPr>
      </w:pPr>
    </w:p>
    <w:p>
      <w:pPr>
        <w:ind w:right="20" w:firstLine="771"/>
        <w:spacing w:after="0" w:line="287" w:lineRule="auto"/>
        <w:rPr>
          <w:sz w:val="20"/>
          <w:szCs w:val="20"/>
          <w:color w:val="auto"/>
        </w:rPr>
      </w:pPr>
      <w:r>
        <w:rPr>
          <w:rFonts w:ascii="Arial" w:cs="Arial" w:eastAsia="Arial" w:hAnsi="Arial"/>
          <w:sz w:val="16"/>
          <w:szCs w:val="16"/>
          <w:color w:val="auto"/>
        </w:rPr>
        <w:t xml:space="preserve">Notwithstanding the foregoing, “Indebtedness” will not include (i) any capital commitments, deposits or advances from customers or any contingent obligations to refund payments (including deposits) to customers (or any guarantee thereof), (ii) obligations of the Company or a Restricted Subsidiary of the Company to pay the deferred and unpaid purchase price of property or services due to suppliers of equipment or other assets (including parts thereof) not more than one year after such property is acquired or such services are completed and the amount of unpaid purchase price retained by the Company or any of its Restricted Subsidiaries in the ordinary course of business in connection with an acquisition of equipment or other assets (including parts thereof) pending full operation or contingent on certain conditions during a warranty period of such equipment or assets in accordance with the terms of the acquisition;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(i) and (ii), such Indebtedness is not reflected as borrowings on the consolidated balance sheet of the Company (contingent obligations and commitments referred to in a footnote to financial statements and not otherwise reflected as borrowings on the balance sheet will not be deemed to be reflected on such balance sheet), or (iii) any lease of property which would be considered an operating lease under U.S. GAAP and any guarantee given by the Company or a Restricted Subsidiary in the ordinary course of business solely in connection with, or in respect of, the obligations of the Company or a Restricted Subsidiary under any operating lease.</w:t>
      </w:r>
    </w:p>
    <w:p>
      <w:pPr>
        <w:spacing w:after="0" w:line="104"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180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96" w:name="page797"/>
    <w:bookmarkEnd w:id="796"/>
    <w:p>
      <w:pPr>
        <w:ind w:right="100" w:firstLine="77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amount of Indebtedness of any Person at any time shall be the outstanding balance at such time of all unconditional obligations as described above and, with respect to contingent obligations, the maximum liability upon the occurrence of the contingency giving rise to the obligation;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76" w:lineRule="exact"/>
        <w:rPr>
          <w:sz w:val="20"/>
          <w:szCs w:val="20"/>
          <w:color w:val="auto"/>
        </w:rPr>
      </w:pPr>
    </w:p>
    <w:p>
      <w:pPr>
        <w:ind w:left="1320" w:right="80" w:firstLine="482"/>
        <w:spacing w:after="0" w:line="263" w:lineRule="auto"/>
        <w:tabs>
          <w:tab w:leader="none" w:pos="2279" w:val="left"/>
        </w:tabs>
        <w:numPr>
          <w:ilvl w:val="0"/>
          <w:numId w:val="1222"/>
        </w:numPr>
        <w:rPr>
          <w:rFonts w:ascii="Arial" w:cs="Arial" w:eastAsia="Arial" w:hAnsi="Arial"/>
          <w:sz w:val="18"/>
          <w:szCs w:val="18"/>
          <w:color w:val="auto"/>
        </w:rPr>
      </w:pPr>
      <w:r>
        <w:rPr>
          <w:rFonts w:ascii="Arial" w:cs="Arial" w:eastAsia="Arial" w:hAnsi="Arial"/>
          <w:sz w:val="18"/>
          <w:szCs w:val="18"/>
          <w:color w:val="auto"/>
        </w:rPr>
        <w:t>the amount outstanding at any time of any Indebtedness issued with original issue discount is the face amount of such Indebtedness less the remaining unamortized portion of the original issue discount of such Indebtedness at such time as determined in conformity with U.S. GAAP;</w:t>
      </w:r>
    </w:p>
    <w:p>
      <w:pPr>
        <w:spacing w:after="0" w:line="75" w:lineRule="exact"/>
        <w:rPr>
          <w:rFonts w:ascii="Arial" w:cs="Arial" w:eastAsia="Arial" w:hAnsi="Arial"/>
          <w:sz w:val="18"/>
          <w:szCs w:val="18"/>
          <w:color w:val="auto"/>
        </w:rPr>
      </w:pPr>
    </w:p>
    <w:p>
      <w:pPr>
        <w:jc w:val="both"/>
        <w:ind w:left="1320" w:right="180" w:firstLine="482"/>
        <w:spacing w:after="0" w:line="263" w:lineRule="auto"/>
        <w:tabs>
          <w:tab w:leader="none" w:pos="2269" w:val="left"/>
        </w:tabs>
        <w:numPr>
          <w:ilvl w:val="0"/>
          <w:numId w:val="1222"/>
        </w:numPr>
        <w:rPr>
          <w:rFonts w:ascii="Arial" w:cs="Arial" w:eastAsia="Arial" w:hAnsi="Arial"/>
          <w:sz w:val="18"/>
          <w:szCs w:val="18"/>
          <w:color w:val="auto"/>
        </w:rPr>
      </w:pPr>
      <w:r>
        <w:rPr>
          <w:rFonts w:ascii="Arial" w:cs="Arial" w:eastAsia="Arial" w:hAnsi="Arial"/>
          <w:sz w:val="18"/>
          <w:szCs w:val="18"/>
          <w:color w:val="auto"/>
        </w:rPr>
        <w:t>money borrowed and set aside at the time of the Incurrence of any Indebtedness in order to prefund the payment of the interest on such Indebtedness shall not be deemed to be “Indebtedness” so long as such money is held to secure the payment of such interest; and</w:t>
      </w:r>
    </w:p>
    <w:p>
      <w:pPr>
        <w:spacing w:after="0" w:line="75" w:lineRule="exact"/>
        <w:rPr>
          <w:rFonts w:ascii="Arial" w:cs="Arial" w:eastAsia="Arial" w:hAnsi="Arial"/>
          <w:sz w:val="18"/>
          <w:szCs w:val="18"/>
          <w:color w:val="auto"/>
        </w:rPr>
      </w:pPr>
    </w:p>
    <w:p>
      <w:pPr>
        <w:ind w:left="1320" w:right="160" w:firstLine="482"/>
        <w:spacing w:after="0" w:line="308" w:lineRule="auto"/>
        <w:tabs>
          <w:tab w:leader="none" w:pos="2269" w:val="left"/>
        </w:tabs>
        <w:numPr>
          <w:ilvl w:val="0"/>
          <w:numId w:val="1222"/>
        </w:numPr>
        <w:rPr>
          <w:rFonts w:ascii="Arial" w:cs="Arial" w:eastAsia="Arial" w:hAnsi="Arial"/>
          <w:sz w:val="17"/>
          <w:szCs w:val="17"/>
          <w:color w:val="auto"/>
        </w:rPr>
      </w:pPr>
      <w:r>
        <w:rPr>
          <w:rFonts w:ascii="Arial" w:cs="Arial" w:eastAsia="Arial" w:hAnsi="Arial"/>
          <w:sz w:val="17"/>
          <w:szCs w:val="17"/>
          <w:color w:val="auto"/>
        </w:rPr>
        <w:t>that the amount of or the principal amount of Indebtedness with respect to any Hedging Obligation shall be equal to the net amount payable if such Hedging Obligation terminated at or prior to that time due to a default by such Person.</w:t>
      </w:r>
    </w:p>
    <w:p>
      <w:pPr>
        <w:spacing w:after="0" w:line="146" w:lineRule="exact"/>
        <w:rPr>
          <w:sz w:val="20"/>
          <w:szCs w:val="20"/>
          <w:color w:val="auto"/>
        </w:rPr>
      </w:pPr>
    </w:p>
    <w:p>
      <w:pPr>
        <w:ind w:right="10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2025 Notes</w:t>
      </w:r>
      <w:r>
        <w:rPr>
          <w:rFonts w:ascii="Arial" w:cs="Arial" w:eastAsia="Arial" w:hAnsi="Arial"/>
          <w:sz w:val="18"/>
          <w:szCs w:val="18"/>
          <w:color w:val="auto"/>
        </w:rPr>
        <w:t>” means the first US$500,000,000 aggregate principal amount of 2025 Notes issued under the 2025 Notes Indenture on or about July 15, 2020.</w:t>
      </w:r>
    </w:p>
    <w:p>
      <w:pPr>
        <w:spacing w:after="0" w:line="170" w:lineRule="exact"/>
        <w:rPr>
          <w:sz w:val="20"/>
          <w:szCs w:val="20"/>
          <w:color w:val="auto"/>
        </w:rPr>
      </w:pPr>
    </w:p>
    <w:p>
      <w:pPr>
        <w:ind w:right="10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2028 Notes</w:t>
      </w:r>
      <w:r>
        <w:rPr>
          <w:rFonts w:ascii="Arial" w:cs="Arial" w:eastAsia="Arial" w:hAnsi="Arial"/>
          <w:sz w:val="18"/>
          <w:szCs w:val="18"/>
          <w:color w:val="auto"/>
        </w:rPr>
        <w:t>” means the first US$500,000,000 aggregate principal amount of 2028 Notes issued under the 2028 Notes Indenture on or about July 15, 2020.</w:t>
      </w:r>
    </w:p>
    <w:p>
      <w:pPr>
        <w:spacing w:after="0" w:line="170" w:lineRule="exact"/>
        <w:rPr>
          <w:sz w:val="20"/>
          <w:szCs w:val="20"/>
          <w:color w:val="auto"/>
        </w:rPr>
      </w:pPr>
    </w:p>
    <w:p>
      <w:pPr>
        <w:ind w:right="10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2029 Notes</w:t>
      </w:r>
      <w:r>
        <w:rPr>
          <w:rFonts w:ascii="Arial" w:cs="Arial" w:eastAsia="Arial" w:hAnsi="Arial"/>
          <w:sz w:val="18"/>
          <w:szCs w:val="18"/>
          <w:color w:val="auto"/>
        </w:rPr>
        <w:t>” means the first US$750,000,000 aggregate principal amount of 2029 Notes issued under the 2029 Notes Indenture on or about January 14, 2021.</w:t>
      </w:r>
    </w:p>
    <w:p>
      <w:pPr>
        <w:spacing w:after="0" w:line="170" w:lineRule="exact"/>
        <w:rPr>
          <w:sz w:val="20"/>
          <w:szCs w:val="20"/>
          <w:color w:val="auto"/>
        </w:rPr>
      </w:pPr>
    </w:p>
    <w:p>
      <w:pPr>
        <w:ind w:right="180" w:firstLine="77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Intercompany Note Proceeds Loans</w:t>
      </w:r>
      <w:r>
        <w:rPr>
          <w:rFonts w:ascii="Arial" w:cs="Arial" w:eastAsia="Arial" w:hAnsi="Arial"/>
          <w:sz w:val="16"/>
          <w:szCs w:val="16"/>
          <w:color w:val="auto"/>
        </w:rPr>
        <w:t>” means the one or more intercompany loans between the Company and its Subsidiaries pursuant to which the Company on-lends to its Subsidiaries the net proceeds from the issuance of the 2025 Notes, the 2028 Notes or (as the case may be) the 2029 Notes in accordance with the terms of the definitive documents with respect to the 2025 Notes, the 2028 Notes or (as the case may be) the 2029 Notes, in each case, as amended from time to time, including in connection with any extension, additional issuance or refinancing thereof.</w:t>
      </w:r>
    </w:p>
    <w:p>
      <w:pPr>
        <w:spacing w:after="0" w:line="157" w:lineRule="exact"/>
        <w:rPr>
          <w:sz w:val="20"/>
          <w:szCs w:val="20"/>
          <w:color w:val="auto"/>
        </w:rPr>
      </w:pPr>
    </w:p>
    <w:p>
      <w:pPr>
        <w:ind w:right="68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Status</w:t>
      </w:r>
      <w:r>
        <w:rPr>
          <w:rFonts w:ascii="Arial" w:cs="Arial" w:eastAsia="Arial" w:hAnsi="Arial"/>
          <w:sz w:val="18"/>
          <w:szCs w:val="18"/>
          <w:color w:val="auto"/>
        </w:rPr>
        <w:t>” shall apply at any time the relevant Indebtedness receives (i) a rating equal to or higher than BBB- (or the equivalent) from S&amp;P and (ii) a rating equal to or higher than Baa3 (or the equivalent) from Moody’s.</w:t>
      </w:r>
    </w:p>
    <w:p>
      <w:pPr>
        <w:spacing w:after="0" w:line="170" w:lineRule="exact"/>
        <w:rPr>
          <w:sz w:val="20"/>
          <w:szCs w:val="20"/>
          <w:color w:val="auto"/>
        </w:rPr>
      </w:pPr>
    </w:p>
    <w:p>
      <w:pPr>
        <w:ind w:right="60" w:firstLine="77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Investments</w:t>
      </w:r>
      <w:r>
        <w:rPr>
          <w:rFonts w:ascii="Arial" w:cs="Arial" w:eastAsia="Arial" w:hAnsi="Arial"/>
          <w:sz w:val="17"/>
          <w:szCs w:val="17"/>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and consultants made in the ordinary course of business), purchases or other acquisitions for consideration of Indebtedness, Equity Interests or other securities, together with all items that are or would be classified as investments on a balance sheet prepared in accordance with U.S.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will be deemed to have made an Investment on the date of any such sale or disposition equal to the Fair Market Value of the Company’s Investments in such Subsidiary that were not sold or disposed of in an amount determined as provided in clause (c) of Section 2 of Schedule 10 (</w:t>
      </w:r>
      <w:r>
        <w:rPr>
          <w:rFonts w:ascii="Arial" w:cs="Arial" w:eastAsia="Arial" w:hAnsi="Arial"/>
          <w:sz w:val="17"/>
          <w:szCs w:val="17"/>
          <w:i w:val="1"/>
          <w:iCs w:val="1"/>
          <w:color w:val="auto"/>
        </w:rPr>
        <w:t>Covenants</w:t>
      </w:r>
      <w:r>
        <w:rPr>
          <w:rFonts w:ascii="Arial" w:cs="Arial" w:eastAsia="Arial" w:hAnsi="Arial"/>
          <w:sz w:val="17"/>
          <w:szCs w:val="17"/>
          <w:color w:val="auto"/>
        </w:rPr>
        <w:t>). The acquisition by the Company or any Subsidiary of the Company of a Person that holds an Investment in a third Person will be deemed to be an Investment by the Company or such Subsidiary in such third Person in an amount equal to the Fair Market Value of the Investments held by the acquired Person in such third Person in an amount determined as provided in clause (c) of Section 2 of Schedule 10 (</w:t>
      </w:r>
      <w:r>
        <w:rPr>
          <w:rFonts w:ascii="Arial" w:cs="Arial" w:eastAsia="Arial" w:hAnsi="Arial"/>
          <w:sz w:val="17"/>
          <w:szCs w:val="17"/>
          <w:i w:val="1"/>
          <w:iCs w:val="1"/>
          <w:color w:val="auto"/>
        </w:rPr>
        <w:t>Covenants</w:t>
      </w:r>
      <w:r>
        <w:rPr>
          <w:rFonts w:ascii="Arial" w:cs="Arial" w:eastAsia="Arial" w:hAnsi="Arial"/>
          <w:sz w:val="17"/>
          <w:szCs w:val="17"/>
          <w:color w:val="auto"/>
        </w:rPr>
        <w:t>). Except as otherwise provided in this Agreement, the amount of an Investment will be determined at the time the Investment is made and without giving effect to subsequent changes in value.</w:t>
      </w:r>
    </w:p>
    <w:p>
      <w:pPr>
        <w:spacing w:after="0" w:line="119"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97" w:name="page798"/>
    <w:bookmarkEnd w:id="797"/>
    <w:p>
      <w:pPr>
        <w:ind w:right="80" w:firstLine="77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Land Concession</w:t>
      </w:r>
      <w:r>
        <w:rPr>
          <w:rFonts w:ascii="Arial" w:cs="Arial" w:eastAsia="Arial" w:hAnsi="Arial"/>
          <w:sz w:val="17"/>
          <w:szCs w:val="17"/>
          <w:color w:val="auto"/>
        </w:rPr>
        <w:t>” means the land concession by way of lease, for a period of 25 years, subject to renewal as of October 17, 2001 for a plot of land situated in Cotai, Macau, described with the Macau Immovable Property Registry under No. 23059 and registered in Studio City Developments Limited’s name under inscription no. 26642 of Book F, titled by Dispatch of the Secretary for Public Works and Transportation no. 100/2001 of October 9, 2001, published in the Macau Official Gazette no. 42 of October 17, 2001, as amended by Dispatch of the Secretary for Public Works and Transportation no. 31/2012 of July 19, 2012, published in the Macau Official Gazette no. 30 of July 25, 2012, and by Dispatch of Secretary for Public Works and Transportation no. 92/2015 of September 10, 2015, published in the Macau Official Gazette no. 38 of September 23, 2015 and including any other amendments from time to time to such land concession.</w:t>
      </w:r>
    </w:p>
    <w:p>
      <w:pPr>
        <w:spacing w:after="0" w:line="177" w:lineRule="exact"/>
        <w:rPr>
          <w:sz w:val="20"/>
          <w:szCs w:val="20"/>
          <w:color w:val="auto"/>
        </w:rPr>
      </w:pPr>
    </w:p>
    <w:p>
      <w:pPr>
        <w:ind w:right="2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 means a Saturday, a Sunday or a day on which banking institutions in the City of New York, New York, Hong Kong, Macau, the British Virgin Islands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87" w:lineRule="exact"/>
        <w:rPr>
          <w:sz w:val="20"/>
          <w:szCs w:val="20"/>
          <w:color w:val="auto"/>
        </w:rPr>
      </w:pPr>
    </w:p>
    <w:p>
      <w:pPr>
        <w:ind w:right="22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Measurement Date</w:t>
      </w:r>
      <w:r>
        <w:rPr>
          <w:rFonts w:ascii="Arial" w:cs="Arial" w:eastAsia="Arial" w:hAnsi="Arial"/>
          <w:sz w:val="18"/>
          <w:szCs w:val="18"/>
          <w:color w:val="auto"/>
        </w:rPr>
        <w:t>” means February 11, 2019.</w:t>
      </w:r>
    </w:p>
    <w:p>
      <w:pPr>
        <w:spacing w:after="0" w:line="225" w:lineRule="exact"/>
        <w:rPr>
          <w:sz w:val="20"/>
          <w:szCs w:val="20"/>
          <w:color w:val="auto"/>
        </w:rPr>
      </w:pPr>
    </w:p>
    <w:p>
      <w:pPr>
        <w:ind w:right="12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w:t>
      </w:r>
      <w:r>
        <w:rPr>
          <w:rFonts w:ascii="Arial" w:cs="Arial" w:eastAsia="Arial" w:hAnsi="Arial"/>
          <w:sz w:val="18"/>
          <w:szCs w:val="18"/>
          <w:color w:val="auto"/>
        </w:rPr>
        <w:t>” means Melco Resorts &amp; Entertainment Limited, an exempted company incorporated with limited liability under the laws of the Cayman Islands.</w:t>
      </w:r>
    </w:p>
    <w:p>
      <w:pPr>
        <w:spacing w:after="0" w:line="170" w:lineRule="exact"/>
        <w:rPr>
          <w:sz w:val="20"/>
          <w:szCs w:val="20"/>
          <w:color w:val="auto"/>
        </w:rPr>
      </w:pPr>
    </w:p>
    <w:p>
      <w:pPr>
        <w:jc w:val="both"/>
        <w:ind w:right="22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 Parties</w:t>
      </w:r>
      <w:r>
        <w:rPr>
          <w:rFonts w:ascii="Arial" w:cs="Arial" w:eastAsia="Arial" w:hAnsi="Arial"/>
          <w:sz w:val="18"/>
          <w:szCs w:val="18"/>
          <w:color w:val="auto"/>
        </w:rPr>
        <w:t>” means COD Resorts Limited, Altira Resorts Limited, Melco Resorts (Macau) Limited, MPEL Services Limited, Golden Future (Management Services) Limited, MPEL Properties (Macau) Limited, Melco Resorts Security Services Limited, Melco Resorts Travel Limited, MCE Transportation Limited, MCE Transportation Two Limited and any other Person which accedes to the MSA as a “</w:t>
      </w:r>
      <w:r>
        <w:rPr>
          <w:rFonts w:ascii="Arial" w:cs="Arial" w:eastAsia="Arial" w:hAnsi="Arial"/>
          <w:sz w:val="18"/>
          <w:szCs w:val="18"/>
          <w:i w:val="1"/>
          <w:iCs w:val="1"/>
          <w:color w:val="auto"/>
        </w:rPr>
        <w:t>Melco Crown Party</w:t>
      </w:r>
      <w:r>
        <w:rPr>
          <w:rFonts w:ascii="Arial" w:cs="Arial" w:eastAsia="Arial" w:hAnsi="Arial"/>
          <w:sz w:val="18"/>
          <w:szCs w:val="18"/>
          <w:color w:val="auto"/>
        </w:rPr>
        <w:t>” pursuant to terms thereof; and a “</w:t>
      </w:r>
      <w:r>
        <w:rPr>
          <w:rFonts w:ascii="Arial" w:cs="Arial" w:eastAsia="Arial" w:hAnsi="Arial"/>
          <w:sz w:val="18"/>
          <w:szCs w:val="18"/>
          <w:i w:val="1"/>
          <w:iCs w:val="1"/>
          <w:color w:val="auto"/>
        </w:rPr>
        <w:t>Melco Resorts Party</w:t>
      </w:r>
      <w:r>
        <w:rPr>
          <w:rFonts w:ascii="Arial" w:cs="Arial" w:eastAsia="Arial" w:hAnsi="Arial"/>
          <w:sz w:val="18"/>
          <w:szCs w:val="18"/>
          <w:color w:val="auto"/>
        </w:rPr>
        <w:t>” means any of them.</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right="40" w:firstLine="77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MSA</w:t>
      </w:r>
      <w:r>
        <w:rPr>
          <w:rFonts w:ascii="Arial" w:cs="Arial" w:eastAsia="Arial" w:hAnsi="Arial"/>
          <w:sz w:val="16"/>
          <w:szCs w:val="16"/>
          <w:color w:val="auto"/>
        </w:rPr>
        <w:t>” means the master services agreement dated December 21, 2015, including any work agreements entered into pursuant to the master services agreement, entered into between the Studio City Parties on the one part and the Melco Resorts Parties on the other part, as amended, modified, supplemented, extended, replaced or renewed from time to time, and any other master services agreement or equivalent agreement or contract, including any work agreements entered into pursuant to any such master services agreement, in each case entered into in connection with the conduct of Permitted Business and on terms that are no less favorable to the Company or the relevant Restricted Subsidiary than those that would have been obtained in an arm’s length commercial transaction, as amended, modified, supplemented, extended, replaced or renewed from time to time.</w:t>
      </w:r>
    </w:p>
    <w:p>
      <w:pPr>
        <w:spacing w:after="0" w:line="97"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98" w:name="page799"/>
    <w:bookmarkEnd w:id="798"/>
    <w:p>
      <w:pPr>
        <w:ind w:right="60" w:firstLine="77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of such Person, determined in accordance with U.S. GAAP and before any reduction in respect of Preferred Stock dividends, excluding, however:</w:t>
      </w:r>
    </w:p>
    <w:p>
      <w:pPr>
        <w:spacing w:after="0" w:line="62" w:lineRule="exact"/>
        <w:rPr>
          <w:sz w:val="20"/>
          <w:szCs w:val="20"/>
          <w:color w:val="auto"/>
        </w:rPr>
      </w:pPr>
    </w:p>
    <w:p>
      <w:pPr>
        <w:ind w:left="2320" w:hanging="426"/>
        <w:spacing w:after="0"/>
        <w:tabs>
          <w:tab w:leader="none" w:pos="2320" w:val="left"/>
        </w:tabs>
        <w:numPr>
          <w:ilvl w:val="1"/>
          <w:numId w:val="1223"/>
        </w:numPr>
        <w:rPr>
          <w:rFonts w:ascii="Arial" w:cs="Arial" w:eastAsia="Arial" w:hAnsi="Arial"/>
          <w:sz w:val="17"/>
          <w:szCs w:val="17"/>
          <w:color w:val="auto"/>
        </w:rPr>
      </w:pPr>
      <w:r>
        <w:rPr>
          <w:rFonts w:ascii="Arial" w:cs="Arial" w:eastAsia="Arial" w:hAnsi="Arial"/>
          <w:sz w:val="17"/>
          <w:szCs w:val="17"/>
          <w:color w:val="auto"/>
        </w:rPr>
        <w:t>any gain (or loss), together with any related provision for taxes on such gain (or loss), realized in connection with:</w:t>
      </w:r>
    </w:p>
    <w:p>
      <w:pPr>
        <w:spacing w:after="0" w:line="34" w:lineRule="exact"/>
        <w:rPr>
          <w:rFonts w:ascii="Arial" w:cs="Arial" w:eastAsia="Arial" w:hAnsi="Arial"/>
          <w:sz w:val="17"/>
          <w:szCs w:val="17"/>
          <w:color w:val="auto"/>
        </w:rPr>
      </w:pPr>
    </w:p>
    <w:p>
      <w:pPr>
        <w:ind w:left="760" w:right="720" w:firstLine="7"/>
        <w:spacing w:after="0" w:line="290" w:lineRule="auto"/>
        <w:tabs>
          <w:tab w:leader="none" w:pos="1005" w:val="left"/>
        </w:tabs>
        <w:numPr>
          <w:ilvl w:val="0"/>
          <w:numId w:val="1224"/>
        </w:numPr>
        <w:rPr>
          <w:rFonts w:ascii="Arial" w:cs="Arial" w:eastAsia="Arial" w:hAnsi="Arial"/>
          <w:sz w:val="17"/>
          <w:szCs w:val="17"/>
          <w:color w:val="auto"/>
        </w:rPr>
      </w:pPr>
      <w:r>
        <w:rPr>
          <w:rFonts w:ascii="Arial" w:cs="Arial" w:eastAsia="Arial" w:hAnsi="Arial"/>
          <w:sz w:val="17"/>
          <w:szCs w:val="17"/>
          <w:color w:val="auto"/>
        </w:rPr>
        <w:t>any Asset Sale; or (b) the disposition of any securities by such Person or any of its Restricted Subsidiaries or the extinguishment, repurchase or cancellation of any Indebtedness of such Person or any of its Restricted Subsidiaries; and</w:t>
      </w:r>
    </w:p>
    <w:p>
      <w:pPr>
        <w:spacing w:after="0" w:line="53" w:lineRule="exact"/>
        <w:rPr>
          <w:rFonts w:ascii="Arial" w:cs="Arial" w:eastAsia="Arial" w:hAnsi="Arial"/>
          <w:sz w:val="17"/>
          <w:szCs w:val="17"/>
          <w:color w:val="auto"/>
        </w:rPr>
      </w:pPr>
    </w:p>
    <w:p>
      <w:pPr>
        <w:ind w:left="2320" w:hanging="426"/>
        <w:spacing w:after="0"/>
        <w:tabs>
          <w:tab w:leader="none" w:pos="2320" w:val="left"/>
        </w:tabs>
        <w:numPr>
          <w:ilvl w:val="1"/>
          <w:numId w:val="1224"/>
        </w:numPr>
        <w:rPr>
          <w:rFonts w:ascii="Arial" w:cs="Arial" w:eastAsia="Arial" w:hAnsi="Arial"/>
          <w:sz w:val="17"/>
          <w:szCs w:val="17"/>
          <w:color w:val="auto"/>
        </w:rPr>
      </w:pPr>
      <w:r>
        <w:rPr>
          <w:rFonts w:ascii="Arial" w:cs="Arial" w:eastAsia="Arial" w:hAnsi="Arial"/>
          <w:sz w:val="17"/>
          <w:szCs w:val="17"/>
          <w:color w:val="auto"/>
        </w:rPr>
        <w:t>any extraordinary gain (or loss), together with any related provision for taxes on such extraordinary gain (or loss).</w:t>
      </w:r>
    </w:p>
    <w:p>
      <w:pPr>
        <w:spacing w:after="0" w:line="237" w:lineRule="exact"/>
        <w:rPr>
          <w:sz w:val="20"/>
          <w:szCs w:val="20"/>
          <w:color w:val="auto"/>
        </w:rPr>
      </w:pPr>
    </w:p>
    <w:p>
      <w:pPr>
        <w:ind w:right="40" w:firstLine="77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any reserve for adjustment in respect of the sale price of such asset or assets established in accordance with U.S. GAAP.</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760" w:right="20" w:firstLine="1134"/>
        <w:spacing w:after="0" w:line="259" w:lineRule="auto"/>
        <w:tabs>
          <w:tab w:leader="none" w:pos="2322" w:val="left"/>
        </w:tabs>
        <w:numPr>
          <w:ilvl w:val="0"/>
          <w:numId w:val="1225"/>
        </w:numPr>
        <w:rPr>
          <w:rFonts w:ascii="Arial" w:cs="Arial" w:eastAsia="Arial" w:hAnsi="Arial"/>
          <w:sz w:val="18"/>
          <w:szCs w:val="18"/>
          <w:color w:val="auto"/>
        </w:rPr>
      </w:pPr>
      <w:r>
        <w:rPr>
          <w:rFonts w:ascii="Arial" w:cs="Arial" w:eastAsia="Arial" w:hAnsi="Arial"/>
          <w:sz w:val="18"/>
          <w:szCs w:val="18"/>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 other than, in the case of (a) and (b), Indebtedness incurred pursuant to clause (b)(xv) of Section 4 of Schedule 10 (</w:t>
      </w:r>
      <w:r>
        <w:rPr>
          <w:rFonts w:ascii="Arial" w:cs="Arial" w:eastAsia="Arial" w:hAnsi="Arial"/>
          <w:sz w:val="18"/>
          <w:szCs w:val="18"/>
          <w:i w:val="1"/>
          <w:iCs w:val="1"/>
          <w:color w:val="auto"/>
        </w:rPr>
        <w:t>Covenants</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left="760" w:right="320" w:firstLine="1134"/>
        <w:spacing w:after="0" w:line="308" w:lineRule="auto"/>
        <w:tabs>
          <w:tab w:leader="none" w:pos="2322" w:val="left"/>
        </w:tabs>
        <w:numPr>
          <w:ilvl w:val="0"/>
          <w:numId w:val="1225"/>
        </w:numPr>
        <w:rPr>
          <w:rFonts w:ascii="Arial" w:cs="Arial" w:eastAsia="Arial" w:hAnsi="Arial"/>
          <w:sz w:val="17"/>
          <w:szCs w:val="17"/>
          <w:color w:val="auto"/>
        </w:rPr>
      </w:pPr>
      <w:r>
        <w:rPr>
          <w:rFonts w:ascii="Arial" w:cs="Arial" w:eastAsia="Arial" w:hAnsi="Arial"/>
          <w:sz w:val="17"/>
          <w:szCs w:val="17"/>
          <w:color w:val="auto"/>
        </w:rPr>
        <w:t>as to which the lenders have been notified in writing that they will not have any recourse to the stock or assets of the Company or any of its Restricted Subsidiaries (other than to the Equity Interests of any Unrestricted Subsidiary).</w:t>
      </w:r>
    </w:p>
    <w:p>
      <w:pPr>
        <w:spacing w:after="0" w:line="146" w:lineRule="exact"/>
        <w:rPr>
          <w:sz w:val="20"/>
          <w:szCs w:val="20"/>
          <w:color w:val="auto"/>
        </w:rPr>
      </w:pPr>
    </w:p>
    <w:p>
      <w:pPr>
        <w:ind w:right="28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dated January 5, 2021 in respect of the Senior Notes.</w:t>
      </w:r>
    </w:p>
    <w:p>
      <w:pPr>
        <w:spacing w:after="0" w:line="225" w:lineRule="exact"/>
        <w:rPr>
          <w:sz w:val="20"/>
          <w:szCs w:val="20"/>
          <w:color w:val="auto"/>
        </w:rPr>
      </w:pPr>
    </w:p>
    <w:p>
      <w:pPr>
        <w:ind w:right="20" w:firstLine="77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the Chairman of the Board, Chief Executive Officer, Chief Financial Officer, President, any Executive Vice President, Senior Vice President or Vice President, Treasurer or Secretary of the Company or any Directors of the Board or any Person acting in that capacity.</w:t>
      </w:r>
    </w:p>
    <w:p>
      <w:pPr>
        <w:spacing w:after="0" w:line="124" w:lineRule="exact"/>
        <w:rPr>
          <w:sz w:val="20"/>
          <w:szCs w:val="20"/>
          <w:color w:val="auto"/>
        </w:rPr>
      </w:pPr>
    </w:p>
    <w:p>
      <w:pPr>
        <w:ind w:right="28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Company, by an Officer of the Company, which is in form and substance satisfactory to the Agent (acting reasonably).</w:t>
      </w:r>
    </w:p>
    <w:p>
      <w:pPr>
        <w:spacing w:after="0" w:line="170" w:lineRule="exact"/>
        <w:rPr>
          <w:sz w:val="20"/>
          <w:szCs w:val="20"/>
          <w:color w:val="auto"/>
        </w:rPr>
      </w:pPr>
    </w:p>
    <w:p>
      <w:pPr>
        <w:ind w:right="80" w:firstLine="77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Business</w:t>
      </w:r>
      <w:r>
        <w:rPr>
          <w:rFonts w:ascii="Arial" w:cs="Arial" w:eastAsia="Arial" w:hAnsi="Arial"/>
          <w:sz w:val="17"/>
          <w:szCs w:val="17"/>
          <w:color w:val="auto"/>
        </w:rPr>
        <w:t>” means (1) any businesses, services or activities engaged in by the Company or any of its Restricted Subsidiaries on the 2021 Amendment and Restatement Effective Date, including, without limitation, the construction, development and operation of the Property, (2) any gaming, hotel, accommodation, hospitality, transport, tourism, resort, food and beverage, retail, entertainment, cinema / cinematic venue, audio-visual production (including provision of sound stage, recording studio and similar facilities), performance, cultural or related business, development, project, undertaking or venture of any kind in the Macau SAR, and (3) any other businesses, services, activities or undertaking that are necessary for, supportive of, or connected, related, complementary, incidental, ancillary or similar to, any of the foregoing or are extensions or developments of any thereof (including in support of the businesses, services, activities and undertakings of the Melco Resorts group as a whole or any member thereof including through participation in shared and centralized services and activities).</w:t>
      </w:r>
    </w:p>
    <w:p>
      <w:pPr>
        <w:spacing w:after="0" w:line="111"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799" w:name="page800"/>
    <w:bookmarkEnd w:id="7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560" w:hanging="426"/>
        <w:spacing w:after="0"/>
        <w:tabs>
          <w:tab w:leader="none" w:pos="1560" w:val="left"/>
        </w:tabs>
        <w:numPr>
          <w:ilvl w:val="0"/>
          <w:numId w:val="1226"/>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117" w:lineRule="exact"/>
        <w:rPr>
          <w:rFonts w:ascii="Arial" w:cs="Arial" w:eastAsia="Arial" w:hAnsi="Arial"/>
          <w:sz w:val="18"/>
          <w:szCs w:val="18"/>
          <w:color w:val="auto"/>
        </w:rPr>
      </w:pPr>
    </w:p>
    <w:p>
      <w:pPr>
        <w:ind w:left="1560" w:hanging="426"/>
        <w:spacing w:after="0"/>
        <w:tabs>
          <w:tab w:leader="none" w:pos="1560" w:val="left"/>
        </w:tabs>
        <w:numPr>
          <w:ilvl w:val="0"/>
          <w:numId w:val="1226"/>
        </w:numPr>
        <w:rPr>
          <w:rFonts w:ascii="Arial" w:cs="Arial" w:eastAsia="Arial" w:hAnsi="Arial"/>
          <w:sz w:val="18"/>
          <w:szCs w:val="18"/>
          <w:color w:val="auto"/>
        </w:rPr>
      </w:pPr>
      <w:r>
        <w:rPr>
          <w:rFonts w:ascii="Arial" w:cs="Arial" w:eastAsia="Arial" w:hAnsi="Arial"/>
          <w:sz w:val="18"/>
          <w:szCs w:val="18"/>
          <w:color w:val="auto"/>
        </w:rPr>
        <w:t>any Investment in cash or Cash Equivalents;</w:t>
      </w:r>
    </w:p>
    <w:p>
      <w:pPr>
        <w:spacing w:after="0" w:line="117" w:lineRule="exact"/>
        <w:rPr>
          <w:rFonts w:ascii="Arial" w:cs="Arial" w:eastAsia="Arial" w:hAnsi="Arial"/>
          <w:sz w:val="18"/>
          <w:szCs w:val="18"/>
          <w:color w:val="auto"/>
        </w:rPr>
      </w:pPr>
    </w:p>
    <w:p>
      <w:pPr>
        <w:ind w:left="1560" w:hanging="426"/>
        <w:spacing w:after="0"/>
        <w:tabs>
          <w:tab w:leader="none" w:pos="1560" w:val="left"/>
        </w:tabs>
        <w:numPr>
          <w:ilvl w:val="0"/>
          <w:numId w:val="1226"/>
        </w:numPr>
        <w:rPr>
          <w:rFonts w:ascii="Arial" w:cs="Arial" w:eastAsia="Arial" w:hAnsi="Arial"/>
          <w:sz w:val="17"/>
          <w:szCs w:val="17"/>
          <w:color w:val="auto"/>
        </w:rPr>
      </w:pPr>
      <w:r>
        <w:rPr>
          <w:rFonts w:ascii="Arial" w:cs="Arial" w:eastAsia="Arial" w:hAnsi="Arial"/>
          <w:sz w:val="17"/>
          <w:szCs w:val="17"/>
          <w:color w:val="auto"/>
        </w:rPr>
        <w:t>any Investment by the Company or any Restricted Subsidiary of the Company in a Person, if as a result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Investment:</w:t>
      </w:r>
    </w:p>
    <w:p>
      <w:pPr>
        <w:spacing w:after="0" w:line="103" w:lineRule="exact"/>
        <w:rPr>
          <w:sz w:val="20"/>
          <w:szCs w:val="20"/>
          <w:color w:val="auto"/>
        </w:rPr>
      </w:pPr>
    </w:p>
    <w:p>
      <w:pPr>
        <w:ind w:left="2140" w:hanging="470"/>
        <w:spacing w:after="0"/>
        <w:tabs>
          <w:tab w:leader="none" w:pos="2140" w:val="left"/>
        </w:tabs>
        <w:numPr>
          <w:ilvl w:val="1"/>
          <w:numId w:val="1227"/>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117" w:lineRule="exact"/>
        <w:rPr>
          <w:rFonts w:ascii="Arial" w:cs="Arial" w:eastAsia="Arial" w:hAnsi="Arial"/>
          <w:sz w:val="18"/>
          <w:szCs w:val="18"/>
          <w:color w:val="auto"/>
        </w:rPr>
      </w:pPr>
    </w:p>
    <w:p>
      <w:pPr>
        <w:ind w:left="1220" w:right="100" w:firstLine="450"/>
        <w:spacing w:after="0" w:line="277" w:lineRule="auto"/>
        <w:tabs>
          <w:tab w:leader="none" w:pos="2136" w:val="left"/>
        </w:tabs>
        <w:numPr>
          <w:ilvl w:val="1"/>
          <w:numId w:val="1227"/>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62" w:lineRule="exact"/>
        <w:rPr>
          <w:rFonts w:ascii="Arial" w:cs="Arial" w:eastAsia="Arial" w:hAnsi="Arial"/>
          <w:sz w:val="18"/>
          <w:szCs w:val="18"/>
          <w:color w:val="auto"/>
        </w:rPr>
      </w:pPr>
    </w:p>
    <w:p>
      <w:pPr>
        <w:ind w:right="160" w:firstLine="1134"/>
        <w:spacing w:after="0" w:line="277" w:lineRule="auto"/>
        <w:tabs>
          <w:tab w:leader="none" w:pos="1562" w:val="left"/>
        </w:tabs>
        <w:numPr>
          <w:ilvl w:val="0"/>
          <w:numId w:val="1228"/>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Section 5 of Schedule 10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500" w:firstLine="1134"/>
        <w:spacing w:after="0" w:line="277" w:lineRule="auto"/>
        <w:tabs>
          <w:tab w:leader="none" w:pos="1562" w:val="left"/>
        </w:tabs>
        <w:numPr>
          <w:ilvl w:val="0"/>
          <w:numId w:val="1228"/>
        </w:numPr>
        <w:rPr>
          <w:rFonts w:ascii="Arial" w:cs="Arial" w:eastAsia="Arial" w:hAnsi="Arial"/>
          <w:sz w:val="18"/>
          <w:szCs w:val="18"/>
          <w:color w:val="auto"/>
        </w:rPr>
      </w:pPr>
      <w:r>
        <w:rPr>
          <w:rFonts w:ascii="Arial" w:cs="Arial" w:eastAsia="Arial" w:hAnsi="Arial"/>
          <w:sz w:val="18"/>
          <w:szCs w:val="18"/>
          <w:color w:val="auto"/>
        </w:rPr>
        <w:t>any acquisition of assets or Capital Stock in exchange for the issuance of Equity Interests (other than Disqualified Stock) of the Company;</w:t>
      </w:r>
    </w:p>
    <w:p>
      <w:pPr>
        <w:spacing w:after="0" w:line="62" w:lineRule="exact"/>
        <w:rPr>
          <w:rFonts w:ascii="Arial" w:cs="Arial" w:eastAsia="Arial" w:hAnsi="Arial"/>
          <w:sz w:val="18"/>
          <w:szCs w:val="18"/>
          <w:color w:val="auto"/>
        </w:rPr>
      </w:pPr>
    </w:p>
    <w:p>
      <w:pPr>
        <w:ind w:right="320" w:firstLine="1134"/>
        <w:spacing w:after="0" w:line="259" w:lineRule="auto"/>
        <w:tabs>
          <w:tab w:leader="none" w:pos="1562" w:val="left"/>
        </w:tabs>
        <w:numPr>
          <w:ilvl w:val="0"/>
          <w:numId w:val="1228"/>
        </w:numPr>
        <w:rPr>
          <w:rFonts w:ascii="Arial" w:cs="Arial" w:eastAsia="Arial" w:hAnsi="Arial"/>
          <w:sz w:val="18"/>
          <w:szCs w:val="18"/>
          <w:color w:val="auto"/>
        </w:rPr>
      </w:pPr>
      <w:r>
        <w:rPr>
          <w:rFonts w:ascii="Arial" w:cs="Arial" w:eastAsia="Arial" w:hAnsi="Arial"/>
          <w:sz w:val="18"/>
          <w:szCs w:val="18"/>
          <w:color w:val="auto"/>
        </w:rPr>
        <w:t>any Investments received in compromise or resolution of (A) 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8" w:lineRule="exact"/>
        <w:rPr>
          <w:rFonts w:ascii="Arial" w:cs="Arial" w:eastAsia="Arial" w:hAnsi="Arial"/>
          <w:sz w:val="18"/>
          <w:szCs w:val="18"/>
          <w:color w:val="auto"/>
        </w:rPr>
      </w:pPr>
    </w:p>
    <w:p>
      <w:pPr>
        <w:ind w:left="1560" w:hanging="426"/>
        <w:spacing w:after="0"/>
        <w:tabs>
          <w:tab w:leader="none" w:pos="1560" w:val="left"/>
        </w:tabs>
        <w:numPr>
          <w:ilvl w:val="0"/>
          <w:numId w:val="1228"/>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17" w:lineRule="exact"/>
        <w:rPr>
          <w:rFonts w:ascii="Arial" w:cs="Arial" w:eastAsia="Arial" w:hAnsi="Arial"/>
          <w:sz w:val="18"/>
          <w:szCs w:val="18"/>
          <w:color w:val="auto"/>
        </w:rPr>
      </w:pPr>
    </w:p>
    <w:p>
      <w:pPr>
        <w:ind w:right="260" w:firstLine="1134"/>
        <w:spacing w:after="0" w:line="342" w:lineRule="auto"/>
        <w:tabs>
          <w:tab w:leader="none" w:pos="1562" w:val="left"/>
        </w:tabs>
        <w:numPr>
          <w:ilvl w:val="0"/>
          <w:numId w:val="1228"/>
        </w:numPr>
        <w:rPr>
          <w:rFonts w:ascii="Arial" w:cs="Arial" w:eastAsia="Arial" w:hAnsi="Arial"/>
          <w:sz w:val="16"/>
          <w:szCs w:val="16"/>
          <w:color w:val="auto"/>
        </w:rPr>
      </w:pPr>
      <w:r>
        <w:rPr>
          <w:rFonts w:ascii="Arial" w:cs="Arial" w:eastAsia="Arial" w:hAnsi="Arial"/>
          <w:sz w:val="16"/>
          <w:szCs w:val="16"/>
          <w:color w:val="auto"/>
        </w:rPr>
        <w:t>loans or advances to employees, officers, or directors made in the ordinary course of business of the Company or any Restricted Subsidiary of the Company in an aggregate principal amount not to exceed US$2.0 million at any one time outstanding;</w:t>
      </w:r>
    </w:p>
    <w:p>
      <w:pPr>
        <w:spacing w:after="0" w:line="15" w:lineRule="exact"/>
        <w:rPr>
          <w:rFonts w:ascii="Arial" w:cs="Arial" w:eastAsia="Arial" w:hAnsi="Arial"/>
          <w:sz w:val="16"/>
          <w:szCs w:val="16"/>
          <w:color w:val="auto"/>
        </w:rPr>
      </w:pPr>
    </w:p>
    <w:p>
      <w:pPr>
        <w:ind w:left="1560" w:hanging="426"/>
        <w:spacing w:after="0"/>
        <w:tabs>
          <w:tab w:leader="none" w:pos="1560" w:val="left"/>
        </w:tabs>
        <w:numPr>
          <w:ilvl w:val="0"/>
          <w:numId w:val="1228"/>
        </w:numPr>
        <w:rPr>
          <w:rFonts w:ascii="Arial" w:cs="Arial" w:eastAsia="Arial" w:hAnsi="Arial"/>
          <w:sz w:val="16"/>
          <w:szCs w:val="16"/>
          <w:color w:val="auto"/>
        </w:rPr>
      </w:pPr>
      <w:r>
        <w:rPr>
          <w:rFonts w:ascii="Arial" w:cs="Arial" w:eastAsia="Arial" w:hAnsi="Arial"/>
          <w:sz w:val="16"/>
          <w:szCs w:val="16"/>
          <w:color w:val="auto"/>
        </w:rPr>
        <w:t>without prejudice to Clause 23.15 (</w:t>
      </w:r>
      <w:r>
        <w:rPr>
          <w:rFonts w:ascii="Arial" w:cs="Arial" w:eastAsia="Arial" w:hAnsi="Arial"/>
          <w:sz w:val="16"/>
          <w:szCs w:val="16"/>
          <w:i w:val="1"/>
          <w:iCs w:val="1"/>
          <w:color w:val="auto"/>
        </w:rPr>
        <w:t>Notes Repurchase condition</w:t>
      </w:r>
      <w:r>
        <w:rPr>
          <w:rFonts w:ascii="Arial" w:cs="Arial" w:eastAsia="Arial" w:hAnsi="Arial"/>
          <w:sz w:val="16"/>
          <w:szCs w:val="16"/>
          <w:color w:val="auto"/>
        </w:rPr>
        <w:t>) of this Agreement, repurchases of the Senior Notes;</w:t>
      </w:r>
    </w:p>
    <w:p>
      <w:pPr>
        <w:spacing w:after="0" w:line="140" w:lineRule="exact"/>
        <w:rPr>
          <w:rFonts w:ascii="Arial" w:cs="Arial" w:eastAsia="Arial" w:hAnsi="Arial"/>
          <w:sz w:val="16"/>
          <w:szCs w:val="16"/>
          <w:color w:val="auto"/>
        </w:rPr>
      </w:pPr>
    </w:p>
    <w:p>
      <w:pPr>
        <w:ind w:right="80" w:firstLine="1134"/>
        <w:spacing w:after="0" w:line="275" w:lineRule="auto"/>
        <w:tabs>
          <w:tab w:leader="none" w:pos="1651" w:val="left"/>
        </w:tabs>
        <w:numPr>
          <w:ilvl w:val="0"/>
          <w:numId w:val="1228"/>
        </w:numPr>
        <w:rPr>
          <w:rFonts w:ascii="Arial" w:cs="Arial" w:eastAsia="Arial" w:hAnsi="Arial"/>
          <w:sz w:val="17"/>
          <w:szCs w:val="17"/>
          <w:color w:val="auto"/>
        </w:rPr>
      </w:pPr>
      <w:r>
        <w:rPr>
          <w:rFonts w:ascii="Arial" w:cs="Arial" w:eastAsia="Arial" w:hAnsi="Arial"/>
          <w:sz w:val="17"/>
          <w:szCs w:val="17"/>
          <w:color w:val="auto"/>
        </w:rPr>
        <w:t>any Investments consisting of gaming credit extended to customers and junket operators in the ordinary course of business and consistent with applicable law and any Investments made or deemed to be made in connection with or through any transactions or arrangements involving contractual rights under, pursuant to or in connection with (i) the Services and Right to Use Agreement, the Reinvestment Agreement or the MSA and (ii) any transaction or arrangements made pursuant to clause (10) of the definition of “Asset Sale”, including any amendments, modifications, supplements, extensions, replacements, terminations or renewals;</w:t>
      </w:r>
    </w:p>
    <w:p>
      <w:pPr>
        <w:spacing w:after="0" w:line="68" w:lineRule="exact"/>
        <w:rPr>
          <w:rFonts w:ascii="Arial" w:cs="Arial" w:eastAsia="Arial" w:hAnsi="Arial"/>
          <w:sz w:val="17"/>
          <w:szCs w:val="17"/>
          <w:color w:val="auto"/>
        </w:rPr>
      </w:pPr>
    </w:p>
    <w:p>
      <w:pPr>
        <w:ind w:left="1660" w:hanging="526"/>
        <w:spacing w:after="0"/>
        <w:tabs>
          <w:tab w:leader="none" w:pos="1660" w:val="left"/>
        </w:tabs>
        <w:numPr>
          <w:ilvl w:val="0"/>
          <w:numId w:val="1228"/>
        </w:numPr>
        <w:rPr>
          <w:rFonts w:ascii="Arial" w:cs="Arial" w:eastAsia="Arial" w:hAnsi="Arial"/>
          <w:sz w:val="16"/>
          <w:szCs w:val="16"/>
          <w:color w:val="auto"/>
        </w:rPr>
      </w:pPr>
      <w:r>
        <w:rPr>
          <w:rFonts w:ascii="Arial" w:cs="Arial" w:eastAsia="Arial" w:hAnsi="Arial"/>
          <w:sz w:val="16"/>
          <w:szCs w:val="16"/>
          <w:color w:val="auto"/>
        </w:rPr>
        <w:t>advances to contractors and suppliers and accounts, trade and notes receivables created or acquired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143" w:lineRule="exact"/>
        <w:rPr>
          <w:sz w:val="20"/>
          <w:szCs w:val="20"/>
          <w:color w:val="auto"/>
        </w:rPr>
      </w:pPr>
    </w:p>
    <w:p>
      <w:pPr>
        <w:jc w:val="both"/>
        <w:ind w:left="4660"/>
        <w:spacing w:after="0"/>
        <w:tabs>
          <w:tab w:leader="none" w:pos="808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800" w:name="page801"/>
    <w:bookmarkEnd w:id="800"/>
    <w:p>
      <w:pPr>
        <w:ind w:right="100" w:firstLine="1134"/>
        <w:spacing w:after="0" w:line="277" w:lineRule="auto"/>
        <w:tabs>
          <w:tab w:leader="none" w:pos="1651" w:val="left"/>
        </w:tabs>
        <w:numPr>
          <w:ilvl w:val="1"/>
          <w:numId w:val="1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receivables owing to the Company or any of its Restricted Subsidiaries if created or acquired in the ordinary course of business and payable or dischargeable in accordance with customary trade terms;</w:t>
      </w:r>
    </w:p>
    <w:p>
      <w:pPr>
        <w:spacing w:after="0" w:line="62" w:lineRule="exact"/>
        <w:rPr>
          <w:rFonts w:ascii="Arial" w:cs="Arial" w:eastAsia="Arial" w:hAnsi="Arial"/>
          <w:sz w:val="18"/>
          <w:szCs w:val="18"/>
          <w:color w:val="auto"/>
        </w:rPr>
      </w:pPr>
    </w:p>
    <w:p>
      <w:pPr>
        <w:ind w:right="20" w:firstLine="1134"/>
        <w:spacing w:after="0" w:line="257" w:lineRule="auto"/>
        <w:tabs>
          <w:tab w:leader="none" w:pos="1651" w:val="left"/>
        </w:tabs>
        <w:numPr>
          <w:ilvl w:val="1"/>
          <w:numId w:val="1229"/>
        </w:numPr>
        <w:rPr>
          <w:rFonts w:ascii="Arial" w:cs="Arial" w:eastAsia="Arial" w:hAnsi="Arial"/>
          <w:sz w:val="18"/>
          <w:szCs w:val="18"/>
          <w:color w:val="auto"/>
        </w:rPr>
      </w:pPr>
      <w:r>
        <w:rPr>
          <w:rFonts w:ascii="Arial" w:cs="Arial" w:eastAsia="Arial" w:hAnsi="Arial"/>
          <w:sz w:val="18"/>
          <w:szCs w:val="18"/>
          <w:color w:val="auto"/>
        </w:rPr>
        <w:t xml:space="preserve">any Investment existing on the 2021 Amendment and Restatement Effective Date or made pursuant to binding commitments in effect on the 2021 Amendment and Restatement Effective Date or an Investment consisting of any extension, modification or renewal of any Investment existing on the 2021 Amendment and Restatement Effective Date;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Investment may be increased (x) as required by the terms of such Investment as in existence on the 2021 Amendment and Restatement Effective Date or (y) as otherwise permitted under the Finance Documents;</w:t>
      </w:r>
    </w:p>
    <w:p>
      <w:pPr>
        <w:spacing w:after="0" w:line="79" w:lineRule="exact"/>
        <w:rPr>
          <w:rFonts w:ascii="Arial" w:cs="Arial" w:eastAsia="Arial" w:hAnsi="Arial"/>
          <w:sz w:val="18"/>
          <w:szCs w:val="18"/>
          <w:color w:val="auto"/>
        </w:rPr>
      </w:pPr>
    </w:p>
    <w:p>
      <w:pPr>
        <w:jc w:val="both"/>
        <w:ind w:right="260" w:firstLine="1134"/>
        <w:spacing w:after="0" w:line="286" w:lineRule="auto"/>
        <w:tabs>
          <w:tab w:leader="none" w:pos="1651" w:val="left"/>
        </w:tabs>
        <w:numPr>
          <w:ilvl w:val="1"/>
          <w:numId w:val="1229"/>
        </w:numPr>
        <w:rPr>
          <w:rFonts w:ascii="Arial" w:cs="Arial" w:eastAsia="Arial" w:hAnsi="Arial"/>
          <w:sz w:val="17"/>
          <w:szCs w:val="17"/>
          <w:color w:val="auto"/>
        </w:rPr>
      </w:pPr>
      <w:r>
        <w:rPr>
          <w:rFonts w:ascii="Arial" w:cs="Arial" w:eastAsia="Arial" w:hAnsi="Arial"/>
          <w:sz w:val="17"/>
          <w:szCs w:val="17"/>
          <w:color w:val="auto"/>
        </w:rPr>
        <w:t>Investments in prepaid expenses, negotiable instruments held for collection, deposits made in connection with self-insurance, and performance and other similar deposits and prepayments made in connection with an acquisition of assets or property in the ordinary course of business by the Company or any Restricted Subsidiary of the Company;</w:t>
      </w:r>
    </w:p>
    <w:p>
      <w:pPr>
        <w:spacing w:after="0" w:line="57" w:lineRule="exact"/>
        <w:rPr>
          <w:rFonts w:ascii="Arial" w:cs="Arial" w:eastAsia="Arial" w:hAnsi="Arial"/>
          <w:sz w:val="17"/>
          <w:szCs w:val="17"/>
          <w:color w:val="auto"/>
        </w:rPr>
      </w:pPr>
    </w:p>
    <w:p>
      <w:pPr>
        <w:ind w:right="400" w:firstLine="1134"/>
        <w:spacing w:after="0" w:line="263" w:lineRule="auto"/>
        <w:tabs>
          <w:tab w:leader="none" w:pos="1651" w:val="left"/>
        </w:tabs>
        <w:numPr>
          <w:ilvl w:val="1"/>
          <w:numId w:val="1229"/>
        </w:numPr>
        <w:rPr>
          <w:rFonts w:ascii="Arial" w:cs="Arial" w:eastAsia="Arial" w:hAnsi="Arial"/>
          <w:sz w:val="18"/>
          <w:szCs w:val="18"/>
          <w:color w:val="auto"/>
        </w:rPr>
      </w:pPr>
      <w:r>
        <w:rPr>
          <w:rFonts w:ascii="Arial" w:cs="Arial" w:eastAsia="Arial" w:hAnsi="Arial"/>
          <w:sz w:val="18"/>
          <w:szCs w:val="18"/>
          <w:color w:val="auto"/>
        </w:rPr>
        <w:t>deposits made by the Company or any Restricted Subsidiary of the Company in the ordinary course of business to comply with statutory or regulatory obligations (including land grants) to maintain deposits for the purposes specified by the applicable statute or regulation (including land grants) from time to time;</w:t>
      </w:r>
    </w:p>
    <w:p>
      <w:pPr>
        <w:spacing w:after="0" w:line="75" w:lineRule="exact"/>
        <w:rPr>
          <w:rFonts w:ascii="Arial" w:cs="Arial" w:eastAsia="Arial" w:hAnsi="Arial"/>
          <w:sz w:val="18"/>
          <w:szCs w:val="18"/>
          <w:color w:val="auto"/>
        </w:rPr>
      </w:pPr>
    </w:p>
    <w:p>
      <w:pPr>
        <w:ind w:right="400" w:firstLine="1134"/>
        <w:spacing w:after="0" w:line="263" w:lineRule="auto"/>
        <w:tabs>
          <w:tab w:leader="none" w:pos="1651" w:val="left"/>
        </w:tabs>
        <w:numPr>
          <w:ilvl w:val="1"/>
          <w:numId w:val="1229"/>
        </w:numPr>
        <w:rPr>
          <w:rFonts w:ascii="Arial" w:cs="Arial" w:eastAsia="Arial" w:hAnsi="Arial"/>
          <w:sz w:val="18"/>
          <w:szCs w:val="18"/>
          <w:color w:val="auto"/>
        </w:rPr>
      </w:pPr>
      <w:r>
        <w:rPr>
          <w:rFonts w:ascii="Arial" w:cs="Arial" w:eastAsia="Arial" w:hAnsi="Arial"/>
          <w:sz w:val="18"/>
          <w:szCs w:val="18"/>
          <w:color w:val="auto"/>
        </w:rPr>
        <w:t>any Investment consisting of a Guarantee permitted by Section 4 of Schedule 10 (</w:t>
      </w:r>
      <w:r>
        <w:rPr>
          <w:rFonts w:ascii="Arial" w:cs="Arial" w:eastAsia="Arial" w:hAnsi="Arial"/>
          <w:sz w:val="18"/>
          <w:szCs w:val="18"/>
          <w:i w:val="1"/>
          <w:iCs w:val="1"/>
          <w:color w:val="auto"/>
        </w:rPr>
        <w:t>Covenants</w:t>
      </w:r>
      <w:r>
        <w:rPr>
          <w:rFonts w:ascii="Arial" w:cs="Arial" w:eastAsia="Arial" w:hAnsi="Arial"/>
          <w:sz w:val="18"/>
          <w:szCs w:val="18"/>
          <w:color w:val="auto"/>
        </w:rPr>
        <w:t>) and performance guarantees that do not constitute Indebtedness entered into by the Company or any Restricted Subsidiary of the Company in the ordinary course of business;</w:t>
      </w:r>
    </w:p>
    <w:p>
      <w:pPr>
        <w:spacing w:after="0" w:line="75" w:lineRule="exact"/>
        <w:rPr>
          <w:rFonts w:ascii="Arial" w:cs="Arial" w:eastAsia="Arial" w:hAnsi="Arial"/>
          <w:sz w:val="18"/>
          <w:szCs w:val="18"/>
          <w:color w:val="auto"/>
        </w:rPr>
      </w:pPr>
    </w:p>
    <w:p>
      <w:pPr>
        <w:ind w:right="220" w:firstLine="1134"/>
        <w:spacing w:after="0" w:line="263" w:lineRule="auto"/>
        <w:tabs>
          <w:tab w:leader="none" w:pos="1651" w:val="left"/>
        </w:tabs>
        <w:numPr>
          <w:ilvl w:val="1"/>
          <w:numId w:val="1229"/>
        </w:numPr>
        <w:rPr>
          <w:rFonts w:ascii="Arial" w:cs="Arial" w:eastAsia="Arial" w:hAnsi="Arial"/>
          <w:sz w:val="18"/>
          <w:szCs w:val="18"/>
          <w:color w:val="auto"/>
        </w:rPr>
      </w:pPr>
      <w:r>
        <w:rPr>
          <w:rFonts w:ascii="Arial" w:cs="Arial" w:eastAsia="Arial" w:hAnsi="Arial"/>
          <w:sz w:val="18"/>
          <w:szCs w:val="18"/>
          <w:color w:val="auto"/>
        </w:rPr>
        <w:t xml:space="preserve">to the extent constituting an Investment, licenses of intellectual property rights granted by the Company or any Restricted Subsidiary of the Company in the ordinary course of business;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grant does not interfere in any material respect with the ordinary conduct of the business of such Person;</w:t>
      </w:r>
    </w:p>
    <w:p>
      <w:pPr>
        <w:spacing w:after="0" w:line="75" w:lineRule="exact"/>
        <w:rPr>
          <w:rFonts w:ascii="Arial" w:cs="Arial" w:eastAsia="Arial" w:hAnsi="Arial"/>
          <w:sz w:val="18"/>
          <w:szCs w:val="18"/>
          <w:color w:val="auto"/>
        </w:rPr>
      </w:pPr>
    </w:p>
    <w:p>
      <w:pPr>
        <w:ind w:right="580" w:firstLine="1134"/>
        <w:spacing w:after="0" w:line="342" w:lineRule="auto"/>
        <w:tabs>
          <w:tab w:leader="none" w:pos="1651" w:val="left"/>
        </w:tabs>
        <w:numPr>
          <w:ilvl w:val="1"/>
          <w:numId w:val="1229"/>
        </w:numPr>
        <w:rPr>
          <w:rFonts w:ascii="Arial" w:cs="Arial" w:eastAsia="Arial" w:hAnsi="Arial"/>
          <w:sz w:val="16"/>
          <w:szCs w:val="16"/>
          <w:color w:val="auto"/>
        </w:rPr>
      </w:pPr>
      <w:r>
        <w:rPr>
          <w:rFonts w:ascii="Arial" w:cs="Arial" w:eastAsia="Arial" w:hAnsi="Arial"/>
          <w:sz w:val="16"/>
          <w:szCs w:val="16"/>
          <w:color w:val="auto"/>
        </w:rPr>
        <w:t>Investments consisting of purchases and acquisitions of inventory, supplies, materials, services or equipment or purchases of contract rights or licenses or leases of intellectual property, in each case, in the ordinary course of business;</w:t>
      </w:r>
    </w:p>
    <w:p>
      <w:pPr>
        <w:spacing w:after="0" w:line="15" w:lineRule="exact"/>
        <w:rPr>
          <w:rFonts w:ascii="Arial" w:cs="Arial" w:eastAsia="Arial" w:hAnsi="Arial"/>
          <w:sz w:val="16"/>
          <w:szCs w:val="16"/>
          <w:color w:val="auto"/>
        </w:rPr>
      </w:pPr>
    </w:p>
    <w:p>
      <w:pPr>
        <w:ind w:right="420" w:firstLine="1134"/>
        <w:spacing w:after="0" w:line="277" w:lineRule="auto"/>
        <w:tabs>
          <w:tab w:leader="none" w:pos="1651" w:val="left"/>
        </w:tabs>
        <w:numPr>
          <w:ilvl w:val="1"/>
          <w:numId w:val="1229"/>
        </w:numPr>
        <w:rPr>
          <w:rFonts w:ascii="Arial" w:cs="Arial" w:eastAsia="Arial" w:hAnsi="Arial"/>
          <w:sz w:val="18"/>
          <w:szCs w:val="18"/>
          <w:color w:val="auto"/>
        </w:rPr>
      </w:pPr>
      <w:r>
        <w:rPr>
          <w:rFonts w:ascii="Arial" w:cs="Arial" w:eastAsia="Arial" w:hAnsi="Arial"/>
          <w:sz w:val="18"/>
          <w:szCs w:val="18"/>
          <w:color w:val="auto"/>
        </w:rPr>
        <w:t xml:space="preserve">Investments held by a Person that becomes a Restricted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Investments were not acquired in contemplation of the acquisition of such Person;</w:t>
      </w:r>
    </w:p>
    <w:p>
      <w:pPr>
        <w:spacing w:after="0" w:line="62" w:lineRule="exact"/>
        <w:rPr>
          <w:rFonts w:ascii="Arial" w:cs="Arial" w:eastAsia="Arial" w:hAnsi="Arial"/>
          <w:sz w:val="18"/>
          <w:szCs w:val="18"/>
          <w:color w:val="auto"/>
        </w:rPr>
      </w:pPr>
    </w:p>
    <w:p>
      <w:pPr>
        <w:ind w:left="1660" w:hanging="526"/>
        <w:spacing w:after="0"/>
        <w:tabs>
          <w:tab w:leader="none" w:pos="1660" w:val="left"/>
        </w:tabs>
        <w:numPr>
          <w:ilvl w:val="1"/>
          <w:numId w:val="1229"/>
        </w:numPr>
        <w:rPr>
          <w:rFonts w:ascii="Arial" w:cs="Arial" w:eastAsia="Arial" w:hAnsi="Arial"/>
          <w:sz w:val="17"/>
          <w:szCs w:val="17"/>
          <w:color w:val="auto"/>
        </w:rPr>
      </w:pPr>
      <w:r>
        <w:rPr>
          <w:rFonts w:ascii="Arial" w:cs="Arial" w:eastAsia="Arial" w:hAnsi="Arial"/>
          <w:sz w:val="17"/>
          <w:szCs w:val="17"/>
          <w:color w:val="auto"/>
        </w:rPr>
        <w:t>an Investment in an Unrestricted Subsidiary consisting solely of an Investment in another Unrestricted Subsidiary;</w:t>
      </w:r>
    </w:p>
    <w:p>
      <w:pPr>
        <w:spacing w:after="0" w:line="128" w:lineRule="exact"/>
        <w:rPr>
          <w:rFonts w:ascii="Arial" w:cs="Arial" w:eastAsia="Arial" w:hAnsi="Arial"/>
          <w:sz w:val="17"/>
          <w:szCs w:val="17"/>
          <w:color w:val="auto"/>
        </w:rPr>
      </w:pPr>
    </w:p>
    <w:p>
      <w:pPr>
        <w:ind w:left="1660" w:hanging="526"/>
        <w:spacing w:after="0"/>
        <w:tabs>
          <w:tab w:leader="none" w:pos="1660" w:val="left"/>
        </w:tabs>
        <w:numPr>
          <w:ilvl w:val="1"/>
          <w:numId w:val="1229"/>
        </w:numPr>
        <w:rPr>
          <w:rFonts w:ascii="Arial" w:cs="Arial" w:eastAsia="Arial" w:hAnsi="Arial"/>
          <w:sz w:val="16"/>
          <w:szCs w:val="16"/>
          <w:color w:val="auto"/>
        </w:rPr>
      </w:pPr>
      <w:r>
        <w:rPr>
          <w:rFonts w:ascii="Arial" w:cs="Arial" w:eastAsia="Arial" w:hAnsi="Arial"/>
          <w:sz w:val="16"/>
          <w:szCs w:val="16"/>
          <w:color w:val="auto"/>
        </w:rPr>
        <w:t>pledges or deposits (x) with respect to leases or utilities provided to third parties in the ordinary course of business or</w:t>
      </w:r>
    </w:p>
    <w:p>
      <w:pPr>
        <w:spacing w:after="0" w:line="46" w:lineRule="exact"/>
        <w:rPr>
          <w:rFonts w:ascii="Arial" w:cs="Arial" w:eastAsia="Arial" w:hAnsi="Arial"/>
          <w:sz w:val="16"/>
          <w:szCs w:val="16"/>
          <w:color w:val="auto"/>
        </w:rPr>
      </w:pPr>
    </w:p>
    <w:p>
      <w:pPr>
        <w:ind w:left="260" w:hanging="253"/>
        <w:spacing w:after="0"/>
        <w:tabs>
          <w:tab w:leader="none" w:pos="260" w:val="left"/>
        </w:tabs>
        <w:numPr>
          <w:ilvl w:val="0"/>
          <w:numId w:val="1230"/>
        </w:numPr>
        <w:rPr>
          <w:rFonts w:ascii="Arial" w:cs="Arial" w:eastAsia="Arial" w:hAnsi="Arial"/>
          <w:sz w:val="18"/>
          <w:szCs w:val="18"/>
          <w:color w:val="auto"/>
        </w:rPr>
      </w:pPr>
      <w:r>
        <w:rPr>
          <w:rFonts w:ascii="Arial" w:cs="Arial" w:eastAsia="Arial" w:hAnsi="Arial"/>
          <w:sz w:val="18"/>
          <w:szCs w:val="18"/>
          <w:color w:val="auto"/>
        </w:rPr>
        <w:t>otherwise described in the definition of “Permitted Liens”;</w:t>
      </w:r>
    </w:p>
    <w:p>
      <w:pPr>
        <w:spacing w:after="0" w:line="102" w:lineRule="exact"/>
        <w:rPr>
          <w:rFonts w:ascii="Arial" w:cs="Arial" w:eastAsia="Arial" w:hAnsi="Arial"/>
          <w:sz w:val="18"/>
          <w:szCs w:val="18"/>
          <w:color w:val="auto"/>
        </w:rPr>
      </w:pPr>
    </w:p>
    <w:p>
      <w:pPr>
        <w:ind w:right="140" w:firstLine="1134"/>
        <w:spacing w:after="0" w:line="342" w:lineRule="auto"/>
        <w:tabs>
          <w:tab w:leader="none" w:pos="1651" w:val="left"/>
        </w:tabs>
        <w:numPr>
          <w:ilvl w:val="1"/>
          <w:numId w:val="1230"/>
        </w:numPr>
        <w:rPr>
          <w:rFonts w:ascii="Arial" w:cs="Arial" w:eastAsia="Arial" w:hAnsi="Arial"/>
          <w:sz w:val="16"/>
          <w:szCs w:val="16"/>
          <w:color w:val="auto"/>
        </w:rPr>
      </w:pPr>
      <w:r>
        <w:rPr>
          <w:rFonts w:ascii="Arial" w:cs="Arial" w:eastAsia="Arial" w:hAnsi="Arial"/>
          <w:sz w:val="16"/>
          <w:szCs w:val="16"/>
          <w:color w:val="auto"/>
        </w:rPr>
        <w:t xml:space="preserve">Investments (other than Permitted Investments) made with Excluded Contributions; </w:t>
      </w:r>
      <w:r>
        <w:rPr>
          <w:rFonts w:ascii="Arial" w:cs="Arial" w:eastAsia="Arial" w:hAnsi="Arial"/>
          <w:sz w:val="16"/>
          <w:szCs w:val="16"/>
          <w:i w:val="1"/>
          <w:iCs w:val="1"/>
          <w:color w:val="auto"/>
        </w:rPr>
        <w:t>provided</w:t>
      </w:r>
      <w:r>
        <w:rPr>
          <w:rFonts w:ascii="Arial" w:cs="Arial" w:eastAsia="Arial" w:hAnsi="Arial"/>
          <w:sz w:val="16"/>
          <w:szCs w:val="16"/>
          <w:color w:val="auto"/>
        </w:rPr>
        <w:t>, however, that any amount of Excluded Contributions made will not be included in the calculation of clause (C)(II) of Section 2(a) of Schedule 10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1000" w:firstLine="1134"/>
        <w:spacing w:after="0" w:line="277" w:lineRule="auto"/>
        <w:tabs>
          <w:tab w:leader="none" w:pos="1651" w:val="left"/>
        </w:tabs>
        <w:numPr>
          <w:ilvl w:val="1"/>
          <w:numId w:val="1230"/>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arrangements with other Persons; and</w:t>
      </w:r>
    </w:p>
    <w:p>
      <w:pPr>
        <w:spacing w:after="0" w:line="103" w:lineRule="exact"/>
        <w:rPr>
          <w:sz w:val="20"/>
          <w:szCs w:val="20"/>
          <w:color w:val="auto"/>
        </w:rPr>
      </w:pPr>
    </w:p>
    <w:p>
      <w:pPr>
        <w:jc w:val="both"/>
        <w:ind w:left="4660"/>
        <w:spacing w:after="0"/>
        <w:tabs>
          <w:tab w:leader="none" w:pos="808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801" w:name="page802"/>
    <w:bookmarkEnd w:id="801"/>
    <w:p>
      <w:pPr>
        <w:ind w:right="220" w:firstLine="1134"/>
        <w:spacing w:after="0" w:line="263" w:lineRule="auto"/>
        <w:tabs>
          <w:tab w:leader="none" w:pos="1651" w:val="left"/>
        </w:tabs>
        <w:numPr>
          <w:ilvl w:val="0"/>
          <w:numId w:val="1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Investments in any Person having an aggregate Fair Market Value (measured on the date each such Investment was made and without giving effect to subsequent changes in value), when taken together with all other Investments made pursuant to this clause (24) that are at the time outstanding, not to exceed US$5.0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1560" w:hanging="426"/>
        <w:spacing w:after="0"/>
        <w:tabs>
          <w:tab w:leader="none" w:pos="1560" w:val="left"/>
        </w:tabs>
        <w:numPr>
          <w:ilvl w:val="0"/>
          <w:numId w:val="1232"/>
        </w:numPr>
        <w:rPr>
          <w:rFonts w:ascii="Arial" w:cs="Arial" w:eastAsia="Arial" w:hAnsi="Arial"/>
          <w:sz w:val="17"/>
          <w:szCs w:val="17"/>
          <w:color w:val="auto"/>
        </w:rPr>
      </w:pPr>
      <w:r>
        <w:rPr>
          <w:rFonts w:ascii="Arial" w:cs="Arial" w:eastAsia="Arial" w:hAnsi="Arial"/>
          <w:sz w:val="17"/>
          <w:szCs w:val="17"/>
          <w:color w:val="auto"/>
        </w:rPr>
        <w:t>Liens to secure Indebtedness permitted by Section 4(b)(i)(A)(x) and Section 4(b)(iii)(A) of Schedule 10 (</w:t>
      </w:r>
      <w:r>
        <w:rPr>
          <w:rFonts w:ascii="Arial" w:cs="Arial" w:eastAsia="Arial" w:hAnsi="Arial"/>
          <w:sz w:val="17"/>
          <w:szCs w:val="17"/>
          <w:i w:val="1"/>
          <w:iCs w:val="1"/>
          <w:color w:val="auto"/>
        </w:rPr>
        <w:t>Covenants</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560" w:hanging="426"/>
        <w:spacing w:after="0"/>
        <w:tabs>
          <w:tab w:leader="none" w:pos="1560" w:val="left"/>
        </w:tabs>
        <w:numPr>
          <w:ilvl w:val="0"/>
          <w:numId w:val="1232"/>
        </w:numPr>
        <w:rPr>
          <w:rFonts w:ascii="Arial" w:cs="Arial" w:eastAsia="Arial" w:hAnsi="Arial"/>
          <w:sz w:val="17"/>
          <w:szCs w:val="17"/>
          <w:color w:val="auto"/>
        </w:rPr>
      </w:pPr>
      <w:r>
        <w:rPr>
          <w:rFonts w:ascii="Arial" w:cs="Arial" w:eastAsia="Arial" w:hAnsi="Arial"/>
          <w:sz w:val="17"/>
          <w:szCs w:val="17"/>
          <w:color w:val="auto"/>
        </w:rPr>
        <w:t>Liens created for the benefit of (or to secure) the Senior Notes (including any Additional Senior Notes) or the Senior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Notes Guarantees;</w:t>
      </w:r>
    </w:p>
    <w:p>
      <w:pPr>
        <w:spacing w:after="0" w:line="102" w:lineRule="exact"/>
        <w:rPr>
          <w:rFonts w:ascii="Arial" w:cs="Arial" w:eastAsia="Arial" w:hAnsi="Arial"/>
          <w:sz w:val="17"/>
          <w:szCs w:val="17"/>
          <w:color w:val="auto"/>
        </w:rPr>
      </w:pPr>
    </w:p>
    <w:p>
      <w:pPr>
        <w:ind w:left="1560" w:hanging="426"/>
        <w:spacing w:after="0"/>
        <w:tabs>
          <w:tab w:leader="none" w:pos="1560" w:val="left"/>
        </w:tabs>
        <w:numPr>
          <w:ilvl w:val="0"/>
          <w:numId w:val="1232"/>
        </w:numPr>
        <w:rPr>
          <w:rFonts w:ascii="Arial" w:cs="Arial" w:eastAsia="Arial" w:hAnsi="Arial"/>
          <w:sz w:val="18"/>
          <w:szCs w:val="18"/>
          <w:color w:val="auto"/>
        </w:rPr>
      </w:pPr>
      <w:r>
        <w:rPr>
          <w:rFonts w:ascii="Arial" w:cs="Arial" w:eastAsia="Arial" w:hAnsi="Arial"/>
          <w:sz w:val="18"/>
          <w:szCs w:val="18"/>
          <w:color w:val="auto"/>
        </w:rPr>
        <w:t>Liens in favor of the Company or the Subsidiary Guarantors;</w:t>
      </w:r>
    </w:p>
    <w:p>
      <w:pPr>
        <w:spacing w:after="0" w:line="117" w:lineRule="exact"/>
        <w:rPr>
          <w:rFonts w:ascii="Arial" w:cs="Arial" w:eastAsia="Arial" w:hAnsi="Arial"/>
          <w:sz w:val="18"/>
          <w:szCs w:val="18"/>
          <w:color w:val="auto"/>
        </w:rPr>
      </w:pPr>
    </w:p>
    <w:p>
      <w:pPr>
        <w:ind w:right="60" w:firstLine="1134"/>
        <w:spacing w:after="0" w:line="311" w:lineRule="auto"/>
        <w:tabs>
          <w:tab w:leader="none" w:pos="1562" w:val="left"/>
        </w:tabs>
        <w:numPr>
          <w:ilvl w:val="0"/>
          <w:numId w:val="1232"/>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with or into or consolidated with the Company or any Subsidiary of the Company; provided that such Liens were not created in connection with, or in contemplation of, such merger or consolidation and do not extend to any assets other than those of the Person merged into or consolidated with the Company or the Subsidiary;</w:t>
      </w:r>
    </w:p>
    <w:p>
      <w:pPr>
        <w:spacing w:after="0" w:line="40" w:lineRule="exact"/>
        <w:rPr>
          <w:rFonts w:ascii="Arial" w:cs="Arial" w:eastAsia="Arial" w:hAnsi="Arial"/>
          <w:sz w:val="16"/>
          <w:szCs w:val="16"/>
          <w:color w:val="auto"/>
        </w:rPr>
      </w:pPr>
    </w:p>
    <w:p>
      <w:pPr>
        <w:ind w:right="140" w:firstLine="1134"/>
        <w:spacing w:after="0" w:line="263" w:lineRule="auto"/>
        <w:tabs>
          <w:tab w:leader="none" w:pos="1562" w:val="left"/>
        </w:tabs>
        <w:numPr>
          <w:ilvl w:val="0"/>
          <w:numId w:val="1232"/>
        </w:numPr>
        <w:rPr>
          <w:rFonts w:ascii="Arial" w:cs="Arial" w:eastAsia="Arial" w:hAnsi="Arial"/>
          <w:sz w:val="18"/>
          <w:szCs w:val="18"/>
          <w:color w:val="auto"/>
        </w:rPr>
      </w:pPr>
      <w:r>
        <w:rPr>
          <w:rFonts w:ascii="Arial" w:cs="Arial" w:eastAsia="Arial" w:hAnsi="Arial"/>
          <w:sz w:val="18"/>
          <w:szCs w:val="18"/>
          <w:color w:val="auto"/>
        </w:rPr>
        <w:t xml:space="preserve">Liens on property (including Capital Stock) existing at the time of acquisition of the property by the Company or any Subsidiary of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were in existence prior to, such acquisition, and not incurred in contemplation of, such acquisition;</w:t>
      </w:r>
    </w:p>
    <w:p>
      <w:pPr>
        <w:spacing w:after="0" w:line="75" w:lineRule="exact"/>
        <w:rPr>
          <w:rFonts w:ascii="Arial" w:cs="Arial" w:eastAsia="Arial" w:hAnsi="Arial"/>
          <w:sz w:val="18"/>
          <w:szCs w:val="18"/>
          <w:color w:val="auto"/>
        </w:rPr>
      </w:pPr>
    </w:p>
    <w:p>
      <w:pPr>
        <w:ind w:right="380" w:firstLine="1134"/>
        <w:spacing w:after="0" w:line="257" w:lineRule="auto"/>
        <w:tabs>
          <w:tab w:leader="none" w:pos="1562" w:val="left"/>
        </w:tabs>
        <w:numPr>
          <w:ilvl w:val="0"/>
          <w:numId w:val="1232"/>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workmen’s compensation or employment obligations or other obligations of a like nature, including any Lien securing letters of credit issued in the ordinary course of business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79" w:lineRule="exact"/>
        <w:rPr>
          <w:rFonts w:ascii="Arial" w:cs="Arial" w:eastAsia="Arial" w:hAnsi="Arial"/>
          <w:sz w:val="18"/>
          <w:szCs w:val="18"/>
          <w:color w:val="auto"/>
        </w:rPr>
      </w:pPr>
    </w:p>
    <w:p>
      <w:pPr>
        <w:ind w:left="1560" w:hanging="426"/>
        <w:spacing w:after="0"/>
        <w:tabs>
          <w:tab w:leader="none" w:pos="1560" w:val="left"/>
        </w:tabs>
        <w:numPr>
          <w:ilvl w:val="0"/>
          <w:numId w:val="1232"/>
        </w:numPr>
        <w:rPr>
          <w:rFonts w:ascii="Arial" w:cs="Arial" w:eastAsia="Arial" w:hAnsi="Arial"/>
          <w:sz w:val="17"/>
          <w:szCs w:val="17"/>
          <w:color w:val="auto"/>
        </w:rPr>
      </w:pPr>
      <w:r>
        <w:rPr>
          <w:rFonts w:ascii="Arial" w:cs="Arial" w:eastAsia="Arial" w:hAnsi="Arial"/>
          <w:sz w:val="17"/>
          <w:szCs w:val="17"/>
          <w:color w:val="auto"/>
        </w:rPr>
        <w:t>Liens to secure Indebtedness (including Capital Lease Obligations) permitted by Section 4(b)(iv) of Schedule 10</w:t>
      </w:r>
    </w:p>
    <w:p>
      <w:pPr>
        <w:spacing w:after="0" w:line="3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Covenants</w:t>
      </w:r>
      <w:r>
        <w:rPr>
          <w:rFonts w:ascii="Arial" w:cs="Arial" w:eastAsia="Arial" w:hAnsi="Arial"/>
          <w:sz w:val="18"/>
          <w:szCs w:val="18"/>
          <w:color w:val="auto"/>
        </w:rPr>
        <w:t>) covering only the assets acquired with or financed by such Indebtedness and directly related assets such as proceeds (including insurance proceeds), improvements, replacements and substitutions thereto;</w:t>
      </w:r>
    </w:p>
    <w:p>
      <w:pPr>
        <w:spacing w:after="0" w:line="77" w:lineRule="exact"/>
        <w:rPr>
          <w:sz w:val="20"/>
          <w:szCs w:val="20"/>
          <w:color w:val="auto"/>
        </w:rPr>
      </w:pPr>
    </w:p>
    <w:p>
      <w:pPr>
        <w:ind w:left="1560" w:hanging="426"/>
        <w:spacing w:after="0"/>
        <w:tabs>
          <w:tab w:leader="none" w:pos="1560" w:val="left"/>
        </w:tabs>
        <w:numPr>
          <w:ilvl w:val="0"/>
          <w:numId w:val="1233"/>
        </w:numPr>
        <w:rPr>
          <w:rFonts w:ascii="Arial" w:cs="Arial" w:eastAsia="Arial" w:hAnsi="Arial"/>
          <w:sz w:val="18"/>
          <w:szCs w:val="18"/>
          <w:color w:val="auto"/>
        </w:rPr>
      </w:pPr>
      <w:r>
        <w:rPr>
          <w:rFonts w:ascii="Arial" w:cs="Arial" w:eastAsia="Arial" w:hAnsi="Arial"/>
          <w:sz w:val="18"/>
          <w:szCs w:val="18"/>
          <w:color w:val="auto"/>
        </w:rPr>
        <w:t>Liens existing on the 2021 Amendment and Restatement Effective Date;</w:t>
      </w:r>
    </w:p>
    <w:p>
      <w:pPr>
        <w:spacing w:after="0" w:line="117" w:lineRule="exact"/>
        <w:rPr>
          <w:rFonts w:ascii="Arial" w:cs="Arial" w:eastAsia="Arial" w:hAnsi="Arial"/>
          <w:sz w:val="18"/>
          <w:szCs w:val="18"/>
          <w:color w:val="auto"/>
        </w:rPr>
      </w:pPr>
    </w:p>
    <w:p>
      <w:pPr>
        <w:ind w:right="80" w:firstLine="1134"/>
        <w:spacing w:after="0" w:line="263" w:lineRule="auto"/>
        <w:tabs>
          <w:tab w:leader="none" w:pos="1562" w:val="left"/>
        </w:tabs>
        <w:numPr>
          <w:ilvl w:val="0"/>
          <w:numId w:val="1233"/>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is required in conformity with U.S. GAAP has been made therefor;</w:t>
      </w:r>
    </w:p>
    <w:p>
      <w:pPr>
        <w:spacing w:after="0" w:line="75" w:lineRule="exact"/>
        <w:rPr>
          <w:rFonts w:ascii="Arial" w:cs="Arial" w:eastAsia="Arial" w:hAnsi="Arial"/>
          <w:sz w:val="18"/>
          <w:szCs w:val="18"/>
          <w:color w:val="auto"/>
        </w:rPr>
      </w:pPr>
    </w:p>
    <w:p>
      <w:pPr>
        <w:ind w:right="320" w:firstLine="1134"/>
        <w:spacing w:after="0" w:line="277" w:lineRule="auto"/>
        <w:tabs>
          <w:tab w:leader="none" w:pos="1651" w:val="left"/>
        </w:tabs>
        <w:numPr>
          <w:ilvl w:val="0"/>
          <w:numId w:val="1233"/>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landlord’s, suppliers’ and mechanics’ Liens, in each case, incurred in the ordinary course of business;</w:t>
      </w:r>
    </w:p>
    <w:p>
      <w:pPr>
        <w:spacing w:after="0" w:line="62" w:lineRule="exact"/>
        <w:rPr>
          <w:rFonts w:ascii="Arial" w:cs="Arial" w:eastAsia="Arial" w:hAnsi="Arial"/>
          <w:sz w:val="18"/>
          <w:szCs w:val="18"/>
          <w:color w:val="auto"/>
        </w:rPr>
      </w:pPr>
    </w:p>
    <w:p>
      <w:pPr>
        <w:ind w:right="60" w:firstLine="1134"/>
        <w:spacing w:after="0" w:line="259" w:lineRule="auto"/>
        <w:tabs>
          <w:tab w:leader="none" w:pos="1645" w:val="left"/>
        </w:tabs>
        <w:numPr>
          <w:ilvl w:val="0"/>
          <w:numId w:val="1233"/>
        </w:numPr>
        <w:rPr>
          <w:rFonts w:ascii="Arial" w:cs="Arial" w:eastAsia="Arial" w:hAnsi="Arial"/>
          <w:sz w:val="18"/>
          <w:szCs w:val="18"/>
          <w:color w:val="auto"/>
        </w:rPr>
      </w:pPr>
      <w:r>
        <w:rPr>
          <w:rFonts w:ascii="Arial" w:cs="Arial" w:eastAsia="Arial" w:hAnsi="Arial"/>
          <w:sz w:val="18"/>
          <w:szCs w:val="18"/>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119" w:lineRule="exact"/>
        <w:rPr>
          <w:sz w:val="20"/>
          <w:szCs w:val="20"/>
          <w:color w:val="auto"/>
        </w:rPr>
      </w:pPr>
    </w:p>
    <w:p>
      <w:pPr>
        <w:jc w:val="both"/>
        <w:ind w:left="4660"/>
        <w:spacing w:after="0"/>
        <w:tabs>
          <w:tab w:leader="none" w:pos="808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802" w:name="page803"/>
    <w:bookmarkEnd w:id="802"/>
    <w:p>
      <w:pPr>
        <w:ind w:right="520" w:firstLine="1134"/>
        <w:spacing w:after="0" w:line="277" w:lineRule="auto"/>
        <w:tabs>
          <w:tab w:leader="none" w:pos="1651" w:val="left"/>
        </w:tabs>
        <w:numPr>
          <w:ilvl w:val="0"/>
          <w:numId w:val="1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to secure any Permitted Refinancing Indebtedness permitted to be Incurred under the Finance Documents; </w:t>
      </w:r>
      <w:r>
        <w:rPr>
          <w:rFonts w:ascii="Arial" w:cs="Arial" w:eastAsia="Arial" w:hAnsi="Arial"/>
          <w:sz w:val="18"/>
          <w:szCs w:val="18"/>
          <w:i w:val="1"/>
          <w:iCs w:val="1"/>
          <w:color w:val="auto"/>
        </w:rPr>
        <w:t>provided</w:t>
      </w:r>
      <w:r>
        <w:rPr>
          <w:rFonts w:ascii="Arial" w:cs="Arial" w:eastAsia="Arial" w:hAnsi="Arial"/>
          <w:sz w:val="18"/>
          <w:szCs w:val="18"/>
          <w:color w:val="auto"/>
        </w:rPr>
        <w:t>,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w:t>
      </w:r>
    </w:p>
    <w:p>
      <w:pPr>
        <w:spacing w:after="0" w:line="62" w:lineRule="exact"/>
        <w:rPr>
          <w:rFonts w:ascii="Arial" w:cs="Arial" w:eastAsia="Arial" w:hAnsi="Arial"/>
          <w:sz w:val="18"/>
          <w:szCs w:val="18"/>
          <w:color w:val="auto"/>
        </w:rPr>
      </w:pPr>
    </w:p>
    <w:p>
      <w:pPr>
        <w:ind w:left="1220" w:right="160" w:firstLine="450"/>
        <w:spacing w:after="0" w:line="263" w:lineRule="auto"/>
        <w:tabs>
          <w:tab w:leader="none" w:pos="2146" w:val="left"/>
        </w:tabs>
        <w:numPr>
          <w:ilvl w:val="1"/>
          <w:numId w:val="1234"/>
        </w:numPr>
        <w:rPr>
          <w:rFonts w:ascii="Arial" w:cs="Arial" w:eastAsia="Arial" w:hAnsi="Arial"/>
          <w:sz w:val="18"/>
          <w:szCs w:val="18"/>
          <w:color w:val="auto"/>
        </w:rPr>
      </w:pPr>
      <w:r>
        <w:rPr>
          <w:rFonts w:ascii="Arial" w:cs="Arial" w:eastAsia="Arial" w:hAnsi="Arial"/>
          <w:sz w:val="18"/>
          <w:szCs w:val="18"/>
          <w:color w:val="auto"/>
        </w:rPr>
        <w:t>the new Lien shall be limited to all or part of the same property and assets that secured or, under the written agreements pursuant to which the original Lien arose, could secure the original Lien (</w:t>
      </w:r>
      <w:r>
        <w:rPr>
          <w:rFonts w:ascii="Arial" w:cs="Arial" w:eastAsia="Arial" w:hAnsi="Arial"/>
          <w:sz w:val="18"/>
          <w:szCs w:val="18"/>
          <w:i w:val="1"/>
          <w:iCs w:val="1"/>
          <w:color w:val="auto"/>
        </w:rPr>
        <w:t>plus</w:t>
      </w:r>
      <w:r>
        <w:rPr>
          <w:rFonts w:ascii="Arial" w:cs="Arial" w:eastAsia="Arial" w:hAnsi="Arial"/>
          <w:sz w:val="18"/>
          <w:szCs w:val="18"/>
          <w:color w:val="auto"/>
        </w:rPr>
        <w:t xml:space="preserve"> improvements and accessions to, such property or proceeds or distributions thereof); and</w:t>
      </w:r>
    </w:p>
    <w:p>
      <w:pPr>
        <w:spacing w:after="0" w:line="75" w:lineRule="exact"/>
        <w:rPr>
          <w:rFonts w:ascii="Arial" w:cs="Arial" w:eastAsia="Arial" w:hAnsi="Arial"/>
          <w:sz w:val="18"/>
          <w:szCs w:val="18"/>
          <w:color w:val="auto"/>
        </w:rPr>
      </w:pPr>
    </w:p>
    <w:p>
      <w:pPr>
        <w:ind w:left="1220" w:right="580" w:firstLine="450"/>
        <w:spacing w:after="0" w:line="259" w:lineRule="auto"/>
        <w:tabs>
          <w:tab w:leader="none" w:pos="2136" w:val="left"/>
        </w:tabs>
        <w:numPr>
          <w:ilvl w:val="1"/>
          <w:numId w:val="1234"/>
        </w:numPr>
        <w:rPr>
          <w:rFonts w:ascii="Arial" w:cs="Arial" w:eastAsia="Arial" w:hAnsi="Arial"/>
          <w:sz w:val="18"/>
          <w:szCs w:val="18"/>
          <w:color w:val="auto"/>
        </w:rPr>
      </w:pPr>
      <w:r>
        <w:rPr>
          <w:rFonts w:ascii="Arial" w:cs="Arial" w:eastAsia="Arial" w:hAnsi="Arial"/>
          <w:sz w:val="18"/>
          <w:szCs w:val="18"/>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78" w:lineRule="exact"/>
        <w:rPr>
          <w:rFonts w:ascii="Arial" w:cs="Arial" w:eastAsia="Arial" w:hAnsi="Arial"/>
          <w:sz w:val="18"/>
          <w:szCs w:val="18"/>
          <w:color w:val="auto"/>
        </w:rPr>
      </w:pPr>
    </w:p>
    <w:p>
      <w:pPr>
        <w:ind w:right="300" w:firstLine="1134"/>
        <w:spacing w:after="0" w:line="277" w:lineRule="auto"/>
        <w:tabs>
          <w:tab w:leader="none" w:pos="1651" w:val="left"/>
        </w:tabs>
        <w:numPr>
          <w:ilvl w:val="0"/>
          <w:numId w:val="1234"/>
        </w:numPr>
        <w:rPr>
          <w:rFonts w:ascii="Arial" w:cs="Arial" w:eastAsia="Arial" w:hAnsi="Arial"/>
          <w:sz w:val="18"/>
          <w:szCs w:val="18"/>
          <w:color w:val="auto"/>
        </w:rPr>
      </w:pPr>
      <w:r>
        <w:rPr>
          <w:rFonts w:ascii="Arial" w:cs="Arial" w:eastAsia="Arial" w:hAnsi="Arial"/>
          <w:sz w:val="18"/>
          <w:szCs w:val="18"/>
          <w:color w:val="auto"/>
        </w:rPr>
        <w:t>Liens securing Hedging Obligations so long as the related Indebtedness is, and is permitted to be under the Finance Documents, secured by a Lien on the same assets or property securing such Hedging Obligations;</w:t>
      </w:r>
    </w:p>
    <w:p>
      <w:pPr>
        <w:spacing w:after="0" w:line="62" w:lineRule="exact"/>
        <w:rPr>
          <w:rFonts w:ascii="Arial" w:cs="Arial" w:eastAsia="Arial" w:hAnsi="Arial"/>
          <w:sz w:val="18"/>
          <w:szCs w:val="18"/>
          <w:color w:val="auto"/>
        </w:rPr>
      </w:pPr>
    </w:p>
    <w:p>
      <w:pPr>
        <w:ind w:right="20" w:firstLine="1134"/>
        <w:spacing w:after="0" w:line="257" w:lineRule="auto"/>
        <w:tabs>
          <w:tab w:leader="none" w:pos="1651" w:val="left"/>
        </w:tabs>
        <w:numPr>
          <w:ilvl w:val="0"/>
          <w:numId w:val="1234"/>
        </w:numPr>
        <w:rPr>
          <w:rFonts w:ascii="Arial" w:cs="Arial" w:eastAsia="Arial" w:hAnsi="Arial"/>
          <w:sz w:val="18"/>
          <w:szCs w:val="18"/>
          <w:color w:val="auto"/>
        </w:rPr>
      </w:pPr>
      <w:r>
        <w:rPr>
          <w:rFonts w:ascii="Arial" w:cs="Arial" w:eastAsia="Arial" w:hAnsi="Arial"/>
          <w:sz w:val="18"/>
          <w:szCs w:val="18"/>
          <w:color w:val="auto"/>
        </w:rPr>
        <w:t>Liens that are contractual rights of set-off (i) relating to the establishment of depository relations with banks not given in connection with the money borrowed, (ii) relating to pooled deposit or sweep accounts of the Company or any of its Restricted Subsidiaries to permit satisfaction of overdraft or similar obligations incurred in the ordinary course of business of the Company and its Restricted Subsidiaries or (iii) relating to purchase orders and other agreements entered into with customers of the Company or any of its Restricted Subsidiaries in the ordinary course of business;</w:t>
      </w:r>
    </w:p>
    <w:p>
      <w:pPr>
        <w:spacing w:after="0" w:line="79" w:lineRule="exact"/>
        <w:rPr>
          <w:rFonts w:ascii="Arial" w:cs="Arial" w:eastAsia="Arial" w:hAnsi="Arial"/>
          <w:sz w:val="18"/>
          <w:szCs w:val="18"/>
          <w:color w:val="auto"/>
        </w:rPr>
      </w:pPr>
    </w:p>
    <w:p>
      <w:pPr>
        <w:jc w:val="both"/>
        <w:ind w:right="200" w:firstLine="1134"/>
        <w:spacing w:after="0" w:line="263" w:lineRule="auto"/>
        <w:tabs>
          <w:tab w:leader="none" w:pos="1651" w:val="left"/>
        </w:tabs>
        <w:numPr>
          <w:ilvl w:val="0"/>
          <w:numId w:val="1234"/>
        </w:numPr>
        <w:rPr>
          <w:rFonts w:ascii="Arial" w:cs="Arial" w:eastAsia="Arial" w:hAnsi="Arial"/>
          <w:sz w:val="18"/>
          <w:szCs w:val="18"/>
          <w:color w:val="auto"/>
        </w:rPr>
      </w:pPr>
      <w:r>
        <w:rPr>
          <w:rFonts w:ascii="Arial" w:cs="Arial" w:eastAsia="Arial" w:hAnsi="Arial"/>
          <w:sz w:val="18"/>
          <w:szCs w:val="18"/>
          <w:color w:val="auto"/>
        </w:rPr>
        <w:t xml:space="preserve">Liens arising out of judgments against such Person not giving rise to an Event of Default, with respect to which such Person shall then be proceeding with an appeal or other proceedings for review,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shall be required in conformity with U.S. GAAP shall have been made therefor;</w:t>
      </w:r>
    </w:p>
    <w:p>
      <w:pPr>
        <w:spacing w:after="0" w:line="75" w:lineRule="exact"/>
        <w:rPr>
          <w:rFonts w:ascii="Arial" w:cs="Arial" w:eastAsia="Arial" w:hAnsi="Arial"/>
          <w:sz w:val="18"/>
          <w:szCs w:val="18"/>
          <w:color w:val="auto"/>
        </w:rPr>
      </w:pPr>
    </w:p>
    <w:p>
      <w:pPr>
        <w:ind w:left="1660" w:hanging="526"/>
        <w:spacing w:after="0"/>
        <w:tabs>
          <w:tab w:leader="none" w:pos="1660" w:val="left"/>
        </w:tabs>
        <w:numPr>
          <w:ilvl w:val="0"/>
          <w:numId w:val="1234"/>
        </w:numPr>
        <w:rPr>
          <w:rFonts w:ascii="Arial" w:cs="Arial" w:eastAsia="Arial" w:hAnsi="Arial"/>
          <w:sz w:val="16"/>
          <w:szCs w:val="16"/>
          <w:color w:val="auto"/>
        </w:rPr>
      </w:pPr>
      <w:r>
        <w:rPr>
          <w:rFonts w:ascii="Arial" w:cs="Arial" w:eastAsia="Arial" w:hAnsi="Arial"/>
          <w:sz w:val="16"/>
          <w:szCs w:val="16"/>
          <w:color w:val="auto"/>
        </w:rPr>
        <w:t>Liens granted to each Senior Notes Trustee for its compensation and indemnities pursuant to the applicable Senior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 Indenture;</w:t>
      </w:r>
    </w:p>
    <w:p>
      <w:pPr>
        <w:spacing w:after="0" w:line="102" w:lineRule="exact"/>
        <w:rPr>
          <w:rFonts w:ascii="Arial" w:cs="Arial" w:eastAsia="Arial" w:hAnsi="Arial"/>
          <w:sz w:val="16"/>
          <w:szCs w:val="16"/>
          <w:color w:val="auto"/>
        </w:rPr>
      </w:pPr>
    </w:p>
    <w:p>
      <w:pPr>
        <w:jc w:val="both"/>
        <w:ind w:right="660" w:firstLine="1134"/>
        <w:spacing w:after="0" w:line="342" w:lineRule="auto"/>
        <w:tabs>
          <w:tab w:leader="none" w:pos="1651" w:val="left"/>
        </w:tabs>
        <w:numPr>
          <w:ilvl w:val="0"/>
          <w:numId w:val="1234"/>
        </w:numPr>
        <w:rPr>
          <w:rFonts w:ascii="Arial" w:cs="Arial" w:eastAsia="Arial" w:hAnsi="Arial"/>
          <w:sz w:val="16"/>
          <w:szCs w:val="16"/>
          <w:color w:val="auto"/>
        </w:rPr>
      </w:pPr>
      <w:r>
        <w:rPr>
          <w:rFonts w:ascii="Arial" w:cs="Arial" w:eastAsia="Arial" w:hAnsi="Arial"/>
          <w:sz w:val="16"/>
          <w:szCs w:val="16"/>
          <w:color w:val="auto"/>
        </w:rPr>
        <w:t>Liens arising out of or in connection with licenses, sublicenses, leases (other than capital leases) and subleases (including rights to use) of assets (including, without limitation, intellectual property) entered into in the ordinary course of business;</w:t>
      </w:r>
    </w:p>
    <w:p>
      <w:pPr>
        <w:spacing w:after="0" w:line="15" w:lineRule="exact"/>
        <w:rPr>
          <w:rFonts w:ascii="Arial" w:cs="Arial" w:eastAsia="Arial" w:hAnsi="Arial"/>
          <w:sz w:val="16"/>
          <w:szCs w:val="16"/>
          <w:color w:val="auto"/>
        </w:rPr>
      </w:pPr>
    </w:p>
    <w:p>
      <w:pPr>
        <w:ind w:right="240" w:firstLine="1134"/>
        <w:spacing w:after="0" w:line="263" w:lineRule="auto"/>
        <w:tabs>
          <w:tab w:leader="none" w:pos="1651" w:val="left"/>
        </w:tabs>
        <w:numPr>
          <w:ilvl w:val="0"/>
          <w:numId w:val="1234"/>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the Company or any of its Restricted Subsidiaries securing obligations in respect of bankers’ acceptances issued or created to facilitate the purchase, shipment or storage of such inventory or other goods in the ordinary course of business;</w:t>
      </w:r>
    </w:p>
    <w:p>
      <w:pPr>
        <w:spacing w:after="0" w:line="75" w:lineRule="exact"/>
        <w:rPr>
          <w:rFonts w:ascii="Arial" w:cs="Arial" w:eastAsia="Arial" w:hAnsi="Arial"/>
          <w:sz w:val="18"/>
          <w:szCs w:val="18"/>
          <w:color w:val="auto"/>
        </w:rPr>
      </w:pPr>
    </w:p>
    <w:p>
      <w:pPr>
        <w:ind w:right="180" w:firstLine="1134"/>
        <w:spacing w:after="0" w:line="277" w:lineRule="auto"/>
        <w:tabs>
          <w:tab w:leader="none" w:pos="1651" w:val="left"/>
        </w:tabs>
        <w:numPr>
          <w:ilvl w:val="0"/>
          <w:numId w:val="1234"/>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hire purchase, consignment or similar arrangement for the sale of goods in the ordinary course of business;</w:t>
      </w:r>
    </w:p>
    <w:p>
      <w:pPr>
        <w:spacing w:after="0" w:line="62" w:lineRule="exact"/>
        <w:rPr>
          <w:rFonts w:ascii="Arial" w:cs="Arial" w:eastAsia="Arial" w:hAnsi="Arial"/>
          <w:sz w:val="18"/>
          <w:szCs w:val="18"/>
          <w:color w:val="auto"/>
        </w:rPr>
      </w:pPr>
    </w:p>
    <w:p>
      <w:pPr>
        <w:ind w:right="20" w:firstLine="1134"/>
        <w:spacing w:after="0" w:line="259" w:lineRule="auto"/>
        <w:tabs>
          <w:tab w:leader="none" w:pos="1651" w:val="left"/>
        </w:tabs>
        <w:numPr>
          <w:ilvl w:val="0"/>
          <w:numId w:val="1234"/>
        </w:numPr>
        <w:rPr>
          <w:rFonts w:ascii="Arial" w:cs="Arial" w:eastAsia="Arial" w:hAnsi="Arial"/>
          <w:sz w:val="18"/>
          <w:szCs w:val="18"/>
          <w:color w:val="auto"/>
        </w:rPr>
      </w:pPr>
      <w:r>
        <w:rPr>
          <w:rFonts w:ascii="Arial" w:cs="Arial" w:eastAsia="Arial" w:hAnsi="Arial"/>
          <w:sz w:val="18"/>
          <w:szCs w:val="18"/>
          <w:color w:val="auto"/>
        </w:rPr>
        <w:t xml:space="preserve">Liens arising under customary provisions limiting the disposition or distribution of assets or property or any related restrictions thereon in operating agreements, joint venture agreements, partnership agreements, contracts for sale and other agreements arising in the ordinary course of business;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do not extend to any assets of the Company or any of its Restricted Subsidiaries other than the assets subject to such agreements or contracts;</w:t>
      </w:r>
    </w:p>
    <w:p>
      <w:pPr>
        <w:spacing w:after="0" w:line="78" w:lineRule="exact"/>
        <w:rPr>
          <w:rFonts w:ascii="Arial" w:cs="Arial" w:eastAsia="Arial" w:hAnsi="Arial"/>
          <w:sz w:val="18"/>
          <w:szCs w:val="18"/>
          <w:color w:val="auto"/>
        </w:rPr>
      </w:pPr>
    </w:p>
    <w:p>
      <w:pPr>
        <w:ind w:left="1660" w:hanging="526"/>
        <w:spacing w:after="0"/>
        <w:tabs>
          <w:tab w:leader="none" w:pos="1660" w:val="left"/>
        </w:tabs>
        <w:numPr>
          <w:ilvl w:val="0"/>
          <w:numId w:val="1234"/>
        </w:numPr>
        <w:rPr>
          <w:rFonts w:ascii="Arial" w:cs="Arial" w:eastAsia="Arial" w:hAnsi="Arial"/>
          <w:sz w:val="18"/>
          <w:szCs w:val="18"/>
          <w:color w:val="auto"/>
        </w:rPr>
      </w:pPr>
      <w:r>
        <w:rPr>
          <w:rFonts w:ascii="Arial" w:cs="Arial" w:eastAsia="Arial" w:hAnsi="Arial"/>
          <w:sz w:val="18"/>
          <w:szCs w:val="18"/>
          <w:color w:val="auto"/>
        </w:rPr>
        <w:t>Liens on deposits made in the ordinary course of business to secure liability to insurance carriers;</w:t>
      </w:r>
    </w:p>
    <w:p>
      <w:pPr>
        <w:spacing w:after="0" w:line="158" w:lineRule="exact"/>
        <w:rPr>
          <w:sz w:val="20"/>
          <w:szCs w:val="20"/>
          <w:color w:val="auto"/>
        </w:rPr>
      </w:pPr>
    </w:p>
    <w:p>
      <w:pPr>
        <w:jc w:val="both"/>
        <w:ind w:left="4660"/>
        <w:spacing w:after="0"/>
        <w:tabs>
          <w:tab w:leader="none" w:pos="808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60"/>
          </w:cols>
          <w:pgMar w:left="1200" w:top="274" w:right="439" w:bottom="1440" w:gutter="0" w:footer="0" w:header="0"/>
        </w:sectPr>
      </w:pPr>
    </w:p>
    <w:bookmarkStart w:id="803" w:name="page804"/>
    <w:bookmarkEnd w:id="803"/>
    <w:p>
      <w:pPr>
        <w:ind w:left="2420" w:hanging="526"/>
        <w:spacing w:after="0"/>
        <w:tabs>
          <w:tab w:leader="none" w:pos="2420" w:val="left"/>
        </w:tabs>
        <w:numPr>
          <w:ilvl w:val="0"/>
          <w:numId w:val="1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the Equity Interests of Unrestricted Subsidiaries;</w:t>
      </w:r>
    </w:p>
    <w:p>
      <w:pPr>
        <w:spacing w:after="0" w:line="117" w:lineRule="exact"/>
        <w:rPr>
          <w:rFonts w:ascii="Arial" w:cs="Arial" w:eastAsia="Arial" w:hAnsi="Arial"/>
          <w:sz w:val="18"/>
          <w:szCs w:val="18"/>
          <w:color w:val="auto"/>
        </w:rPr>
      </w:pPr>
    </w:p>
    <w:p>
      <w:pPr>
        <w:ind w:left="760" w:right="380" w:firstLine="1134"/>
        <w:spacing w:after="0" w:line="342" w:lineRule="auto"/>
        <w:tabs>
          <w:tab w:leader="none" w:pos="2411" w:val="left"/>
        </w:tabs>
        <w:numPr>
          <w:ilvl w:val="0"/>
          <w:numId w:val="1235"/>
        </w:numPr>
        <w:rPr>
          <w:rFonts w:ascii="Arial" w:cs="Arial" w:eastAsia="Arial" w:hAnsi="Arial"/>
          <w:sz w:val="16"/>
          <w:szCs w:val="16"/>
          <w:color w:val="auto"/>
        </w:rPr>
      </w:pPr>
      <w:r>
        <w:rPr>
          <w:rFonts w:ascii="Arial" w:cs="Arial" w:eastAsia="Arial" w:hAnsi="Arial"/>
          <w:sz w:val="16"/>
          <w:szCs w:val="16"/>
          <w:color w:val="auto"/>
        </w:rPr>
        <w:t>Liens created or Incurred under, pursuant to or in connection with the Services and Right to Use Agreement or the Reinvestment Agreement, including Liens on any revenues or receipts thereunder or any accounts created or maintained thereunder;</w:t>
      </w:r>
    </w:p>
    <w:p>
      <w:pPr>
        <w:spacing w:after="0" w:line="15" w:lineRule="exact"/>
        <w:rPr>
          <w:rFonts w:ascii="Arial" w:cs="Arial" w:eastAsia="Arial" w:hAnsi="Arial"/>
          <w:sz w:val="16"/>
          <w:szCs w:val="16"/>
          <w:color w:val="auto"/>
        </w:rPr>
      </w:pPr>
    </w:p>
    <w:p>
      <w:pPr>
        <w:ind w:left="760" w:right="320" w:firstLine="1134"/>
        <w:spacing w:after="0" w:line="277" w:lineRule="auto"/>
        <w:tabs>
          <w:tab w:leader="none" w:pos="2411" w:val="left"/>
        </w:tabs>
        <w:numPr>
          <w:ilvl w:val="0"/>
          <w:numId w:val="1235"/>
        </w:numPr>
        <w:rPr>
          <w:rFonts w:ascii="Arial" w:cs="Arial" w:eastAsia="Arial" w:hAnsi="Arial"/>
          <w:sz w:val="18"/>
          <w:szCs w:val="18"/>
          <w:color w:val="auto"/>
        </w:rPr>
      </w:pPr>
      <w:r>
        <w:rPr>
          <w:rFonts w:ascii="Arial" w:cs="Arial" w:eastAsia="Arial" w:hAnsi="Arial"/>
          <w:sz w:val="18"/>
          <w:szCs w:val="18"/>
          <w:color w:val="auto"/>
        </w:rPr>
        <w:t>limited recourse Liens in respect of the ownership interests in, or assets owned by, any joint ventures which are not Restricted Subsidiaries of the Company securing obligations of such joint ventures;</w:t>
      </w:r>
    </w:p>
    <w:p>
      <w:pPr>
        <w:spacing w:after="0" w:line="62" w:lineRule="exact"/>
        <w:rPr>
          <w:rFonts w:ascii="Arial" w:cs="Arial" w:eastAsia="Arial" w:hAnsi="Arial"/>
          <w:sz w:val="18"/>
          <w:szCs w:val="18"/>
          <w:color w:val="auto"/>
        </w:rPr>
      </w:pPr>
    </w:p>
    <w:p>
      <w:pPr>
        <w:ind w:left="2420" w:hanging="526"/>
        <w:spacing w:after="0"/>
        <w:tabs>
          <w:tab w:leader="none" w:pos="2420" w:val="left"/>
        </w:tabs>
        <w:numPr>
          <w:ilvl w:val="0"/>
          <w:numId w:val="1235"/>
        </w:numPr>
        <w:rPr>
          <w:rFonts w:ascii="Arial" w:cs="Arial" w:eastAsia="Arial" w:hAnsi="Arial"/>
          <w:sz w:val="18"/>
          <w:szCs w:val="18"/>
          <w:color w:val="auto"/>
        </w:rPr>
      </w:pPr>
      <w:r>
        <w:rPr>
          <w:rFonts w:ascii="Arial" w:cs="Arial" w:eastAsia="Arial" w:hAnsi="Arial"/>
          <w:sz w:val="18"/>
          <w:szCs w:val="18"/>
          <w:color w:val="auto"/>
        </w:rPr>
        <w:t>Liens securing Indebtedness Incurred pursuant to Section 4(b)(xvii) of Schedule 10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right="260" w:firstLine="1134"/>
        <w:spacing w:after="0" w:line="277" w:lineRule="auto"/>
        <w:tabs>
          <w:tab w:leader="none" w:pos="2411" w:val="left"/>
        </w:tabs>
        <w:numPr>
          <w:ilvl w:val="0"/>
          <w:numId w:val="1235"/>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Company or any Subsidiary of the Company with respect to Obligations that do not exceed US$5.0 million at any one time outstanding; and</w:t>
      </w:r>
    </w:p>
    <w:p>
      <w:pPr>
        <w:spacing w:after="0" w:line="62" w:lineRule="exact"/>
        <w:rPr>
          <w:rFonts w:ascii="Arial" w:cs="Arial" w:eastAsia="Arial" w:hAnsi="Arial"/>
          <w:sz w:val="18"/>
          <w:szCs w:val="18"/>
          <w:color w:val="auto"/>
        </w:rPr>
      </w:pPr>
    </w:p>
    <w:p>
      <w:pPr>
        <w:ind w:left="760" w:right="180" w:firstLine="1134"/>
        <w:spacing w:after="0" w:line="259" w:lineRule="auto"/>
        <w:tabs>
          <w:tab w:leader="none" w:pos="2411" w:val="left"/>
        </w:tabs>
        <w:numPr>
          <w:ilvl w:val="0"/>
          <w:numId w:val="1235"/>
        </w:numPr>
        <w:rPr>
          <w:rFonts w:ascii="Arial" w:cs="Arial" w:eastAsia="Arial" w:hAnsi="Arial"/>
          <w:sz w:val="18"/>
          <w:szCs w:val="18"/>
          <w:color w:val="auto"/>
        </w:rPr>
      </w:pPr>
      <w:r>
        <w:rPr>
          <w:rFonts w:ascii="Arial" w:cs="Arial" w:eastAsia="Arial" w:hAnsi="Arial"/>
          <w:sz w:val="18"/>
          <w:szCs w:val="18"/>
          <w:color w:val="auto"/>
        </w:rPr>
        <w:t>Liens securing obligations under a debt service reserve account or interest reserve account (including all dividends, instruments, cash and Cash Equivalents and other property, as applicable, on deposit in such account) established for the benefit of creditors securing Indebtedness to the extent such debt service reserve account or interest reserve account is established in the ordinary course of business consistent with past practice.</w:t>
      </w:r>
    </w:p>
    <w:p>
      <w:pPr>
        <w:spacing w:after="0" w:line="187" w:lineRule="exact"/>
        <w:rPr>
          <w:sz w:val="20"/>
          <w:szCs w:val="20"/>
          <w:color w:val="auto"/>
        </w:rPr>
      </w:pPr>
    </w:p>
    <w:p>
      <w:pPr>
        <w:ind w:right="180" w:firstLine="77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the Company or any of its Restricted Subsidiaries issued in exchange for, or the net proceeds of which are used to renew, refund, refinance, replace, defease or discharge other Indebtedness of the Company or any of its Restricted Subsidiaries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jc w:val="both"/>
        <w:ind w:left="760" w:right="140" w:firstLine="1134"/>
        <w:spacing w:after="0" w:line="311" w:lineRule="auto"/>
        <w:tabs>
          <w:tab w:leader="none" w:pos="2322" w:val="left"/>
        </w:tabs>
        <w:numPr>
          <w:ilvl w:val="0"/>
          <w:numId w:val="1236"/>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renewed, refunded, refinanced, replaced, defeased or discharged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all accrued interest on the Indebtedness and the amount of all fees and expenses, including premiums, Incurred in connection therewith);</w:t>
      </w:r>
    </w:p>
    <w:p>
      <w:pPr>
        <w:spacing w:after="0" w:line="40" w:lineRule="exact"/>
        <w:rPr>
          <w:rFonts w:ascii="Arial" w:cs="Arial" w:eastAsia="Arial" w:hAnsi="Arial"/>
          <w:sz w:val="16"/>
          <w:szCs w:val="16"/>
          <w:color w:val="auto"/>
        </w:rPr>
      </w:pPr>
    </w:p>
    <w:p>
      <w:pPr>
        <w:ind w:left="760" w:right="540" w:firstLine="1134"/>
        <w:spacing w:after="0" w:line="263" w:lineRule="auto"/>
        <w:tabs>
          <w:tab w:leader="none" w:pos="2322" w:val="left"/>
        </w:tabs>
        <w:numPr>
          <w:ilvl w:val="0"/>
          <w:numId w:val="1236"/>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75" w:lineRule="exact"/>
        <w:rPr>
          <w:rFonts w:ascii="Arial" w:cs="Arial" w:eastAsia="Arial" w:hAnsi="Arial"/>
          <w:sz w:val="18"/>
          <w:szCs w:val="18"/>
          <w:color w:val="auto"/>
        </w:rPr>
      </w:pPr>
    </w:p>
    <w:p>
      <w:pPr>
        <w:ind w:left="760" w:right="160" w:firstLine="1134"/>
        <w:spacing w:after="0" w:line="301" w:lineRule="auto"/>
        <w:tabs>
          <w:tab w:leader="none" w:pos="2322" w:val="left"/>
        </w:tabs>
        <w:numPr>
          <w:ilvl w:val="0"/>
          <w:numId w:val="1236"/>
        </w:numPr>
        <w:rPr>
          <w:rFonts w:ascii="Arial" w:cs="Arial" w:eastAsia="Arial" w:hAnsi="Arial"/>
          <w:sz w:val="16"/>
          <w:szCs w:val="16"/>
          <w:color w:val="auto"/>
        </w:rPr>
      </w:pPr>
      <w:r>
        <w:rPr>
          <w:rFonts w:ascii="Arial" w:cs="Arial" w:eastAsia="Arial" w:hAnsi="Arial"/>
          <w:sz w:val="16"/>
          <w:szCs w:val="16"/>
          <w:color w:val="auto"/>
        </w:rPr>
        <w:t>if the Indebtedness being renewed, refunded, refinanced, replaced, defeased or discharged is subordinated in right of payment to the Facilities Liabilities, such Permitted Refinancing Indebtedness has a final maturity date later than the final maturity date of, and is subordinated in right of payment to, the Facilities Liabilities on terms at least as favorable to the Finance Parties as those contained in the documentation governing the Indebtedness being renewed, refunded, refinanced, replaced, defeased or discharged; and</w:t>
      </w:r>
    </w:p>
    <w:p>
      <w:pPr>
        <w:spacing w:after="0" w:line="49" w:lineRule="exact"/>
        <w:rPr>
          <w:rFonts w:ascii="Arial" w:cs="Arial" w:eastAsia="Arial" w:hAnsi="Arial"/>
          <w:sz w:val="16"/>
          <w:szCs w:val="16"/>
          <w:color w:val="auto"/>
        </w:rPr>
      </w:pPr>
    </w:p>
    <w:p>
      <w:pPr>
        <w:ind w:left="760" w:right="760" w:firstLine="1134"/>
        <w:spacing w:after="0" w:line="277" w:lineRule="auto"/>
        <w:tabs>
          <w:tab w:leader="none" w:pos="2322" w:val="left"/>
        </w:tabs>
        <w:numPr>
          <w:ilvl w:val="0"/>
          <w:numId w:val="1236"/>
        </w:numPr>
        <w:rPr>
          <w:rFonts w:ascii="Arial" w:cs="Arial" w:eastAsia="Arial" w:hAnsi="Arial"/>
          <w:sz w:val="18"/>
          <w:szCs w:val="18"/>
          <w:color w:val="auto"/>
        </w:rPr>
      </w:pPr>
      <w:r>
        <w:rPr>
          <w:rFonts w:ascii="Arial" w:cs="Arial" w:eastAsia="Arial" w:hAnsi="Arial"/>
          <w:sz w:val="18"/>
          <w:szCs w:val="18"/>
          <w:color w:val="auto"/>
        </w:rPr>
        <w:t>such Indebtedness is Incurred either by the Company or by the Restricted Subsidiary who is the obligor on the Indebtedness being renewed, refunded, refinanced, replaced, defeased or discharged.</w:t>
      </w:r>
    </w:p>
    <w:p>
      <w:pPr>
        <w:spacing w:after="0" w:line="170" w:lineRule="exact"/>
        <w:rPr>
          <w:sz w:val="20"/>
          <w:szCs w:val="20"/>
          <w:color w:val="auto"/>
        </w:rPr>
      </w:pPr>
    </w:p>
    <w:p>
      <w:pPr>
        <w:ind w:right="16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03"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804" w:name="page805"/>
    <w:bookmarkEnd w:id="804"/>
    <w:p>
      <w:pPr>
        <w:jc w:val="both"/>
        <w:ind w:right="60" w:firstLine="77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Phase I</w:t>
      </w:r>
      <w:r>
        <w:rPr>
          <w:rFonts w:ascii="Arial" w:cs="Arial" w:eastAsia="Arial" w:hAnsi="Arial"/>
          <w:sz w:val="18"/>
          <w:szCs w:val="18"/>
          <w:color w:val="auto"/>
        </w:rPr>
        <w:t>” means the approximately 477,110 gross square-meter complex on the Site which contains retail, hotel, gaming, entertainment, food and beverage outlets and entertainment studios and other facilities.</w:t>
      </w:r>
    </w:p>
    <w:p>
      <w:pPr>
        <w:spacing w:after="0" w:line="170" w:lineRule="exact"/>
        <w:rPr>
          <w:sz w:val="20"/>
          <w:szCs w:val="20"/>
          <w:color w:val="auto"/>
        </w:rPr>
      </w:pPr>
    </w:p>
    <w:p>
      <w:pPr>
        <w:jc w:val="both"/>
        <w:ind w:right="6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development of the remainder of the Site, which is expected to include one or more types of Permitted Business and will be developed in accordance with the applicable governmental requirements regarding the Site.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means any Equity Interest with preferential right of payment of dividends or upon liquidation, dissolution, or winding up.</w:t>
      </w:r>
    </w:p>
    <w:p>
      <w:pPr>
        <w:spacing w:after="0" w:line="248" w:lineRule="exact"/>
        <w:rPr>
          <w:sz w:val="20"/>
          <w:szCs w:val="20"/>
          <w:color w:val="auto"/>
        </w:rPr>
      </w:pPr>
    </w:p>
    <w:p>
      <w:pPr>
        <w:jc w:val="both"/>
        <w:ind w:right="40" w:firstLine="77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Pre-Opening Expenses</w:t>
      </w:r>
      <w:r>
        <w:rPr>
          <w:rFonts w:ascii="Arial" w:cs="Arial" w:eastAsia="Arial" w:hAnsi="Arial"/>
          <w:sz w:val="18"/>
          <w:szCs w:val="18"/>
          <w:color w:val="auto"/>
        </w:rPr>
        <w:t>” means, with respect to any fiscal period, the amount of expenses (other than interest expense) incurred with respect to capital projects that are classified as “pre-opening expenses” on the applicable financial statements of the Company and its Restricted Subsidiaries for such period, prepared in accordance with U.S. GAAP.</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Phase I and the Phase II Project.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Reinvestment Agreement</w:t>
      </w:r>
      <w:r>
        <w:rPr>
          <w:rFonts w:ascii="Arial" w:cs="Arial" w:eastAsia="Arial" w:hAnsi="Arial"/>
          <w:sz w:val="18"/>
          <w:szCs w:val="18"/>
          <w:color w:val="auto"/>
        </w:rPr>
        <w:t>” means the Reimbursement Agreement.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r>
        <w:rPr>
          <w:rFonts w:ascii="Arial" w:cs="Arial" w:eastAsia="Arial" w:hAnsi="Arial"/>
          <w:sz w:val="18"/>
          <w:szCs w:val="18"/>
          <w:i w:val="1"/>
          <w:iCs w:val="1"/>
          <w:color w:val="auto"/>
        </w:rPr>
        <w:t>:</w:t>
      </w:r>
    </w:p>
    <w:p>
      <w:pPr>
        <w:spacing w:after="0" w:line="117" w:lineRule="exact"/>
        <w:rPr>
          <w:sz w:val="20"/>
          <w:szCs w:val="20"/>
          <w:color w:val="auto"/>
        </w:rPr>
      </w:pPr>
    </w:p>
    <w:p>
      <w:pPr>
        <w:ind w:left="2320" w:hanging="426"/>
        <w:spacing w:after="0"/>
        <w:tabs>
          <w:tab w:leader="none" w:pos="2320" w:val="left"/>
        </w:tabs>
        <w:numPr>
          <w:ilvl w:val="0"/>
          <w:numId w:val="1237"/>
        </w:numPr>
        <w:rPr>
          <w:rFonts w:ascii="Arial" w:cs="Arial" w:eastAsia="Arial" w:hAnsi="Arial"/>
          <w:sz w:val="18"/>
          <w:szCs w:val="18"/>
          <w:color w:val="auto"/>
        </w:rPr>
      </w:pPr>
      <w:r>
        <w:rPr>
          <w:rFonts w:ascii="Arial" w:cs="Arial" w:eastAsia="Arial" w:hAnsi="Arial"/>
          <w:sz w:val="18"/>
          <w:szCs w:val="18"/>
          <w:color w:val="auto"/>
        </w:rPr>
        <w:t>any controlling stockholder or majority-owned Subsidiary of Melco Resorts; or</w:t>
      </w:r>
    </w:p>
    <w:p>
      <w:pPr>
        <w:spacing w:after="0" w:line="117" w:lineRule="exact"/>
        <w:rPr>
          <w:rFonts w:ascii="Arial" w:cs="Arial" w:eastAsia="Arial" w:hAnsi="Arial"/>
          <w:sz w:val="18"/>
          <w:szCs w:val="18"/>
          <w:color w:val="auto"/>
        </w:rPr>
      </w:pPr>
    </w:p>
    <w:p>
      <w:pPr>
        <w:ind w:left="760" w:right="40" w:firstLine="1134"/>
        <w:spacing w:after="0" w:line="263" w:lineRule="auto"/>
        <w:tabs>
          <w:tab w:leader="none" w:pos="2322" w:val="left"/>
        </w:tabs>
        <w:numPr>
          <w:ilvl w:val="0"/>
          <w:numId w:val="1237"/>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at least 50.1% interest of which consist of Melco Resorts and/or such other Persons referred to in the immediately preceding clause (1).</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right="18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Revenue Sharing Agreement</w:t>
      </w:r>
      <w:r>
        <w:rPr>
          <w:rFonts w:ascii="Arial" w:cs="Arial" w:eastAsia="Arial" w:hAnsi="Arial"/>
          <w:sz w:val="18"/>
          <w:szCs w:val="18"/>
          <w:color w:val="auto"/>
        </w:rPr>
        <w:t>” means any joint venture, development, management, operating or similar agreement or arrangement for the sharing of revenues, profits, losses, costs or expenses entered into in connection with developments or services complementary or ancillary to the Property in the ordinary course of business (including, for the avoidance of doubt, such agreements or arrangements reasonably necessary to conduct a Permitted Business) and on arms’ length terms.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or any successor to the rating agency business thereof.</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78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United States Securities Act of 1933, as amended, and the rules and regulations of the SEC promulgated thereunder.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Notes</w:t>
      </w:r>
      <w:r>
        <w:rPr>
          <w:rFonts w:ascii="Arial" w:cs="Arial" w:eastAsia="Arial" w:hAnsi="Arial"/>
          <w:sz w:val="18"/>
          <w:szCs w:val="18"/>
          <w:color w:val="auto"/>
        </w:rPr>
        <w:t>” means the 2025 Notes, the 2028 Notes and the 2029 Notes.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Notes Guarantees</w:t>
      </w:r>
      <w:r>
        <w:rPr>
          <w:rFonts w:ascii="Arial" w:cs="Arial" w:eastAsia="Arial" w:hAnsi="Arial"/>
          <w:sz w:val="18"/>
          <w:szCs w:val="18"/>
          <w:color w:val="auto"/>
        </w:rPr>
        <w:t>” means the 2025 Notes Guarantees, the 2028 Notes Guarantees and the 2029 Notes Guarantees.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Notes Indentures</w:t>
      </w:r>
      <w:r>
        <w:rPr>
          <w:rFonts w:ascii="Arial" w:cs="Arial" w:eastAsia="Arial" w:hAnsi="Arial"/>
          <w:sz w:val="18"/>
          <w:szCs w:val="18"/>
          <w:color w:val="auto"/>
        </w:rPr>
        <w:t>” means the 2025 Notes Indenture, the 2028 Notes Indenture and the 2029 Notes Indenture.</w:t>
      </w:r>
    </w:p>
    <w:p>
      <w:pPr>
        <w:spacing w:after="0" w:line="158"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805" w:name="page806"/>
    <w:bookmarkEnd w:id="805"/>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Senior Notes Trustee</w:t>
      </w:r>
      <w:r>
        <w:rPr>
          <w:rFonts w:ascii="Arial" w:cs="Arial" w:eastAsia="Arial" w:hAnsi="Arial"/>
          <w:sz w:val="18"/>
          <w:szCs w:val="18"/>
          <w:color w:val="auto"/>
        </w:rPr>
        <w:t>” means each of the 2025 Notes Trustee, the 2028 Notes Trustee, and the 2029 Notes Trustee.</w:t>
      </w:r>
    </w:p>
    <w:p>
      <w:pPr>
        <w:spacing w:after="0" w:line="225" w:lineRule="exact"/>
        <w:rPr>
          <w:sz w:val="20"/>
          <w:szCs w:val="20"/>
          <w:color w:val="auto"/>
        </w:rPr>
      </w:pPr>
    </w:p>
    <w:p>
      <w:pPr>
        <w:ind w:right="4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 Subordinated Debt</w:t>
      </w:r>
      <w:r>
        <w:rPr>
          <w:rFonts w:ascii="Arial" w:cs="Arial" w:eastAsia="Arial" w:hAnsi="Arial"/>
          <w:sz w:val="18"/>
          <w:szCs w:val="18"/>
          <w:color w:val="auto"/>
        </w:rPr>
        <w:t xml:space="preserve">” means, collectively, any debt provided to the Company by any direct or indirect parent holding company of the Company (or Melco Resorts), in exchange for or pursuant to any security, instrument or agreement other than Capital Stock, together with any such security, instrument or agreement and any other security or instrument other than Capital Stock issued in payment of any obligation under any Shareholder Subordinated 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Shareholder Subordinated Debt:</w:t>
      </w:r>
    </w:p>
    <w:p>
      <w:pPr>
        <w:spacing w:after="0" w:line="79" w:lineRule="exact"/>
        <w:rPr>
          <w:sz w:val="20"/>
          <w:szCs w:val="20"/>
          <w:color w:val="auto"/>
        </w:rPr>
      </w:pPr>
    </w:p>
    <w:p>
      <w:pPr>
        <w:ind w:left="760" w:right="80" w:firstLine="1134"/>
        <w:spacing w:after="0" w:line="259" w:lineRule="auto"/>
        <w:tabs>
          <w:tab w:leader="none" w:pos="2322" w:val="left"/>
        </w:tabs>
        <w:numPr>
          <w:ilvl w:val="0"/>
          <w:numId w:val="1238"/>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mature or require any amortization or other payment of principal prior to the first anniversary of the last Final Repayment Date of the Facilities (other than through conversion or exchange of any such security or instrument for Equity Interests of the Company (other than Disqualified Stock) or for any other security or instrument meeting the requirements of the definition);</w:t>
      </w:r>
    </w:p>
    <w:p>
      <w:pPr>
        <w:spacing w:after="0" w:line="78" w:lineRule="exact"/>
        <w:rPr>
          <w:rFonts w:ascii="Arial" w:cs="Arial" w:eastAsia="Arial" w:hAnsi="Arial"/>
          <w:sz w:val="18"/>
          <w:szCs w:val="18"/>
          <w:color w:val="auto"/>
        </w:rPr>
      </w:pPr>
    </w:p>
    <w:p>
      <w:pPr>
        <w:ind w:left="760" w:right="160" w:firstLine="1134"/>
        <w:spacing w:after="0" w:line="277" w:lineRule="auto"/>
        <w:tabs>
          <w:tab w:leader="none" w:pos="2322" w:val="left"/>
        </w:tabs>
        <w:numPr>
          <w:ilvl w:val="0"/>
          <w:numId w:val="1238"/>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require the payment of cash interest prior to the first anniversary of the last Final Repayment Date of the Facilities;</w:t>
      </w:r>
    </w:p>
    <w:p>
      <w:pPr>
        <w:spacing w:after="0" w:line="62" w:lineRule="exact"/>
        <w:rPr>
          <w:rFonts w:ascii="Arial" w:cs="Arial" w:eastAsia="Arial" w:hAnsi="Arial"/>
          <w:sz w:val="18"/>
          <w:szCs w:val="18"/>
          <w:color w:val="auto"/>
        </w:rPr>
      </w:pPr>
    </w:p>
    <w:p>
      <w:pPr>
        <w:ind w:left="760" w:right="120" w:firstLine="1134"/>
        <w:spacing w:after="0" w:line="263" w:lineRule="auto"/>
        <w:tabs>
          <w:tab w:leader="none" w:pos="2322" w:val="left"/>
        </w:tabs>
        <w:numPr>
          <w:ilvl w:val="0"/>
          <w:numId w:val="1238"/>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provide for the acceleration of its maturity nor confer on its shareholders any right (including upon the happening of any event) to declare a default or event of default or take any enforcement action, in each case, prior to the first anniversary of the last Final Repayment Date of the Facilities;</w:t>
      </w:r>
    </w:p>
    <w:p>
      <w:pPr>
        <w:spacing w:after="0" w:line="75" w:lineRule="exact"/>
        <w:rPr>
          <w:rFonts w:ascii="Arial" w:cs="Arial" w:eastAsia="Arial" w:hAnsi="Arial"/>
          <w:sz w:val="18"/>
          <w:szCs w:val="18"/>
          <w:color w:val="auto"/>
        </w:rPr>
      </w:pPr>
    </w:p>
    <w:p>
      <w:pPr>
        <w:ind w:left="760" w:right="80" w:firstLine="1134"/>
        <w:spacing w:after="0" w:line="277" w:lineRule="auto"/>
        <w:tabs>
          <w:tab w:leader="none" w:pos="2322" w:val="left"/>
        </w:tabs>
        <w:numPr>
          <w:ilvl w:val="0"/>
          <w:numId w:val="1238"/>
        </w:numPr>
        <w:rPr>
          <w:rFonts w:ascii="Arial" w:cs="Arial" w:eastAsia="Arial" w:hAnsi="Arial"/>
          <w:sz w:val="18"/>
          <w:szCs w:val="18"/>
          <w:color w:val="auto"/>
        </w:rPr>
      </w:pPr>
      <w:r>
        <w:rPr>
          <w:rFonts w:ascii="Arial" w:cs="Arial" w:eastAsia="Arial" w:hAnsi="Arial"/>
          <w:sz w:val="18"/>
          <w:szCs w:val="18"/>
          <w:color w:val="auto"/>
        </w:rPr>
        <w:t>is not secured by a Lien on any assets of the Company or a Restricted Subsidiary of the Company and is not guaranteed by any Subsidiary of the Company;</w:t>
      </w:r>
    </w:p>
    <w:p>
      <w:pPr>
        <w:spacing w:after="0" w:line="62" w:lineRule="exact"/>
        <w:rPr>
          <w:rFonts w:ascii="Arial" w:cs="Arial" w:eastAsia="Arial" w:hAnsi="Arial"/>
          <w:sz w:val="18"/>
          <w:szCs w:val="18"/>
          <w:color w:val="auto"/>
        </w:rPr>
      </w:pPr>
    </w:p>
    <w:p>
      <w:pPr>
        <w:ind w:left="760" w:right="300" w:firstLine="1134"/>
        <w:spacing w:after="0" w:line="277" w:lineRule="auto"/>
        <w:tabs>
          <w:tab w:leader="none" w:pos="2322" w:val="left"/>
        </w:tabs>
        <w:numPr>
          <w:ilvl w:val="0"/>
          <w:numId w:val="1238"/>
        </w:numPr>
        <w:rPr>
          <w:rFonts w:ascii="Arial" w:cs="Arial" w:eastAsia="Arial" w:hAnsi="Arial"/>
          <w:sz w:val="18"/>
          <w:szCs w:val="18"/>
          <w:color w:val="auto"/>
        </w:rPr>
      </w:pPr>
      <w:r>
        <w:rPr>
          <w:rFonts w:ascii="Arial" w:cs="Arial" w:eastAsia="Arial" w:hAnsi="Arial"/>
          <w:sz w:val="18"/>
          <w:szCs w:val="18"/>
          <w:color w:val="auto"/>
        </w:rPr>
        <w:t>is subordinated in right of payment to the prior payment in full in cash of the Facilities Liabilities in the event of any default, bankruptcy, reorganization, liquidation, winding up or other disposition of assets of the Company;</w:t>
      </w:r>
    </w:p>
    <w:p>
      <w:pPr>
        <w:spacing w:after="0" w:line="62" w:lineRule="exact"/>
        <w:rPr>
          <w:rFonts w:ascii="Arial" w:cs="Arial" w:eastAsia="Arial" w:hAnsi="Arial"/>
          <w:sz w:val="18"/>
          <w:szCs w:val="18"/>
          <w:color w:val="auto"/>
        </w:rPr>
      </w:pPr>
    </w:p>
    <w:p>
      <w:pPr>
        <w:ind w:left="760" w:right="320" w:firstLine="1134"/>
        <w:spacing w:after="0" w:line="277" w:lineRule="auto"/>
        <w:tabs>
          <w:tab w:leader="none" w:pos="2322" w:val="left"/>
        </w:tabs>
        <w:numPr>
          <w:ilvl w:val="0"/>
          <w:numId w:val="1238"/>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restrict the payment of amounts due in respect of the Facilities Liabilities or compliance by the Company with its obligations under the Finance Documents;</w:t>
      </w:r>
    </w:p>
    <w:p>
      <w:pPr>
        <w:spacing w:after="0" w:line="62" w:lineRule="exact"/>
        <w:rPr>
          <w:rFonts w:ascii="Arial" w:cs="Arial" w:eastAsia="Arial" w:hAnsi="Arial"/>
          <w:sz w:val="18"/>
          <w:szCs w:val="18"/>
          <w:color w:val="auto"/>
        </w:rPr>
      </w:pPr>
    </w:p>
    <w:p>
      <w:pPr>
        <w:ind w:left="2320" w:hanging="426"/>
        <w:spacing w:after="0"/>
        <w:tabs>
          <w:tab w:leader="none" w:pos="2320" w:val="left"/>
        </w:tabs>
        <w:numPr>
          <w:ilvl w:val="0"/>
          <w:numId w:val="1238"/>
        </w:numPr>
        <w:rPr>
          <w:rFonts w:ascii="Arial" w:cs="Arial" w:eastAsia="Arial" w:hAnsi="Arial"/>
          <w:sz w:val="18"/>
          <w:szCs w:val="18"/>
          <w:color w:val="auto"/>
        </w:rPr>
      </w:pPr>
      <w:r>
        <w:rPr>
          <w:rFonts w:ascii="Arial" w:cs="Arial" w:eastAsia="Arial" w:hAnsi="Arial"/>
          <w:sz w:val="18"/>
          <w:szCs w:val="18"/>
          <w:color w:val="auto"/>
        </w:rPr>
        <w:t>does not (including upon the happening of an event) constitute Voting Stock; and</w:t>
      </w:r>
    </w:p>
    <w:p>
      <w:pPr>
        <w:spacing w:after="0" w:line="117" w:lineRule="exact"/>
        <w:rPr>
          <w:rFonts w:ascii="Arial" w:cs="Arial" w:eastAsia="Arial" w:hAnsi="Arial"/>
          <w:sz w:val="18"/>
          <w:szCs w:val="18"/>
          <w:color w:val="auto"/>
        </w:rPr>
      </w:pPr>
    </w:p>
    <w:p>
      <w:pPr>
        <w:ind w:left="760" w:right="400" w:firstLine="1134"/>
        <w:spacing w:after="0" w:line="263" w:lineRule="auto"/>
        <w:tabs>
          <w:tab w:leader="none" w:pos="2322" w:val="left"/>
        </w:tabs>
        <w:numPr>
          <w:ilvl w:val="0"/>
          <w:numId w:val="1238"/>
        </w:numPr>
        <w:rPr>
          <w:rFonts w:ascii="Arial" w:cs="Arial" w:eastAsia="Arial" w:hAnsi="Arial"/>
          <w:sz w:val="18"/>
          <w:szCs w:val="18"/>
          <w:color w:val="auto"/>
        </w:rPr>
      </w:pPr>
      <w:r>
        <w:rPr>
          <w:rFonts w:ascii="Arial" w:cs="Arial" w:eastAsia="Arial" w:hAnsi="Arial"/>
          <w:sz w:val="18"/>
          <w:szCs w:val="18"/>
          <w:color w:val="auto"/>
        </w:rPr>
        <w:t>is not (including upon the happening of any event) mandatorily convertible or exchangeable, or convertible or exchangeable at the option of the holder, in whole or in part, prior to the last Final Repayment Date of the Facilities other than into or for Capital Stock (other than Disqualified Stock) of the Company.</w:t>
      </w:r>
    </w:p>
    <w:p>
      <w:pPr>
        <w:spacing w:after="0" w:line="184" w:lineRule="exact"/>
        <w:rPr>
          <w:sz w:val="20"/>
          <w:szCs w:val="20"/>
          <w:color w:val="auto"/>
        </w:rPr>
      </w:pPr>
    </w:p>
    <w:p>
      <w:pPr>
        <w:ind w:right="120" w:firstLine="77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Significant Subsidiary</w:t>
      </w:r>
      <w:r>
        <w:rPr>
          <w:rFonts w:ascii="Arial" w:cs="Arial" w:eastAsia="Arial" w:hAnsi="Arial"/>
          <w:sz w:val="17"/>
          <w:szCs w:val="17"/>
          <w:color w:val="auto"/>
        </w:rPr>
        <w:t>” means any Subsidiary that would be a “significant subsidiary” as defined in Article 1, Rule 1-02 of Regulation S-X, promulgated pursuant to the Securities Act, as such regulation is in effect on the 2021 Amendment and Restatement Effective Date.</w:t>
      </w:r>
    </w:p>
    <w:p>
      <w:pPr>
        <w:spacing w:after="0" w:line="146" w:lineRule="exact"/>
        <w:rPr>
          <w:sz w:val="20"/>
          <w:szCs w:val="20"/>
          <w:color w:val="auto"/>
        </w:rPr>
      </w:pPr>
    </w:p>
    <w:p>
      <w:pPr>
        <w:ind w:right="60" w:firstLine="7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installment of interest or principal on any series of Indebtedness, the date on which the payment of interest or principal was scheduled to be paid in the documentation governing such Indebtedness as of the 2021 Amendment and Restatement Effective Date, and will not include any contingent obligations to repay, redeem or repurchase any such interest or principal prior to the date originally scheduled for the payment thereof.</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Casino</w:t>
      </w:r>
      <w:r>
        <w:rPr>
          <w:rFonts w:ascii="Arial" w:cs="Arial" w:eastAsia="Arial" w:hAnsi="Arial"/>
          <w:sz w:val="18"/>
          <w:szCs w:val="18"/>
          <w:color w:val="auto"/>
        </w:rPr>
        <w:t>” means any casino, gaming business or activities conducted at the Site.</w:t>
      </w:r>
    </w:p>
    <w:p>
      <w:pPr>
        <w:spacing w:after="0" w:line="158"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806" w:name="page807"/>
    <w:bookmarkEnd w:id="806"/>
    <w:p>
      <w:pPr>
        <w:ind w:right="440" w:firstLine="77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Studio City International</w:t>
      </w:r>
      <w:r>
        <w:rPr>
          <w:rFonts w:ascii="Arial" w:cs="Arial" w:eastAsia="Arial" w:hAnsi="Arial"/>
          <w:sz w:val="18"/>
          <w:szCs w:val="18"/>
          <w:color w:val="auto"/>
        </w:rPr>
        <w:t>” means Studio City International Holdings Limited, an exempted company incorporated with limited liability under the laws of the Cayman Islands.</w:t>
      </w:r>
    </w:p>
    <w:p>
      <w:pPr>
        <w:spacing w:after="0" w:line="170" w:lineRule="exact"/>
        <w:rPr>
          <w:sz w:val="20"/>
          <w:szCs w:val="20"/>
          <w:color w:val="auto"/>
        </w:rPr>
      </w:pPr>
    </w:p>
    <w:p>
      <w:pPr>
        <w:ind w:right="140" w:firstLine="77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Parties</w:t>
      </w:r>
      <w:r>
        <w:rPr>
          <w:rFonts w:ascii="Arial" w:cs="Arial" w:eastAsia="Arial" w:hAnsi="Arial"/>
          <w:sz w:val="18"/>
          <w:szCs w:val="18"/>
          <w:color w:val="auto"/>
        </w:rPr>
        <w:t>” means Studio City International, Studio City Entertainment Limited, Studio City Hotels Limited, Studio City Retail Services Limited, Studio City Developments Limited, Studio City Ventures Limited, Studio City Services Limited and any other Person which accedes to the MSA as a “Studio City Party” pursuant to terms thereof.</w:t>
      </w:r>
    </w:p>
    <w:p>
      <w:pPr>
        <w:spacing w:after="0" w:line="184" w:lineRule="exact"/>
        <w:rPr>
          <w:sz w:val="20"/>
          <w:szCs w:val="20"/>
          <w:color w:val="auto"/>
        </w:rPr>
      </w:pPr>
    </w:p>
    <w:p>
      <w:pPr>
        <w:ind w:right="60" w:firstLine="77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Subordinated Indebtedness</w:t>
      </w:r>
      <w:r>
        <w:rPr>
          <w:rFonts w:ascii="Arial" w:cs="Arial" w:eastAsia="Arial" w:hAnsi="Arial"/>
          <w:sz w:val="16"/>
          <w:szCs w:val="16"/>
          <w:color w:val="auto"/>
        </w:rPr>
        <w:t>” means (a) with respect to the Company, any Indebtedness of the Company which is by its terms subordinated in right of payment to the Facilities Liabilities, and (b) with respect to any Subsidiary Guarantor, any Indebtedness of such Subsidiary Guarantor which is by its terms subordinated in right of payment to such Subsidiary Guarantor’s Obligations in respect of the Facilities Liabilities.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760" w:right="100" w:firstLine="1134"/>
        <w:spacing w:after="0" w:line="259" w:lineRule="auto"/>
        <w:tabs>
          <w:tab w:leader="none" w:pos="2322" w:val="left"/>
        </w:tabs>
        <w:numPr>
          <w:ilvl w:val="0"/>
          <w:numId w:val="1239"/>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8" w:lineRule="exact"/>
        <w:rPr>
          <w:rFonts w:ascii="Arial" w:cs="Arial" w:eastAsia="Arial" w:hAnsi="Arial"/>
          <w:sz w:val="18"/>
          <w:szCs w:val="18"/>
          <w:color w:val="auto"/>
        </w:rPr>
      </w:pPr>
    </w:p>
    <w:p>
      <w:pPr>
        <w:ind w:left="760" w:right="80" w:firstLine="1134"/>
        <w:spacing w:after="0" w:line="342" w:lineRule="auto"/>
        <w:tabs>
          <w:tab w:leader="none" w:pos="2322" w:val="left"/>
        </w:tabs>
        <w:numPr>
          <w:ilvl w:val="0"/>
          <w:numId w:val="1239"/>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the Borrower and each Guarantor from time to time.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means, as of any date, the consolidated total assets of the Company and its Restricted Subsidiaries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as shown on the most recent balance sheet of such Person.</w:t>
      </w:r>
    </w:p>
    <w:p>
      <w:pPr>
        <w:spacing w:after="0" w:line="211" w:lineRule="exact"/>
        <w:rPr>
          <w:sz w:val="20"/>
          <w:szCs w:val="20"/>
          <w:color w:val="auto"/>
        </w:rPr>
      </w:pPr>
    </w:p>
    <w:p>
      <w:pPr>
        <w:ind w:right="20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offering of the Senior Notes and the offer to purchase and/or redemption, as the case may be, of the 2016 7.250% Studio City Company Notes as described in the Offering Memorandum.</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Unrestricted Subsidiary</w:t>
      </w:r>
      <w:r>
        <w:rPr>
          <w:rFonts w:ascii="Arial" w:cs="Arial" w:eastAsia="Arial" w:hAnsi="Arial"/>
          <w:sz w:val="17"/>
          <w:szCs w:val="17"/>
          <w:color w:val="auto"/>
        </w:rPr>
        <w:t>” means any Subsidiary of the Company that is designated by the Board of Directors of the Company as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Unrestricted Subsidiary pursuant to a resolution of the Board of Directors, but only to the extent that such Subsidiary:</w:t>
      </w:r>
    </w:p>
    <w:p>
      <w:pPr>
        <w:spacing w:after="0" w:line="103" w:lineRule="exact"/>
        <w:rPr>
          <w:sz w:val="20"/>
          <w:szCs w:val="20"/>
          <w:color w:val="auto"/>
        </w:rPr>
      </w:pPr>
    </w:p>
    <w:p>
      <w:pPr>
        <w:ind w:left="2320" w:hanging="426"/>
        <w:spacing w:after="0"/>
        <w:tabs>
          <w:tab w:leader="none" w:pos="2320" w:val="left"/>
        </w:tabs>
        <w:numPr>
          <w:ilvl w:val="0"/>
          <w:numId w:val="1240"/>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17" w:lineRule="exact"/>
        <w:rPr>
          <w:rFonts w:ascii="Arial" w:cs="Arial" w:eastAsia="Arial" w:hAnsi="Arial"/>
          <w:sz w:val="18"/>
          <w:szCs w:val="18"/>
          <w:color w:val="auto"/>
        </w:rPr>
      </w:pPr>
    </w:p>
    <w:p>
      <w:pPr>
        <w:ind w:left="760" w:right="40" w:firstLine="1134"/>
        <w:spacing w:after="0" w:line="259" w:lineRule="auto"/>
        <w:tabs>
          <w:tab w:leader="none" w:pos="2322" w:val="left"/>
        </w:tabs>
        <w:numPr>
          <w:ilvl w:val="0"/>
          <w:numId w:val="1240"/>
        </w:numPr>
        <w:rPr>
          <w:rFonts w:ascii="Arial" w:cs="Arial" w:eastAsia="Arial" w:hAnsi="Arial"/>
          <w:sz w:val="18"/>
          <w:szCs w:val="18"/>
          <w:color w:val="auto"/>
        </w:rPr>
      </w:pPr>
      <w:r>
        <w:rPr>
          <w:rFonts w:ascii="Arial" w:cs="Arial" w:eastAsia="Arial" w:hAnsi="Arial"/>
          <w:sz w:val="18"/>
          <w:szCs w:val="18"/>
          <w:color w:val="auto"/>
        </w:rPr>
        <w:t>except as permitted by Section 6 of Schedule 10 (</w:t>
      </w:r>
      <w:r>
        <w:rPr>
          <w:rFonts w:ascii="Arial" w:cs="Arial" w:eastAsia="Arial" w:hAnsi="Arial"/>
          <w:sz w:val="18"/>
          <w:szCs w:val="18"/>
          <w:i w:val="1"/>
          <w:iCs w:val="1"/>
          <w:color w:val="auto"/>
        </w:rPr>
        <w:t>Covenants</w:t>
      </w:r>
      <w:r>
        <w:rPr>
          <w:rFonts w:ascii="Arial" w:cs="Arial" w:eastAsia="Arial" w:hAnsi="Arial"/>
          <w:sz w:val="18"/>
          <w:szCs w:val="18"/>
          <w:color w:val="auto"/>
        </w:rPr>
        <w:t>), 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78" w:lineRule="exact"/>
        <w:rPr>
          <w:rFonts w:ascii="Arial" w:cs="Arial" w:eastAsia="Arial" w:hAnsi="Arial"/>
          <w:sz w:val="18"/>
          <w:szCs w:val="18"/>
          <w:color w:val="auto"/>
        </w:rPr>
      </w:pPr>
    </w:p>
    <w:p>
      <w:pPr>
        <w:ind w:left="760" w:right="240" w:firstLine="1134"/>
        <w:spacing w:after="0" w:line="263" w:lineRule="auto"/>
        <w:tabs>
          <w:tab w:leader="none" w:pos="2322" w:val="left"/>
        </w:tabs>
        <w:numPr>
          <w:ilvl w:val="0"/>
          <w:numId w:val="1240"/>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75" w:lineRule="exact"/>
        <w:rPr>
          <w:rFonts w:ascii="Arial" w:cs="Arial" w:eastAsia="Arial" w:hAnsi="Arial"/>
          <w:sz w:val="18"/>
          <w:szCs w:val="18"/>
          <w:color w:val="auto"/>
        </w:rPr>
      </w:pPr>
    </w:p>
    <w:p>
      <w:pPr>
        <w:ind w:left="760" w:right="220" w:firstLine="1134"/>
        <w:spacing w:after="0" w:line="277" w:lineRule="auto"/>
        <w:tabs>
          <w:tab w:leader="none" w:pos="2322" w:val="left"/>
        </w:tabs>
        <w:numPr>
          <w:ilvl w:val="0"/>
          <w:numId w:val="1240"/>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03"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807" w:name="page808"/>
    <w:bookmarkEnd w:id="807"/>
    <w:p>
      <w:pPr>
        <w:ind w:right="60" w:firstLine="77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U.S. 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7" w:lineRule="exact"/>
        <w:rPr>
          <w:sz w:val="20"/>
          <w:szCs w:val="20"/>
          <w:color w:val="auto"/>
        </w:rPr>
      </w:pPr>
    </w:p>
    <w:p>
      <w:pPr>
        <w:ind w:right="300" w:firstLine="77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129" w:lineRule="exact"/>
        <w:rPr>
          <w:sz w:val="20"/>
          <w:szCs w:val="20"/>
          <w:color w:val="auto"/>
        </w:rPr>
      </w:pPr>
    </w:p>
    <w:p>
      <w:pPr>
        <w:ind w:left="760" w:right="120" w:firstLine="1134"/>
        <w:spacing w:after="0" w:line="286" w:lineRule="auto"/>
        <w:tabs>
          <w:tab w:leader="none" w:pos="2322" w:val="left"/>
        </w:tabs>
        <w:numPr>
          <w:ilvl w:val="0"/>
          <w:numId w:val="1241"/>
        </w:numPr>
        <w:rPr>
          <w:rFonts w:ascii="Arial" w:cs="Arial" w:eastAsia="Arial" w:hAnsi="Arial"/>
          <w:sz w:val="17"/>
          <w:szCs w:val="17"/>
          <w:color w:val="auto"/>
        </w:rPr>
      </w:pPr>
      <w:r>
        <w:rPr>
          <w:rFonts w:ascii="Arial" w:cs="Arial" w:eastAsia="Arial" w:hAnsi="Arial"/>
          <w:sz w:val="17"/>
          <w:szCs w:val="17"/>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7" w:lineRule="exact"/>
        <w:rPr>
          <w:rFonts w:ascii="Arial" w:cs="Arial" w:eastAsia="Arial" w:hAnsi="Arial"/>
          <w:sz w:val="17"/>
          <w:szCs w:val="17"/>
          <w:color w:val="auto"/>
        </w:rPr>
      </w:pPr>
    </w:p>
    <w:p>
      <w:pPr>
        <w:ind w:left="2320" w:hanging="426"/>
        <w:spacing w:after="0"/>
        <w:tabs>
          <w:tab w:leader="none" w:pos="2320" w:val="left"/>
        </w:tabs>
        <w:numPr>
          <w:ilvl w:val="0"/>
          <w:numId w:val="1241"/>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both"/>
        <w:ind w:left="5420"/>
        <w:spacing w:after="0"/>
        <w:tabs>
          <w:tab w:leader="none" w:pos="88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1020"/>
          </w:cols>
          <w:pgMar w:left="440" w:top="274" w:right="439" w:bottom="1440" w:gutter="0" w:footer="0" w:header="0"/>
        </w:sectPr>
      </w:pPr>
    </w:p>
    <w:bookmarkStart w:id="808" w:name="page809"/>
    <w:bookmarkEnd w:id="8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Original signature pages removed in amended and restated version</w:t>
      </w:r>
    </w:p>
    <w:p>
      <w:pPr>
        <w:sectPr>
          <w:pgSz w:w="11900" w:h="16838" w:orient="portrait"/>
          <w:cols w:equalWidth="0" w:num="1">
            <w:col w:w="10019"/>
          </w:cols>
          <w:pgMar w:left="440" w:top="270" w:right="1440" w:bottom="1440" w:gutter="0" w:footer="0" w:header="0"/>
        </w:sectPr>
      </w:pPr>
    </w:p>
    <w:bookmarkStart w:id="809" w:name="page810"/>
    <w:bookmarkEnd w:id="80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Conditions Precedent</w:t>
      </w:r>
    </w:p>
    <w:p>
      <w:pPr>
        <w:spacing w:after="0" w:line="355" w:lineRule="exact"/>
        <w:rPr>
          <w:sz w:val="20"/>
          <w:szCs w:val="20"/>
          <w:color w:val="auto"/>
        </w:rPr>
      </w:pPr>
    </w:p>
    <w:p>
      <w:pPr>
        <w:ind w:left="764" w:hanging="764"/>
        <w:spacing w:after="0"/>
        <w:tabs>
          <w:tab w:leader="none" w:pos="764" w:val="left"/>
        </w:tabs>
        <w:numPr>
          <w:ilvl w:val="0"/>
          <w:numId w:val="1242"/>
        </w:numPr>
        <w:rPr>
          <w:rFonts w:ascii="Arial" w:cs="Arial" w:eastAsia="Arial" w:hAnsi="Arial"/>
          <w:sz w:val="18"/>
          <w:szCs w:val="18"/>
          <w:color w:val="auto"/>
        </w:rPr>
      </w:pPr>
      <w:r>
        <w:rPr>
          <w:rFonts w:ascii="Arial" w:cs="Arial" w:eastAsia="Arial" w:hAnsi="Arial"/>
          <w:sz w:val="18"/>
          <w:szCs w:val="18"/>
          <w:b w:val="1"/>
          <w:bCs w:val="1"/>
          <w:color w:val="auto"/>
        </w:rPr>
        <w:t>Constitutional documents</w:t>
      </w:r>
    </w:p>
    <w:p>
      <w:pPr>
        <w:spacing w:after="0" w:line="134" w:lineRule="exact"/>
        <w:rPr>
          <w:rFonts w:ascii="Arial" w:cs="Arial" w:eastAsia="Arial" w:hAnsi="Arial"/>
          <w:sz w:val="18"/>
          <w:szCs w:val="18"/>
          <w:color w:val="auto"/>
        </w:rPr>
      </w:pPr>
    </w:p>
    <w:p>
      <w:pPr>
        <w:ind w:left="1304" w:hanging="535"/>
        <w:spacing w:after="0"/>
        <w:tabs>
          <w:tab w:leader="none" w:pos="1304" w:val="left"/>
        </w:tabs>
        <w:numPr>
          <w:ilvl w:val="1"/>
          <w:numId w:val="1242"/>
        </w:numPr>
        <w:rPr>
          <w:rFonts w:ascii="Arial" w:cs="Arial" w:eastAsia="Arial" w:hAnsi="Arial"/>
          <w:sz w:val="18"/>
          <w:szCs w:val="18"/>
          <w:color w:val="auto"/>
        </w:rPr>
      </w:pPr>
      <w:r>
        <w:rPr>
          <w:rFonts w:ascii="Arial" w:cs="Arial" w:eastAsia="Arial" w:hAnsi="Arial"/>
          <w:sz w:val="18"/>
          <w:szCs w:val="18"/>
          <w:color w:val="auto"/>
        </w:rPr>
        <w:t>A copy of the Constitutional Documents of each Obligor, SCH5 and Melco Resorts Macau.</w:t>
      </w:r>
    </w:p>
    <w:p>
      <w:pPr>
        <w:spacing w:after="0" w:line="130" w:lineRule="exact"/>
        <w:rPr>
          <w:rFonts w:ascii="Arial" w:cs="Arial" w:eastAsia="Arial" w:hAnsi="Arial"/>
          <w:sz w:val="18"/>
          <w:szCs w:val="18"/>
          <w:color w:val="auto"/>
        </w:rPr>
      </w:pPr>
    </w:p>
    <w:p>
      <w:pPr>
        <w:ind w:left="1304" w:right="380" w:hanging="535"/>
        <w:spacing w:after="0" w:line="277" w:lineRule="auto"/>
        <w:tabs>
          <w:tab w:leader="none" w:pos="1304" w:val="left"/>
        </w:tabs>
        <w:numPr>
          <w:ilvl w:val="1"/>
          <w:numId w:val="1242"/>
        </w:numPr>
        <w:rPr>
          <w:rFonts w:ascii="Arial" w:cs="Arial" w:eastAsia="Arial" w:hAnsi="Arial"/>
          <w:sz w:val="18"/>
          <w:szCs w:val="18"/>
          <w:color w:val="auto"/>
        </w:rPr>
      </w:pPr>
      <w:r>
        <w:rPr>
          <w:rFonts w:ascii="Arial" w:cs="Arial" w:eastAsia="Arial" w:hAnsi="Arial"/>
          <w:sz w:val="18"/>
          <w:szCs w:val="18"/>
          <w:color w:val="auto"/>
        </w:rPr>
        <w:t>A copy of an up-to-date certificate of incumbency in respect of each Obligor incorporated in the British Virgin Islands and SCH5, issued by its respective registered agent.</w:t>
      </w:r>
    </w:p>
    <w:p>
      <w:pPr>
        <w:spacing w:after="0" w:line="75" w:lineRule="exact"/>
        <w:rPr>
          <w:rFonts w:ascii="Arial" w:cs="Arial" w:eastAsia="Arial" w:hAnsi="Arial"/>
          <w:sz w:val="18"/>
          <w:szCs w:val="18"/>
          <w:color w:val="auto"/>
        </w:rPr>
      </w:pPr>
    </w:p>
    <w:p>
      <w:pPr>
        <w:ind w:left="1304" w:right="380" w:hanging="535"/>
        <w:spacing w:after="0" w:line="277" w:lineRule="auto"/>
        <w:tabs>
          <w:tab w:leader="none" w:pos="1304" w:val="left"/>
        </w:tabs>
        <w:numPr>
          <w:ilvl w:val="1"/>
          <w:numId w:val="1242"/>
        </w:numPr>
        <w:rPr>
          <w:rFonts w:ascii="Arial" w:cs="Arial" w:eastAsia="Arial" w:hAnsi="Arial"/>
          <w:sz w:val="18"/>
          <w:szCs w:val="18"/>
          <w:color w:val="auto"/>
        </w:rPr>
      </w:pPr>
      <w:r>
        <w:rPr>
          <w:rFonts w:ascii="Arial" w:cs="Arial" w:eastAsia="Arial" w:hAnsi="Arial"/>
          <w:sz w:val="18"/>
          <w:szCs w:val="18"/>
          <w:color w:val="auto"/>
        </w:rPr>
        <w:t>A copy of a certificate of good standing in respect of each Obligor incorporated in the British Virgin Islands and SCH5, issued by Registrar of Corporate Affairs in the British Virgin Islands.</w:t>
      </w:r>
    </w:p>
    <w:p>
      <w:pPr>
        <w:spacing w:after="0" w:line="314" w:lineRule="exact"/>
        <w:rPr>
          <w:rFonts w:ascii="Arial" w:cs="Arial" w:eastAsia="Arial" w:hAnsi="Arial"/>
          <w:sz w:val="18"/>
          <w:szCs w:val="18"/>
          <w:color w:val="auto"/>
        </w:rPr>
      </w:pPr>
    </w:p>
    <w:p>
      <w:pPr>
        <w:ind w:left="764" w:hanging="764"/>
        <w:spacing w:after="0"/>
        <w:tabs>
          <w:tab w:leader="none" w:pos="764" w:val="left"/>
        </w:tabs>
        <w:numPr>
          <w:ilvl w:val="0"/>
          <w:numId w:val="1242"/>
        </w:numPr>
        <w:rPr>
          <w:rFonts w:ascii="Arial" w:cs="Arial" w:eastAsia="Arial" w:hAnsi="Arial"/>
          <w:sz w:val="18"/>
          <w:szCs w:val="18"/>
          <w:color w:val="auto"/>
        </w:rPr>
      </w:pPr>
      <w:r>
        <w:rPr>
          <w:rFonts w:ascii="Arial" w:cs="Arial" w:eastAsia="Arial" w:hAnsi="Arial"/>
          <w:sz w:val="18"/>
          <w:szCs w:val="18"/>
          <w:b w:val="1"/>
          <w:bCs w:val="1"/>
          <w:color w:val="auto"/>
        </w:rPr>
        <w:t>Corporate documents</w:t>
      </w:r>
    </w:p>
    <w:p>
      <w:pPr>
        <w:spacing w:after="0" w:line="134" w:lineRule="exact"/>
        <w:rPr>
          <w:rFonts w:ascii="Arial" w:cs="Arial" w:eastAsia="Arial" w:hAnsi="Arial"/>
          <w:sz w:val="18"/>
          <w:szCs w:val="18"/>
          <w:color w:val="auto"/>
        </w:rPr>
      </w:pPr>
    </w:p>
    <w:p>
      <w:pPr>
        <w:ind w:left="1304" w:right="60" w:hanging="535"/>
        <w:spacing w:after="0" w:line="255" w:lineRule="auto"/>
        <w:tabs>
          <w:tab w:leader="none" w:pos="1304" w:val="left"/>
        </w:tabs>
        <w:numPr>
          <w:ilvl w:val="1"/>
          <w:numId w:val="1242"/>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 SCH5 and Melco Resorts Macau (save if such resolution is not required under the law of incorporation or the Constitutional Documents of that Obligor or SCH5 (as applicable)) approving the terms of, and the transactions contemplated by, the documents referred to in paragraph 3 of this Schedule 2 to which it is a party (the “</w:t>
      </w:r>
      <w:r>
        <w:rPr>
          <w:rFonts w:ascii="Arial" w:cs="Arial" w:eastAsia="Arial" w:hAnsi="Arial"/>
          <w:sz w:val="18"/>
          <w:szCs w:val="18"/>
          <w:b w:val="1"/>
          <w:bCs w:val="1"/>
          <w:color w:val="auto"/>
        </w:rPr>
        <w:t>Documents</w:t>
      </w:r>
      <w:r>
        <w:rPr>
          <w:rFonts w:ascii="Arial" w:cs="Arial" w:eastAsia="Arial" w:hAnsi="Arial"/>
          <w:sz w:val="18"/>
          <w:szCs w:val="18"/>
          <w:color w:val="auto"/>
        </w:rPr>
        <w:t>”) and resolving that it execute, deliver and perform the Documents; authorising a specified person or persons to execute the Documents; and authorising a specified person or persons, on its behalf, to sign and/or despatch all documents and notices under or in connection with the Documents.</w:t>
      </w:r>
    </w:p>
    <w:p>
      <w:pPr>
        <w:spacing w:after="0" w:line="97" w:lineRule="exact"/>
        <w:rPr>
          <w:rFonts w:ascii="Arial" w:cs="Arial" w:eastAsia="Arial" w:hAnsi="Arial"/>
          <w:sz w:val="18"/>
          <w:szCs w:val="18"/>
          <w:color w:val="auto"/>
        </w:rPr>
      </w:pPr>
    </w:p>
    <w:p>
      <w:pPr>
        <w:ind w:left="1304" w:right="380" w:hanging="535"/>
        <w:spacing w:after="0" w:line="308" w:lineRule="auto"/>
        <w:tabs>
          <w:tab w:leader="none" w:pos="1304" w:val="left"/>
        </w:tabs>
        <w:numPr>
          <w:ilvl w:val="1"/>
          <w:numId w:val="1242"/>
        </w:numPr>
        <w:rPr>
          <w:rFonts w:ascii="Arial" w:cs="Arial" w:eastAsia="Arial" w:hAnsi="Arial"/>
          <w:sz w:val="17"/>
          <w:szCs w:val="17"/>
          <w:color w:val="auto"/>
        </w:rPr>
      </w:pPr>
      <w:r>
        <w:rPr>
          <w:rFonts w:ascii="Arial" w:cs="Arial" w:eastAsia="Arial" w:hAnsi="Arial"/>
          <w:sz w:val="17"/>
          <w:szCs w:val="17"/>
          <w:color w:val="auto"/>
        </w:rPr>
        <w:t>A copy of the shareholders’ resolutions of each Obligor (except for the Borrower, the Parent and each Obligor incorporated in the Macau SAR) and SCH5 approving the terms of, and the transactions contemplated by, the Documents.</w:t>
      </w:r>
    </w:p>
    <w:p>
      <w:pPr>
        <w:spacing w:after="0" w:line="51" w:lineRule="exact"/>
        <w:rPr>
          <w:rFonts w:ascii="Arial" w:cs="Arial" w:eastAsia="Arial" w:hAnsi="Arial"/>
          <w:sz w:val="17"/>
          <w:szCs w:val="17"/>
          <w:color w:val="auto"/>
        </w:rPr>
      </w:pPr>
    </w:p>
    <w:p>
      <w:pPr>
        <w:ind w:left="1304" w:right="440" w:hanging="535"/>
        <w:spacing w:after="0" w:line="277" w:lineRule="auto"/>
        <w:tabs>
          <w:tab w:leader="none" w:pos="1304" w:val="left"/>
        </w:tabs>
        <w:numPr>
          <w:ilvl w:val="1"/>
          <w:numId w:val="1242"/>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2(a) above who will sign (or has signed) any of the Documents.</w:t>
      </w:r>
    </w:p>
    <w:p>
      <w:pPr>
        <w:spacing w:after="0" w:line="75" w:lineRule="exact"/>
        <w:rPr>
          <w:rFonts w:ascii="Arial" w:cs="Arial" w:eastAsia="Arial" w:hAnsi="Arial"/>
          <w:sz w:val="18"/>
          <w:szCs w:val="18"/>
          <w:color w:val="auto"/>
        </w:rPr>
      </w:pPr>
    </w:p>
    <w:p>
      <w:pPr>
        <w:ind w:left="1304" w:right="340" w:hanging="535"/>
        <w:spacing w:after="0" w:line="263" w:lineRule="auto"/>
        <w:tabs>
          <w:tab w:leader="none" w:pos="1304" w:val="left"/>
        </w:tabs>
        <w:numPr>
          <w:ilvl w:val="1"/>
          <w:numId w:val="1242"/>
        </w:numPr>
        <w:rPr>
          <w:rFonts w:ascii="Arial" w:cs="Arial" w:eastAsia="Arial" w:hAnsi="Arial"/>
          <w:sz w:val="18"/>
          <w:szCs w:val="18"/>
          <w:color w:val="auto"/>
        </w:rPr>
      </w:pPr>
      <w:r>
        <w:rPr>
          <w:rFonts w:ascii="Arial" w:cs="Arial" w:eastAsia="Arial" w:hAnsi="Arial"/>
          <w:sz w:val="18"/>
          <w:szCs w:val="18"/>
          <w:color w:val="auto"/>
        </w:rPr>
        <w:t>A certificate of an authorised signatory of the Parent certifying that each copy document relating to each Obligor specified in this Schedule 2 is correct, complete and in full force and effect as at a date no earlier than the date of this Agreement and will not have been amended or superseded as of the Effective Date.</w:t>
      </w:r>
    </w:p>
    <w:p>
      <w:pPr>
        <w:spacing w:after="0" w:line="89" w:lineRule="exact"/>
        <w:rPr>
          <w:rFonts w:ascii="Arial" w:cs="Arial" w:eastAsia="Arial" w:hAnsi="Arial"/>
          <w:sz w:val="18"/>
          <w:szCs w:val="18"/>
          <w:color w:val="auto"/>
        </w:rPr>
      </w:pPr>
    </w:p>
    <w:p>
      <w:pPr>
        <w:ind w:left="1304" w:right="80" w:hanging="535"/>
        <w:spacing w:after="0" w:line="263" w:lineRule="auto"/>
        <w:tabs>
          <w:tab w:leader="none" w:pos="1304" w:val="left"/>
        </w:tabs>
        <w:numPr>
          <w:ilvl w:val="1"/>
          <w:numId w:val="1242"/>
        </w:numPr>
        <w:rPr>
          <w:rFonts w:ascii="Arial" w:cs="Arial" w:eastAsia="Arial" w:hAnsi="Arial"/>
          <w:sz w:val="18"/>
          <w:szCs w:val="18"/>
          <w:color w:val="auto"/>
        </w:rPr>
      </w:pPr>
      <w:r>
        <w:rPr>
          <w:rFonts w:ascii="Arial" w:cs="Arial" w:eastAsia="Arial" w:hAnsi="Arial"/>
          <w:sz w:val="18"/>
          <w:szCs w:val="18"/>
          <w:color w:val="auto"/>
        </w:rPr>
        <w:t>A certificate of an authorised signatory of SCH5 certifying that each copy document relating to it specified in this Schedule 2 is correct, complete and in full force and effect as at a date no earlier than the date of this Agreement and will not have been amended or superseded as of the Effective Date.</w:t>
      </w:r>
    </w:p>
    <w:p>
      <w:pPr>
        <w:spacing w:after="0" w:line="89" w:lineRule="exact"/>
        <w:rPr>
          <w:rFonts w:ascii="Arial" w:cs="Arial" w:eastAsia="Arial" w:hAnsi="Arial"/>
          <w:sz w:val="18"/>
          <w:szCs w:val="18"/>
          <w:color w:val="auto"/>
        </w:rPr>
      </w:pPr>
    </w:p>
    <w:p>
      <w:pPr>
        <w:jc w:val="both"/>
        <w:ind w:left="1304" w:right="340" w:hanging="535"/>
        <w:spacing w:after="0" w:line="263" w:lineRule="auto"/>
        <w:tabs>
          <w:tab w:leader="none" w:pos="1304" w:val="left"/>
        </w:tabs>
        <w:numPr>
          <w:ilvl w:val="1"/>
          <w:numId w:val="1242"/>
        </w:numPr>
        <w:rPr>
          <w:rFonts w:ascii="Arial" w:cs="Arial" w:eastAsia="Arial" w:hAnsi="Arial"/>
          <w:sz w:val="18"/>
          <w:szCs w:val="18"/>
          <w:color w:val="auto"/>
        </w:rPr>
      </w:pPr>
      <w:r>
        <w:rPr>
          <w:rFonts w:ascii="Arial" w:cs="Arial" w:eastAsia="Arial" w:hAnsi="Arial"/>
          <w:sz w:val="18"/>
          <w:szCs w:val="18"/>
          <w:color w:val="auto"/>
        </w:rPr>
        <w:t>A certificate of an authorised signatory of Melco Resorts Macau certifying that each copy document relating to it specified in this Schedule 2 is correct, complete and in full force and effect as at a date no earlier than the date of this Agreement and will not have been amended or superseded as of the Effective Date.</w:t>
      </w:r>
    </w:p>
    <w:p>
      <w:pPr>
        <w:spacing w:after="0" w:line="328" w:lineRule="exact"/>
        <w:rPr>
          <w:rFonts w:ascii="Arial" w:cs="Arial" w:eastAsia="Arial" w:hAnsi="Arial"/>
          <w:sz w:val="18"/>
          <w:szCs w:val="18"/>
          <w:color w:val="auto"/>
        </w:rPr>
      </w:pPr>
    </w:p>
    <w:p>
      <w:pPr>
        <w:ind w:left="764" w:hanging="764"/>
        <w:spacing w:after="0"/>
        <w:tabs>
          <w:tab w:leader="none" w:pos="764" w:val="left"/>
        </w:tabs>
        <w:numPr>
          <w:ilvl w:val="0"/>
          <w:numId w:val="1242"/>
        </w:numPr>
        <w:rPr>
          <w:rFonts w:ascii="Arial" w:cs="Arial" w:eastAsia="Arial" w:hAnsi="Arial"/>
          <w:sz w:val="18"/>
          <w:szCs w:val="18"/>
          <w:color w:val="auto"/>
        </w:rPr>
      </w:pPr>
      <w:r>
        <w:rPr>
          <w:rFonts w:ascii="Arial" w:cs="Arial" w:eastAsia="Arial" w:hAnsi="Arial"/>
          <w:sz w:val="18"/>
          <w:szCs w:val="18"/>
          <w:b w:val="1"/>
          <w:bCs w:val="1"/>
          <w:color w:val="auto"/>
        </w:rPr>
        <w:t>Documents</w:t>
      </w:r>
    </w:p>
    <w:p>
      <w:pPr>
        <w:spacing w:after="0" w:line="134" w:lineRule="exact"/>
        <w:rPr>
          <w:rFonts w:ascii="Arial" w:cs="Arial" w:eastAsia="Arial" w:hAnsi="Arial"/>
          <w:sz w:val="18"/>
          <w:szCs w:val="18"/>
          <w:color w:val="auto"/>
        </w:rPr>
      </w:pPr>
    </w:p>
    <w:p>
      <w:pPr>
        <w:ind w:left="1304" w:hanging="535"/>
        <w:spacing w:after="0"/>
        <w:tabs>
          <w:tab w:leader="none" w:pos="1304" w:val="left"/>
        </w:tabs>
        <w:numPr>
          <w:ilvl w:val="1"/>
          <w:numId w:val="1242"/>
        </w:numPr>
        <w:rPr>
          <w:rFonts w:ascii="Arial" w:cs="Arial" w:eastAsia="Arial" w:hAnsi="Arial"/>
          <w:sz w:val="18"/>
          <w:szCs w:val="18"/>
          <w:color w:val="auto"/>
        </w:rPr>
      </w:pPr>
      <w:r>
        <w:rPr>
          <w:rFonts w:ascii="Arial" w:cs="Arial" w:eastAsia="Arial" w:hAnsi="Arial"/>
          <w:sz w:val="18"/>
          <w:szCs w:val="18"/>
          <w:color w:val="auto"/>
        </w:rPr>
        <w:t>A copy of this Agreement duly entered into by the parties thereto.</w:t>
      </w:r>
    </w:p>
    <w:p>
      <w:pPr>
        <w:spacing w:after="0" w:line="130" w:lineRule="exact"/>
        <w:rPr>
          <w:rFonts w:ascii="Arial" w:cs="Arial" w:eastAsia="Arial" w:hAnsi="Arial"/>
          <w:sz w:val="18"/>
          <w:szCs w:val="18"/>
          <w:color w:val="auto"/>
        </w:rPr>
      </w:pPr>
    </w:p>
    <w:p>
      <w:pPr>
        <w:ind w:left="1304" w:hanging="535"/>
        <w:spacing w:after="0"/>
        <w:tabs>
          <w:tab w:leader="none" w:pos="1304" w:val="left"/>
        </w:tabs>
        <w:numPr>
          <w:ilvl w:val="1"/>
          <w:numId w:val="1242"/>
        </w:numPr>
        <w:rPr>
          <w:rFonts w:ascii="Arial" w:cs="Arial" w:eastAsia="Arial" w:hAnsi="Arial"/>
          <w:sz w:val="18"/>
          <w:szCs w:val="18"/>
          <w:color w:val="auto"/>
        </w:rPr>
      </w:pPr>
      <w:r>
        <w:rPr>
          <w:rFonts w:ascii="Arial" w:cs="Arial" w:eastAsia="Arial" w:hAnsi="Arial"/>
          <w:sz w:val="18"/>
          <w:szCs w:val="18"/>
          <w:color w:val="auto"/>
        </w:rPr>
        <w:t>A copy of each Confirmatory Security Document entered into by the parties thereto.</w:t>
      </w:r>
    </w:p>
    <w:p>
      <w:pPr>
        <w:spacing w:after="0" w:line="158"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300" w:type="dxa"/>
            <w:vAlign w:val="bottom"/>
          </w:tcPr>
          <w:p>
            <w:pPr>
              <w:jc w:val="right"/>
              <w:ind w:right="1147"/>
              <w:spacing w:after="0"/>
              <w:rPr>
                <w:sz w:val="20"/>
                <w:szCs w:val="20"/>
                <w:color w:val="auto"/>
              </w:rPr>
            </w:pPr>
            <w:r>
              <w:rPr>
                <w:rFonts w:ascii="Arial" w:cs="Arial" w:eastAsia="Arial" w:hAnsi="Arial"/>
                <w:sz w:val="15"/>
                <w:szCs w:val="15"/>
                <w:color w:val="auto"/>
                <w:w w:val="71"/>
              </w:rPr>
              <w:t>9</w:t>
            </w:r>
          </w:p>
        </w:tc>
        <w:tc>
          <w:tcPr>
            <w:tcW w:w="420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4"/>
          </w:cols>
          <w:pgMar w:left="436" w:top="270" w:right="439" w:bottom="1440" w:gutter="0" w:footer="0" w:header="0"/>
        </w:sectPr>
      </w:pPr>
    </w:p>
    <w:bookmarkStart w:id="810" w:name="page811"/>
    <w:bookmarkEnd w:id="810"/>
    <w:p>
      <w:pPr>
        <w:ind w:left="764" w:hanging="764"/>
        <w:spacing w:after="0"/>
        <w:tabs>
          <w:tab w:leader="none" w:pos="764" w:val="left"/>
        </w:tabs>
        <w:numPr>
          <w:ilvl w:val="0"/>
          <w:numId w:val="124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Opinions</w:t>
      </w:r>
    </w:p>
    <w:p>
      <w:pPr>
        <w:spacing w:after="0" w:line="134" w:lineRule="exact"/>
        <w:rPr>
          <w:rFonts w:ascii="Arial" w:cs="Arial" w:eastAsia="Arial" w:hAnsi="Arial"/>
          <w:sz w:val="18"/>
          <w:szCs w:val="18"/>
          <w:color w:val="auto"/>
        </w:rPr>
      </w:pPr>
    </w:p>
    <w:p>
      <w:pPr>
        <w:ind w:left="1304" w:right="160" w:hanging="535"/>
        <w:spacing w:after="0" w:line="277" w:lineRule="auto"/>
        <w:tabs>
          <w:tab w:leader="none" w:pos="1304" w:val="left"/>
        </w:tabs>
        <w:numPr>
          <w:ilvl w:val="1"/>
          <w:numId w:val="1243"/>
        </w:numPr>
        <w:rPr>
          <w:rFonts w:ascii="Arial" w:cs="Arial" w:eastAsia="Arial" w:hAnsi="Arial"/>
          <w:sz w:val="18"/>
          <w:szCs w:val="18"/>
          <w:color w:val="auto"/>
        </w:rPr>
      </w:pPr>
      <w:r>
        <w:rPr>
          <w:rFonts w:ascii="Arial" w:cs="Arial" w:eastAsia="Arial" w:hAnsi="Arial"/>
          <w:sz w:val="18"/>
          <w:szCs w:val="18"/>
          <w:color w:val="auto"/>
        </w:rPr>
        <w:t>A legal opinion in relation to English law from White &amp; Case, legal advisers to the Agent, substantially in the form distributed to the Agent prior to the signing of this Agreement.</w:t>
      </w:r>
    </w:p>
    <w:p>
      <w:pPr>
        <w:spacing w:after="0" w:line="75" w:lineRule="exact"/>
        <w:rPr>
          <w:rFonts w:ascii="Arial" w:cs="Arial" w:eastAsia="Arial" w:hAnsi="Arial"/>
          <w:sz w:val="18"/>
          <w:szCs w:val="18"/>
          <w:color w:val="auto"/>
        </w:rPr>
      </w:pPr>
    </w:p>
    <w:p>
      <w:pPr>
        <w:ind w:left="1304" w:right="120" w:hanging="535"/>
        <w:spacing w:after="0" w:line="277" w:lineRule="auto"/>
        <w:tabs>
          <w:tab w:leader="none" w:pos="1304" w:val="left"/>
        </w:tabs>
        <w:numPr>
          <w:ilvl w:val="1"/>
          <w:numId w:val="1243"/>
        </w:numPr>
        <w:rPr>
          <w:rFonts w:ascii="Arial" w:cs="Arial" w:eastAsia="Arial" w:hAnsi="Arial"/>
          <w:sz w:val="18"/>
          <w:szCs w:val="18"/>
          <w:color w:val="auto"/>
        </w:rPr>
      </w:pPr>
      <w:r>
        <w:rPr>
          <w:rFonts w:ascii="Arial" w:cs="Arial" w:eastAsia="Arial" w:hAnsi="Arial"/>
          <w:sz w:val="18"/>
          <w:szCs w:val="18"/>
          <w:color w:val="auto"/>
        </w:rPr>
        <w:t>A legal opinion in relation to Hong Kong law from White &amp; Case, legal advisers to the Agent, substantially in the form distributed to the Agent prior to the signing of this Agreement.</w:t>
      </w:r>
    </w:p>
    <w:p>
      <w:pPr>
        <w:spacing w:after="0" w:line="75" w:lineRule="exact"/>
        <w:rPr>
          <w:rFonts w:ascii="Arial" w:cs="Arial" w:eastAsia="Arial" w:hAnsi="Arial"/>
          <w:sz w:val="18"/>
          <w:szCs w:val="18"/>
          <w:color w:val="auto"/>
        </w:rPr>
      </w:pPr>
    </w:p>
    <w:p>
      <w:pPr>
        <w:ind w:left="1304" w:right="20" w:hanging="535"/>
        <w:spacing w:after="0" w:line="277" w:lineRule="auto"/>
        <w:tabs>
          <w:tab w:leader="none" w:pos="1304" w:val="left"/>
        </w:tabs>
        <w:numPr>
          <w:ilvl w:val="1"/>
          <w:numId w:val="1243"/>
        </w:numPr>
        <w:rPr>
          <w:rFonts w:ascii="Arial" w:cs="Arial" w:eastAsia="Arial" w:hAnsi="Arial"/>
          <w:sz w:val="18"/>
          <w:szCs w:val="18"/>
          <w:color w:val="auto"/>
        </w:rPr>
      </w:pPr>
      <w:r>
        <w:rPr>
          <w:rFonts w:ascii="Arial" w:cs="Arial" w:eastAsia="Arial" w:hAnsi="Arial"/>
          <w:sz w:val="18"/>
          <w:szCs w:val="18"/>
          <w:color w:val="auto"/>
        </w:rPr>
        <w:t>A legal opinion in relation to Macanese law from Henrique Saldanha Advogados &amp; Notários, legal advisers to the Agent, substantially in the form distributed to the Agent prior to the signing of this Agreement.</w:t>
      </w:r>
    </w:p>
    <w:p>
      <w:pPr>
        <w:spacing w:after="0" w:line="75" w:lineRule="exact"/>
        <w:rPr>
          <w:rFonts w:ascii="Arial" w:cs="Arial" w:eastAsia="Arial" w:hAnsi="Arial"/>
          <w:sz w:val="18"/>
          <w:szCs w:val="18"/>
          <w:color w:val="auto"/>
        </w:rPr>
      </w:pPr>
    </w:p>
    <w:p>
      <w:pPr>
        <w:ind w:left="1304" w:right="520" w:hanging="535"/>
        <w:spacing w:after="0" w:line="277" w:lineRule="auto"/>
        <w:tabs>
          <w:tab w:leader="none" w:pos="1304" w:val="left"/>
        </w:tabs>
        <w:numPr>
          <w:ilvl w:val="1"/>
          <w:numId w:val="1243"/>
        </w:numPr>
        <w:rPr>
          <w:rFonts w:ascii="Arial" w:cs="Arial" w:eastAsia="Arial" w:hAnsi="Arial"/>
          <w:sz w:val="18"/>
          <w:szCs w:val="18"/>
          <w:color w:val="auto"/>
        </w:rPr>
      </w:pPr>
      <w:r>
        <w:rPr>
          <w:rFonts w:ascii="Arial" w:cs="Arial" w:eastAsia="Arial" w:hAnsi="Arial"/>
          <w:sz w:val="18"/>
          <w:szCs w:val="18"/>
          <w:color w:val="auto"/>
        </w:rPr>
        <w:t>A legal opinion in relation to British Virgin Islands law from Maples and Calder (Hong Kong) LLP, legal advisers to the Agent, substantially in the form distributed to the Agent prior to the signing of this Agreement.</w:t>
      </w:r>
    </w:p>
    <w:p>
      <w:pPr>
        <w:spacing w:after="0" w:line="314" w:lineRule="exact"/>
        <w:rPr>
          <w:rFonts w:ascii="Arial" w:cs="Arial" w:eastAsia="Arial" w:hAnsi="Arial"/>
          <w:sz w:val="18"/>
          <w:szCs w:val="18"/>
          <w:color w:val="auto"/>
        </w:rPr>
      </w:pPr>
    </w:p>
    <w:p>
      <w:pPr>
        <w:ind w:left="764" w:hanging="764"/>
        <w:spacing w:after="0"/>
        <w:tabs>
          <w:tab w:leader="none" w:pos="764" w:val="left"/>
        </w:tabs>
        <w:numPr>
          <w:ilvl w:val="0"/>
          <w:numId w:val="1243"/>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121" w:lineRule="exact"/>
        <w:rPr>
          <w:rFonts w:ascii="Arial" w:cs="Arial" w:eastAsia="Arial" w:hAnsi="Arial"/>
          <w:sz w:val="18"/>
          <w:szCs w:val="18"/>
          <w:color w:val="auto"/>
        </w:rPr>
      </w:pPr>
    </w:p>
    <w:p>
      <w:pPr>
        <w:ind w:left="764" w:right="60"/>
        <w:spacing w:after="0" w:line="277" w:lineRule="auto"/>
        <w:rPr>
          <w:rFonts w:ascii="Arial" w:cs="Arial" w:eastAsia="Arial" w:hAnsi="Arial"/>
          <w:sz w:val="18"/>
          <w:szCs w:val="18"/>
          <w:color w:val="auto"/>
        </w:rPr>
      </w:pPr>
      <w:r>
        <w:rPr>
          <w:rFonts w:ascii="Arial" w:cs="Arial" w:eastAsia="Arial" w:hAnsi="Arial"/>
          <w:sz w:val="18"/>
          <w:szCs w:val="18"/>
          <w:color w:val="auto"/>
        </w:rPr>
        <w:t>Evidence that all Taxes, fees, costs and expenses then due and payable from the Borrower under this Agreement have been or will be paid on, prior to or shortly after the Effective Date.</w:t>
      </w:r>
    </w:p>
    <w:p>
      <w:pPr>
        <w:spacing w:after="0" w:line="314" w:lineRule="exact"/>
        <w:rPr>
          <w:rFonts w:ascii="Arial" w:cs="Arial" w:eastAsia="Arial" w:hAnsi="Arial"/>
          <w:sz w:val="18"/>
          <w:szCs w:val="18"/>
          <w:color w:val="auto"/>
        </w:rPr>
      </w:pPr>
    </w:p>
    <w:p>
      <w:pPr>
        <w:ind w:left="764" w:hanging="764"/>
        <w:spacing w:after="0"/>
        <w:tabs>
          <w:tab w:leader="none" w:pos="764" w:val="left"/>
        </w:tabs>
        <w:numPr>
          <w:ilvl w:val="0"/>
          <w:numId w:val="1243"/>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134" w:lineRule="exact"/>
        <w:rPr>
          <w:rFonts w:ascii="Arial" w:cs="Arial" w:eastAsia="Arial" w:hAnsi="Arial"/>
          <w:sz w:val="18"/>
          <w:szCs w:val="18"/>
          <w:color w:val="auto"/>
        </w:rPr>
      </w:pPr>
    </w:p>
    <w:p>
      <w:pPr>
        <w:ind w:left="1304" w:hanging="535"/>
        <w:spacing w:after="0"/>
        <w:tabs>
          <w:tab w:leader="none" w:pos="1304" w:val="left"/>
        </w:tabs>
        <w:numPr>
          <w:ilvl w:val="1"/>
          <w:numId w:val="1243"/>
        </w:numPr>
        <w:rPr>
          <w:rFonts w:ascii="Arial" w:cs="Arial" w:eastAsia="Arial" w:hAnsi="Arial"/>
          <w:sz w:val="18"/>
          <w:szCs w:val="18"/>
          <w:color w:val="auto"/>
        </w:rPr>
      </w:pPr>
      <w:r>
        <w:rPr>
          <w:rFonts w:ascii="Arial" w:cs="Arial" w:eastAsia="Arial" w:hAnsi="Arial"/>
          <w:sz w:val="18"/>
          <w:szCs w:val="18"/>
          <w:color w:val="auto"/>
        </w:rPr>
        <w:t>A copy of the Group Structure Chart.</w:t>
      </w:r>
    </w:p>
    <w:p>
      <w:pPr>
        <w:spacing w:after="0" w:line="130" w:lineRule="exact"/>
        <w:rPr>
          <w:rFonts w:ascii="Arial" w:cs="Arial" w:eastAsia="Arial" w:hAnsi="Arial"/>
          <w:sz w:val="18"/>
          <w:szCs w:val="18"/>
          <w:color w:val="auto"/>
        </w:rPr>
      </w:pPr>
    </w:p>
    <w:p>
      <w:pPr>
        <w:ind w:left="1304" w:right="640" w:hanging="535"/>
        <w:spacing w:after="0" w:line="277" w:lineRule="auto"/>
        <w:tabs>
          <w:tab w:leader="none" w:pos="1304" w:val="left"/>
        </w:tabs>
        <w:numPr>
          <w:ilvl w:val="1"/>
          <w:numId w:val="1243"/>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Group for the financial year ending 31 December 2019 and the unaudited consolidated financial statements of the Group for the financial half-year ending 30 June 2020.</w:t>
      </w:r>
    </w:p>
    <w:p>
      <w:pPr>
        <w:spacing w:after="0" w:line="75" w:lineRule="exact"/>
        <w:rPr>
          <w:rFonts w:ascii="Arial" w:cs="Arial" w:eastAsia="Arial" w:hAnsi="Arial"/>
          <w:sz w:val="18"/>
          <w:szCs w:val="18"/>
          <w:color w:val="auto"/>
        </w:rPr>
      </w:pPr>
    </w:p>
    <w:p>
      <w:pPr>
        <w:ind w:left="1304" w:right="220" w:hanging="535"/>
        <w:spacing w:after="0" w:line="277" w:lineRule="auto"/>
        <w:tabs>
          <w:tab w:leader="none" w:pos="1304" w:val="left"/>
        </w:tabs>
        <w:numPr>
          <w:ilvl w:val="1"/>
          <w:numId w:val="1243"/>
        </w:numPr>
        <w:rPr>
          <w:rFonts w:ascii="Arial" w:cs="Arial" w:eastAsia="Arial" w:hAnsi="Arial"/>
          <w:sz w:val="18"/>
          <w:szCs w:val="18"/>
          <w:color w:val="auto"/>
        </w:rPr>
      </w:pPr>
      <w:r>
        <w:rPr>
          <w:rFonts w:ascii="Arial" w:cs="Arial" w:eastAsia="Arial" w:hAnsi="Arial"/>
          <w:sz w:val="18"/>
          <w:szCs w:val="18"/>
          <w:color w:val="auto"/>
        </w:rPr>
        <w:t>Evidence that the agents of the Obligors and SCH5 under the Amendment Transaction Documents for service of process in England and Hong Kong respectively have accepted their appointments.</w:t>
      </w:r>
    </w:p>
    <w:p>
      <w:pPr>
        <w:spacing w:after="0" w:line="103"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Arial" w:cs="Arial" w:eastAsia="Arial" w:hAnsi="Arial"/>
                <w:sz w:val="18"/>
                <w:szCs w:val="18"/>
                <w:color w:val="auto"/>
                <w:w w:val="79"/>
              </w:rPr>
              <w:t>10</w:t>
            </w:r>
          </w:p>
        </w:tc>
        <w:tc>
          <w:tcPr>
            <w:tcW w:w="418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4"/>
          </w:cols>
          <w:pgMar w:left="436" w:top="270" w:right="439" w:bottom="1440" w:gutter="0" w:footer="0" w:header="0"/>
        </w:sectPr>
      </w:pPr>
    </w:p>
    <w:bookmarkStart w:id="811" w:name="page812"/>
    <w:bookmarkEnd w:id="8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Confirmatory Security Documents</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Offshore Confirmatory Security</w:t>
      </w:r>
    </w:p>
    <w:p>
      <w:pPr>
        <w:spacing w:after="0" w:line="116" w:lineRule="exact"/>
        <w:rPr>
          <w:sz w:val="20"/>
          <w:szCs w:val="20"/>
          <w:color w:val="auto"/>
        </w:rPr>
      </w:pPr>
    </w:p>
    <w:p>
      <w:pPr>
        <w:ind w:left="764" w:right="160" w:hanging="764"/>
        <w:spacing w:after="0" w:line="277" w:lineRule="auto"/>
        <w:tabs>
          <w:tab w:leader="none" w:pos="764" w:val="left"/>
        </w:tabs>
        <w:numPr>
          <w:ilvl w:val="0"/>
          <w:numId w:val="1244"/>
        </w:numPr>
        <w:rPr>
          <w:rFonts w:ascii="Arial" w:cs="Arial" w:eastAsia="Arial" w:hAnsi="Arial"/>
          <w:sz w:val="18"/>
          <w:szCs w:val="18"/>
          <w:color w:val="auto"/>
        </w:rPr>
      </w:pPr>
      <w:r>
        <w:rPr>
          <w:rFonts w:ascii="Arial" w:cs="Arial" w:eastAsia="Arial" w:hAnsi="Arial"/>
          <w:sz w:val="18"/>
          <w:szCs w:val="18"/>
          <w:color w:val="auto"/>
        </w:rPr>
        <w:t>A second composite deed of confirmatory security to be entered into (among others) by the Borrower, the Parent, Studio City Holdings Two Limited and SCP Holdings Limited with respect to:</w:t>
      </w:r>
    </w:p>
    <w:p>
      <w:pPr>
        <w:spacing w:after="0" w:line="75" w:lineRule="exact"/>
        <w:rPr>
          <w:rFonts w:ascii="Arial" w:cs="Arial" w:eastAsia="Arial" w:hAnsi="Arial"/>
          <w:sz w:val="18"/>
          <w:szCs w:val="18"/>
          <w:color w:val="auto"/>
        </w:rPr>
      </w:pPr>
    </w:p>
    <w:p>
      <w:pPr>
        <w:jc w:val="both"/>
        <w:ind w:left="1304" w:right="260" w:hanging="535"/>
        <w:spacing w:after="0" w:line="263" w:lineRule="auto"/>
        <w:tabs>
          <w:tab w:leader="none" w:pos="1304" w:val="left"/>
        </w:tabs>
        <w:numPr>
          <w:ilvl w:val="1"/>
          <w:numId w:val="1244"/>
        </w:numPr>
        <w:rPr>
          <w:rFonts w:ascii="Arial" w:cs="Arial" w:eastAsia="Arial" w:hAnsi="Arial"/>
          <w:sz w:val="18"/>
          <w:szCs w:val="18"/>
          <w:color w:val="auto"/>
        </w:rPr>
      </w:pPr>
      <w:r>
        <w:rPr>
          <w:rFonts w:ascii="Arial" w:cs="Arial" w:eastAsia="Arial" w:hAnsi="Arial"/>
          <w:sz w:val="18"/>
          <w:szCs w:val="18"/>
          <w:color w:val="auto"/>
        </w:rPr>
        <w:t>the charge over all present and future shares of the Borrower held by the Parent, granted by the Parent dated 26 November 2013 (as amended by a composite deed of confirmatory security dated 1 December 2016 and as amended, novated, supplemented, extended, replaced or restated from time to time);</w:t>
      </w:r>
    </w:p>
    <w:p>
      <w:pPr>
        <w:spacing w:after="0" w:line="89" w:lineRule="exact"/>
        <w:rPr>
          <w:rFonts w:ascii="Arial" w:cs="Arial" w:eastAsia="Arial" w:hAnsi="Arial"/>
          <w:sz w:val="18"/>
          <w:szCs w:val="18"/>
          <w:color w:val="auto"/>
        </w:rPr>
      </w:pPr>
    </w:p>
    <w:p>
      <w:pPr>
        <w:ind w:left="1304" w:right="380" w:hanging="535"/>
        <w:spacing w:after="0" w:line="263" w:lineRule="auto"/>
        <w:tabs>
          <w:tab w:leader="none" w:pos="1304" w:val="left"/>
        </w:tabs>
        <w:numPr>
          <w:ilvl w:val="1"/>
          <w:numId w:val="1244"/>
        </w:numPr>
        <w:rPr>
          <w:rFonts w:ascii="Arial" w:cs="Arial" w:eastAsia="Arial" w:hAnsi="Arial"/>
          <w:sz w:val="18"/>
          <w:szCs w:val="18"/>
          <w:color w:val="auto"/>
        </w:rPr>
      </w:pPr>
      <w:r>
        <w:rPr>
          <w:rFonts w:ascii="Arial" w:cs="Arial" w:eastAsia="Arial" w:hAnsi="Arial"/>
          <w:sz w:val="18"/>
          <w:szCs w:val="18"/>
          <w:color w:val="auto"/>
        </w:rPr>
        <w:t>the charge over all present and future shares of Studio City Holdings Two Limited held by the Borrower, granted by the Borrower dated 26 November 2013 (as amended by a composite deed of confirmatory security dated 1 December 2016 and as amended, novated, supplemented, extended, replaced or restated from time to time);</w:t>
      </w:r>
    </w:p>
    <w:p>
      <w:pPr>
        <w:spacing w:after="0" w:line="89" w:lineRule="exact"/>
        <w:rPr>
          <w:rFonts w:ascii="Arial" w:cs="Arial" w:eastAsia="Arial" w:hAnsi="Arial"/>
          <w:sz w:val="18"/>
          <w:szCs w:val="18"/>
          <w:color w:val="auto"/>
        </w:rPr>
      </w:pPr>
    </w:p>
    <w:p>
      <w:pPr>
        <w:ind w:left="1304" w:right="260" w:hanging="535"/>
        <w:spacing w:after="0" w:line="286" w:lineRule="auto"/>
        <w:tabs>
          <w:tab w:leader="none" w:pos="1304" w:val="left"/>
        </w:tabs>
        <w:numPr>
          <w:ilvl w:val="1"/>
          <w:numId w:val="1244"/>
        </w:numPr>
        <w:rPr>
          <w:rFonts w:ascii="Arial" w:cs="Arial" w:eastAsia="Arial" w:hAnsi="Arial"/>
          <w:sz w:val="17"/>
          <w:szCs w:val="17"/>
          <w:color w:val="auto"/>
        </w:rPr>
      </w:pPr>
      <w:r>
        <w:rPr>
          <w:rFonts w:ascii="Arial" w:cs="Arial" w:eastAsia="Arial" w:hAnsi="Arial"/>
          <w:sz w:val="17"/>
          <w:szCs w:val="17"/>
          <w:color w:val="auto"/>
        </w:rPr>
        <w:t>the charge over all present and future shares in Studio City Holdings Three Limited held by Studio City Holdings Two Limited, granted by Studio City Holdings Two Limited dated 26 November 2013 (as amended by a composite deed of confirmatory security dated 1 December 2016 and as amended, novated, supplemented, extended, replaced or restated from time to time);</w:t>
      </w:r>
    </w:p>
    <w:p>
      <w:pPr>
        <w:spacing w:after="0" w:line="70" w:lineRule="exact"/>
        <w:rPr>
          <w:rFonts w:ascii="Arial" w:cs="Arial" w:eastAsia="Arial" w:hAnsi="Arial"/>
          <w:sz w:val="17"/>
          <w:szCs w:val="17"/>
          <w:color w:val="auto"/>
        </w:rPr>
      </w:pPr>
    </w:p>
    <w:p>
      <w:pPr>
        <w:ind w:left="1304" w:right="20" w:hanging="535"/>
        <w:spacing w:after="0" w:line="291" w:lineRule="auto"/>
        <w:tabs>
          <w:tab w:leader="none" w:pos="1304" w:val="left"/>
        </w:tabs>
        <w:numPr>
          <w:ilvl w:val="1"/>
          <w:numId w:val="1244"/>
        </w:numPr>
        <w:rPr>
          <w:rFonts w:ascii="Arial" w:cs="Arial" w:eastAsia="Arial" w:hAnsi="Arial"/>
          <w:sz w:val="16"/>
          <w:szCs w:val="16"/>
          <w:color w:val="auto"/>
        </w:rPr>
      </w:pPr>
      <w:r>
        <w:rPr>
          <w:rFonts w:ascii="Arial" w:cs="Arial" w:eastAsia="Arial" w:hAnsi="Arial"/>
          <w:sz w:val="16"/>
          <w:szCs w:val="16"/>
          <w:color w:val="auto"/>
        </w:rPr>
        <w:t>the charge over all present and future shares in Studio City Holdings Four Limited held by Studio City Holdings Two Limited, granted by Studio City Holdings Two Limited dated 26 November 2013 (as amended by a composite deed of confirmatory security dated</w:t>
      </w:r>
    </w:p>
    <w:p>
      <w:pPr>
        <w:ind w:left="1304"/>
        <w:spacing w:after="0"/>
        <w:rPr>
          <w:rFonts w:ascii="Arial" w:cs="Arial" w:eastAsia="Arial" w:hAnsi="Arial"/>
          <w:sz w:val="16"/>
          <w:szCs w:val="16"/>
          <w:color w:val="auto"/>
        </w:rPr>
      </w:pPr>
      <w:r>
        <w:rPr>
          <w:rFonts w:ascii="Arial" w:cs="Arial" w:eastAsia="Arial" w:hAnsi="Arial"/>
          <w:sz w:val="18"/>
          <w:szCs w:val="18"/>
          <w:color w:val="auto"/>
        </w:rPr>
        <w:t>1 December 2016 and as amended, novated, supplemented, extended, replaced or restated from time to time);</w:t>
      </w:r>
    </w:p>
    <w:p>
      <w:pPr>
        <w:spacing w:after="0" w:line="116" w:lineRule="exact"/>
        <w:rPr>
          <w:rFonts w:ascii="Arial" w:cs="Arial" w:eastAsia="Arial" w:hAnsi="Arial"/>
          <w:sz w:val="16"/>
          <w:szCs w:val="16"/>
          <w:color w:val="auto"/>
        </w:rPr>
      </w:pPr>
    </w:p>
    <w:p>
      <w:pPr>
        <w:ind w:left="1304" w:right="180" w:hanging="535"/>
        <w:spacing w:after="0" w:line="286" w:lineRule="auto"/>
        <w:tabs>
          <w:tab w:leader="none" w:pos="1304" w:val="left"/>
        </w:tabs>
        <w:numPr>
          <w:ilvl w:val="1"/>
          <w:numId w:val="1244"/>
        </w:numPr>
        <w:rPr>
          <w:rFonts w:ascii="Arial" w:cs="Arial" w:eastAsia="Arial" w:hAnsi="Arial"/>
          <w:sz w:val="17"/>
          <w:szCs w:val="17"/>
          <w:color w:val="auto"/>
        </w:rPr>
      </w:pPr>
      <w:r>
        <w:rPr>
          <w:rFonts w:ascii="Arial" w:cs="Arial" w:eastAsia="Arial" w:hAnsi="Arial"/>
          <w:sz w:val="17"/>
          <w:szCs w:val="17"/>
          <w:color w:val="auto"/>
        </w:rPr>
        <w:t>the charge over all present and future shares in SCP Holdings Limited held by Studio City Holdings Two Limited, granted by Studio City Holdings Two Limited dated 26 November 2013 (as amended by a composite deed of confirmatory security dated 1 December 2016 and as amended, novated, supplemented, extended, replaced or restated from time to time);</w:t>
      </w:r>
    </w:p>
    <w:p>
      <w:pPr>
        <w:spacing w:after="0" w:line="70" w:lineRule="exact"/>
        <w:rPr>
          <w:rFonts w:ascii="Arial" w:cs="Arial" w:eastAsia="Arial" w:hAnsi="Arial"/>
          <w:sz w:val="17"/>
          <w:szCs w:val="17"/>
          <w:color w:val="auto"/>
        </w:rPr>
      </w:pPr>
    </w:p>
    <w:p>
      <w:pPr>
        <w:ind w:left="1304" w:right="120" w:hanging="535"/>
        <w:spacing w:after="0" w:line="286" w:lineRule="auto"/>
        <w:tabs>
          <w:tab w:leader="none" w:pos="1304" w:val="left"/>
        </w:tabs>
        <w:numPr>
          <w:ilvl w:val="1"/>
          <w:numId w:val="1244"/>
        </w:numPr>
        <w:rPr>
          <w:rFonts w:ascii="Arial" w:cs="Arial" w:eastAsia="Arial" w:hAnsi="Arial"/>
          <w:sz w:val="17"/>
          <w:szCs w:val="17"/>
          <w:color w:val="auto"/>
        </w:rPr>
      </w:pPr>
      <w:r>
        <w:rPr>
          <w:rFonts w:ascii="Arial" w:cs="Arial" w:eastAsia="Arial" w:hAnsi="Arial"/>
          <w:sz w:val="17"/>
          <w:szCs w:val="17"/>
          <w:color w:val="auto"/>
        </w:rPr>
        <w:t>the charge over all present and future shares in SCIP Holdings Limited held by Studio City Holdings Two Limited, granted by Studio City Holdings Two Limited dated 26 November 2013 (as amended by a composite deed of confirmatory security dated 1 December 2016 and as amended, novated, supplemented, extended, replaced or restated from time to time);</w:t>
      </w:r>
    </w:p>
    <w:p>
      <w:pPr>
        <w:spacing w:after="0" w:line="70" w:lineRule="exact"/>
        <w:rPr>
          <w:rFonts w:ascii="Arial" w:cs="Arial" w:eastAsia="Arial" w:hAnsi="Arial"/>
          <w:sz w:val="17"/>
          <w:szCs w:val="17"/>
          <w:color w:val="auto"/>
        </w:rPr>
      </w:pPr>
    </w:p>
    <w:p>
      <w:pPr>
        <w:ind w:left="1304" w:right="240" w:hanging="535"/>
        <w:spacing w:after="0" w:line="263" w:lineRule="auto"/>
        <w:tabs>
          <w:tab w:leader="none" w:pos="1304" w:val="left"/>
        </w:tabs>
        <w:numPr>
          <w:ilvl w:val="1"/>
          <w:numId w:val="1244"/>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SCP One Limited held by SCP Holdings Limited, granted by SCP Holdings Limited dated 26 November 2013 (as amended by a composite deed of confirmatory security dated 1 December 2016 and as amended, novated, supplemented, extended, replaced or restated from time to time);</w:t>
      </w:r>
    </w:p>
    <w:p>
      <w:pPr>
        <w:spacing w:after="0" w:line="89" w:lineRule="exact"/>
        <w:rPr>
          <w:rFonts w:ascii="Arial" w:cs="Arial" w:eastAsia="Arial" w:hAnsi="Arial"/>
          <w:sz w:val="18"/>
          <w:szCs w:val="18"/>
          <w:color w:val="auto"/>
        </w:rPr>
      </w:pPr>
    </w:p>
    <w:p>
      <w:pPr>
        <w:ind w:left="1304" w:right="220" w:hanging="535"/>
        <w:spacing w:after="0" w:line="263" w:lineRule="auto"/>
        <w:tabs>
          <w:tab w:leader="none" w:pos="1304" w:val="left"/>
        </w:tabs>
        <w:numPr>
          <w:ilvl w:val="1"/>
          <w:numId w:val="1244"/>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SCP Two Limited held by SCP Holdings Limited, granted by SCP Holdings Limited dated 26 November 2013 (as amended by a composite deed of confirmatory security dated 1 December 2016 and as amended, novated, supplemented, extended, replaced or restated from time to time); and</w:t>
      </w:r>
    </w:p>
    <w:p>
      <w:pPr>
        <w:spacing w:after="0" w:line="11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Arial" w:cs="Arial" w:eastAsia="Arial" w:hAnsi="Arial"/>
                <w:sz w:val="18"/>
                <w:szCs w:val="18"/>
                <w:color w:val="auto"/>
                <w:w w:val="79"/>
              </w:rPr>
              <w:t>11</w:t>
            </w:r>
          </w:p>
        </w:tc>
        <w:tc>
          <w:tcPr>
            <w:tcW w:w="418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4"/>
          </w:cols>
          <w:pgMar w:left="436" w:top="270" w:right="439" w:bottom="1440" w:gutter="0" w:footer="0" w:header="0"/>
        </w:sectPr>
      </w:pPr>
    </w:p>
    <w:bookmarkStart w:id="812" w:name="page813"/>
    <w:bookmarkEnd w:id="812"/>
    <w:p>
      <w:pPr>
        <w:ind w:left="1304" w:right="60" w:hanging="535"/>
        <w:spacing w:after="0" w:line="263" w:lineRule="auto"/>
        <w:tabs>
          <w:tab w:leader="none" w:pos="1304" w:val="left"/>
        </w:tabs>
        <w:numPr>
          <w:ilvl w:val="1"/>
          <w:numId w:val="1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composite deed of confirmatory security entered into (among others) by the Borrower, the Parent, Studio City Holdings Two Limited and SCP Holdings Limited dated 1 December 2016 (as amended, novated, supplemented, extended, replaced or restated from time to time).</w:t>
      </w:r>
    </w:p>
    <w:p>
      <w:pPr>
        <w:spacing w:after="0" w:line="89" w:lineRule="exact"/>
        <w:rPr>
          <w:rFonts w:ascii="Arial" w:cs="Arial" w:eastAsia="Arial" w:hAnsi="Arial"/>
          <w:sz w:val="18"/>
          <w:szCs w:val="18"/>
          <w:color w:val="auto"/>
        </w:rPr>
      </w:pPr>
    </w:p>
    <w:p>
      <w:pPr>
        <w:jc w:val="both"/>
        <w:ind w:left="764" w:right="300" w:hanging="764"/>
        <w:spacing w:after="0" w:line="279" w:lineRule="auto"/>
        <w:tabs>
          <w:tab w:leader="none" w:pos="764" w:val="left"/>
        </w:tabs>
        <w:numPr>
          <w:ilvl w:val="0"/>
          <w:numId w:val="1246"/>
        </w:numPr>
        <w:rPr>
          <w:rFonts w:ascii="Arial" w:cs="Arial" w:eastAsia="Arial" w:hAnsi="Arial"/>
          <w:sz w:val="17"/>
          <w:szCs w:val="17"/>
          <w:color w:val="auto"/>
        </w:rPr>
      </w:pPr>
      <w:r>
        <w:rPr>
          <w:rFonts w:ascii="Arial" w:cs="Arial" w:eastAsia="Arial" w:hAnsi="Arial"/>
          <w:sz w:val="17"/>
          <w:szCs w:val="17"/>
          <w:color w:val="auto"/>
        </w:rPr>
        <w:t>A second deed of confirmatory security to be entered into (among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with respect to:</w:t>
      </w:r>
    </w:p>
    <w:p>
      <w:pPr>
        <w:spacing w:after="0" w:line="76" w:lineRule="exact"/>
        <w:rPr>
          <w:rFonts w:ascii="Arial" w:cs="Arial" w:eastAsia="Arial" w:hAnsi="Arial"/>
          <w:sz w:val="17"/>
          <w:szCs w:val="17"/>
          <w:color w:val="auto"/>
        </w:rPr>
      </w:pPr>
    </w:p>
    <w:p>
      <w:pPr>
        <w:ind w:left="1304" w:right="120" w:hanging="535"/>
        <w:spacing w:after="0" w:line="255" w:lineRule="auto"/>
        <w:tabs>
          <w:tab w:leader="none" w:pos="1304" w:val="left"/>
        </w:tabs>
        <w:numPr>
          <w:ilvl w:val="1"/>
          <w:numId w:val="1246"/>
        </w:numPr>
        <w:rPr>
          <w:rFonts w:ascii="Arial" w:cs="Arial" w:eastAsia="Arial" w:hAnsi="Arial"/>
          <w:sz w:val="18"/>
          <w:szCs w:val="18"/>
          <w:color w:val="auto"/>
        </w:rPr>
      </w:pPr>
      <w:r>
        <w:rPr>
          <w:rFonts w:ascii="Arial" w:cs="Arial" w:eastAsia="Arial" w:hAnsi="Arial"/>
          <w:sz w:val="18"/>
          <w:szCs w:val="18"/>
          <w:color w:val="auto"/>
        </w:rPr>
        <w:t>the debenture entered into (amongst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 26 November 2013 (as amended by a deed of confirmatory security dated 1 December 2016 and as amended, novated, supplemented, extended, replaced or restated from time to time); and</w:t>
      </w:r>
    </w:p>
    <w:p>
      <w:pPr>
        <w:spacing w:after="0" w:line="97" w:lineRule="exact"/>
        <w:rPr>
          <w:rFonts w:ascii="Arial" w:cs="Arial" w:eastAsia="Arial" w:hAnsi="Arial"/>
          <w:sz w:val="18"/>
          <w:szCs w:val="18"/>
          <w:color w:val="auto"/>
        </w:rPr>
      </w:pPr>
    </w:p>
    <w:p>
      <w:pPr>
        <w:ind w:left="1304" w:right="60" w:hanging="535"/>
        <w:spacing w:after="0" w:line="275" w:lineRule="auto"/>
        <w:tabs>
          <w:tab w:leader="none" w:pos="1304" w:val="left"/>
        </w:tabs>
        <w:numPr>
          <w:ilvl w:val="1"/>
          <w:numId w:val="1246"/>
        </w:numPr>
        <w:rPr>
          <w:rFonts w:ascii="Arial" w:cs="Arial" w:eastAsia="Arial" w:hAnsi="Arial"/>
          <w:sz w:val="17"/>
          <w:szCs w:val="17"/>
          <w:color w:val="auto"/>
        </w:rPr>
      </w:pPr>
      <w:r>
        <w:rPr>
          <w:rFonts w:ascii="Arial" w:cs="Arial" w:eastAsia="Arial" w:hAnsi="Arial"/>
          <w:sz w:val="17"/>
          <w:szCs w:val="17"/>
          <w:color w:val="auto"/>
        </w:rPr>
        <w:t>the deed of confirmatory security entered into (among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 1 December 2016 (as amended, novated, supplemented, extended, replaced or restated from time to time).</w:t>
      </w:r>
    </w:p>
    <w:p>
      <w:pPr>
        <w:spacing w:after="0" w:line="81" w:lineRule="exact"/>
        <w:rPr>
          <w:rFonts w:ascii="Arial" w:cs="Arial" w:eastAsia="Arial" w:hAnsi="Arial"/>
          <w:sz w:val="17"/>
          <w:szCs w:val="17"/>
          <w:color w:val="auto"/>
        </w:rPr>
      </w:pPr>
    </w:p>
    <w:p>
      <w:pPr>
        <w:ind w:left="764" w:hanging="764"/>
        <w:spacing w:after="0"/>
        <w:tabs>
          <w:tab w:leader="none" w:pos="764" w:val="left"/>
        </w:tabs>
        <w:numPr>
          <w:ilvl w:val="0"/>
          <w:numId w:val="1246"/>
        </w:numPr>
        <w:rPr>
          <w:rFonts w:ascii="Arial" w:cs="Arial" w:eastAsia="Arial" w:hAnsi="Arial"/>
          <w:sz w:val="18"/>
          <w:szCs w:val="18"/>
          <w:color w:val="auto"/>
        </w:rPr>
      </w:pPr>
      <w:r>
        <w:rPr>
          <w:rFonts w:ascii="Arial" w:cs="Arial" w:eastAsia="Arial" w:hAnsi="Arial"/>
          <w:sz w:val="18"/>
          <w:szCs w:val="18"/>
          <w:color w:val="auto"/>
        </w:rPr>
        <w:t>A second deed of confirmatory security to be entered into by SCH5 and the Common Security Agent with respect to:</w:t>
      </w:r>
    </w:p>
    <w:p>
      <w:pPr>
        <w:spacing w:after="0" w:line="130" w:lineRule="exact"/>
        <w:rPr>
          <w:rFonts w:ascii="Arial" w:cs="Arial" w:eastAsia="Arial" w:hAnsi="Arial"/>
          <w:sz w:val="18"/>
          <w:szCs w:val="18"/>
          <w:color w:val="auto"/>
        </w:rPr>
      </w:pPr>
    </w:p>
    <w:p>
      <w:pPr>
        <w:jc w:val="both"/>
        <w:ind w:left="1304" w:right="240" w:hanging="535"/>
        <w:spacing w:after="0" w:line="263" w:lineRule="auto"/>
        <w:tabs>
          <w:tab w:leader="none" w:pos="1304" w:val="left"/>
        </w:tabs>
        <w:numPr>
          <w:ilvl w:val="1"/>
          <w:numId w:val="1246"/>
        </w:numPr>
        <w:rPr>
          <w:rFonts w:ascii="Arial" w:cs="Arial" w:eastAsia="Arial" w:hAnsi="Arial"/>
          <w:sz w:val="18"/>
          <w:szCs w:val="18"/>
          <w:color w:val="auto"/>
        </w:rPr>
      </w:pPr>
      <w:r>
        <w:rPr>
          <w:rFonts w:ascii="Arial" w:cs="Arial" w:eastAsia="Arial" w:hAnsi="Arial"/>
          <w:sz w:val="18"/>
          <w:szCs w:val="18"/>
          <w:color w:val="auto"/>
        </w:rPr>
        <w:t>the debenture entered into by SCH5 and the Common Security Agent as security agent dated 18 September 2015 (as amended by a deed of confirmatory security dated 1 December 2016 and as amended, novated, supplemented, extended, replaced or restated from time to time); and</w:t>
      </w:r>
    </w:p>
    <w:p>
      <w:pPr>
        <w:spacing w:after="0" w:line="89" w:lineRule="exact"/>
        <w:rPr>
          <w:rFonts w:ascii="Arial" w:cs="Arial" w:eastAsia="Arial" w:hAnsi="Arial"/>
          <w:sz w:val="18"/>
          <w:szCs w:val="18"/>
          <w:color w:val="auto"/>
        </w:rPr>
      </w:pPr>
    </w:p>
    <w:p>
      <w:pPr>
        <w:ind w:left="1304" w:right="540" w:hanging="535"/>
        <w:spacing w:after="0" w:line="277" w:lineRule="auto"/>
        <w:tabs>
          <w:tab w:leader="none" w:pos="1304" w:val="left"/>
        </w:tabs>
        <w:numPr>
          <w:ilvl w:val="1"/>
          <w:numId w:val="1246"/>
        </w:numPr>
        <w:rPr>
          <w:rFonts w:ascii="Arial" w:cs="Arial" w:eastAsia="Arial" w:hAnsi="Arial"/>
          <w:sz w:val="18"/>
          <w:szCs w:val="18"/>
          <w:color w:val="auto"/>
        </w:rPr>
      </w:pPr>
      <w:r>
        <w:rPr>
          <w:rFonts w:ascii="Arial" w:cs="Arial" w:eastAsia="Arial" w:hAnsi="Arial"/>
          <w:sz w:val="18"/>
          <w:szCs w:val="18"/>
          <w:color w:val="auto"/>
        </w:rPr>
        <w:t>the deed of confirmatory security entered into by SCH5 and the Common Security Agent dated 1 December 2016 (as amended, novated, supplemented, extended, replaced or restated from time to time).</w:t>
      </w:r>
    </w:p>
    <w:p>
      <w:pPr>
        <w:spacing w:after="0" w:line="75" w:lineRule="exact"/>
        <w:rPr>
          <w:rFonts w:ascii="Arial" w:cs="Arial" w:eastAsia="Arial" w:hAnsi="Arial"/>
          <w:sz w:val="18"/>
          <w:szCs w:val="18"/>
          <w:color w:val="auto"/>
        </w:rPr>
      </w:pPr>
    </w:p>
    <w:p>
      <w:pPr>
        <w:ind w:left="764" w:right="20" w:hanging="764"/>
        <w:spacing w:after="0" w:line="286" w:lineRule="auto"/>
        <w:tabs>
          <w:tab w:leader="none" w:pos="764" w:val="left"/>
        </w:tabs>
        <w:numPr>
          <w:ilvl w:val="0"/>
          <w:numId w:val="1246"/>
        </w:numPr>
        <w:rPr>
          <w:rFonts w:ascii="Arial" w:cs="Arial" w:eastAsia="Arial" w:hAnsi="Arial"/>
          <w:sz w:val="17"/>
          <w:szCs w:val="17"/>
          <w:color w:val="auto"/>
        </w:rPr>
      </w:pPr>
      <w:r>
        <w:rPr>
          <w:rFonts w:ascii="Arial" w:cs="Arial" w:eastAsia="Arial" w:hAnsi="Arial"/>
          <w:sz w:val="17"/>
          <w:szCs w:val="17"/>
          <w:color w:val="auto"/>
        </w:rPr>
        <w:t>A second composite account charge deed of confirmatory security to be entered into (among others) by the Borrower, the Parent, Studio City Developments Limited, Studio City Entertainment Limited, Studio City Hotels Limited, Studio City Services Limited, Studio City Hospitality and Services Limited, Studio City Retail Services Limited and SCIP Holdings Limited with respect to:</w:t>
      </w:r>
    </w:p>
    <w:p>
      <w:pPr>
        <w:spacing w:after="0" w:line="70" w:lineRule="exact"/>
        <w:rPr>
          <w:rFonts w:ascii="Arial" w:cs="Arial" w:eastAsia="Arial" w:hAnsi="Arial"/>
          <w:sz w:val="17"/>
          <w:szCs w:val="17"/>
          <w:color w:val="auto"/>
        </w:rPr>
      </w:pPr>
    </w:p>
    <w:p>
      <w:pPr>
        <w:ind w:left="1304" w:right="140" w:hanging="535"/>
        <w:spacing w:after="0" w:line="263" w:lineRule="auto"/>
        <w:tabs>
          <w:tab w:leader="none" w:pos="1304" w:val="left"/>
        </w:tabs>
        <w:numPr>
          <w:ilvl w:val="1"/>
          <w:numId w:val="1246"/>
        </w:numPr>
        <w:rPr>
          <w:rFonts w:ascii="Arial" w:cs="Arial" w:eastAsia="Arial" w:hAnsi="Arial"/>
          <w:sz w:val="18"/>
          <w:szCs w:val="18"/>
          <w:color w:val="auto"/>
        </w:rPr>
      </w:pPr>
      <w:r>
        <w:rPr>
          <w:rFonts w:ascii="Arial" w:cs="Arial" w:eastAsia="Arial" w:hAnsi="Arial"/>
          <w:sz w:val="18"/>
          <w:szCs w:val="18"/>
          <w:color w:val="auto"/>
        </w:rPr>
        <w:t>the charge over certain accounts of the Borrower held in the Hong Kong SAR, granted by the Borrower dated 26 November 2013 (as amended by a composite account charge deed of confirmatory security dated 1 December 2016 and as amended, novated, supplemented, extended, replaced or restated from time to time;</w:t>
      </w:r>
    </w:p>
    <w:p>
      <w:pPr>
        <w:spacing w:after="0" w:line="89" w:lineRule="exact"/>
        <w:rPr>
          <w:rFonts w:ascii="Arial" w:cs="Arial" w:eastAsia="Arial" w:hAnsi="Arial"/>
          <w:sz w:val="18"/>
          <w:szCs w:val="18"/>
          <w:color w:val="auto"/>
        </w:rPr>
      </w:pPr>
    </w:p>
    <w:p>
      <w:pPr>
        <w:ind w:left="1304" w:right="600" w:hanging="535"/>
        <w:spacing w:after="0" w:line="263" w:lineRule="auto"/>
        <w:tabs>
          <w:tab w:leader="none" w:pos="1304" w:val="left"/>
        </w:tabs>
        <w:numPr>
          <w:ilvl w:val="1"/>
          <w:numId w:val="1246"/>
        </w:numPr>
        <w:rPr>
          <w:rFonts w:ascii="Arial" w:cs="Arial" w:eastAsia="Arial" w:hAnsi="Arial"/>
          <w:sz w:val="18"/>
          <w:szCs w:val="18"/>
          <w:color w:val="auto"/>
        </w:rPr>
      </w:pPr>
      <w:r>
        <w:rPr>
          <w:rFonts w:ascii="Arial" w:cs="Arial" w:eastAsia="Arial" w:hAnsi="Arial"/>
          <w:sz w:val="18"/>
          <w:szCs w:val="18"/>
          <w:color w:val="auto"/>
        </w:rPr>
        <w:t>the charge over certain accounts of the Parent held in the Hong Kong SAR, granted by the Parent dated 26 November 2013 (as amended by a composite account charge deed of confirmatory security dated 1 December 2016 and as amended, novated, supplemented, extended, replaced or restated from time to time);</w:t>
      </w:r>
    </w:p>
    <w:p>
      <w:pPr>
        <w:spacing w:after="0" w:line="11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Arial" w:cs="Arial" w:eastAsia="Arial" w:hAnsi="Arial"/>
                <w:sz w:val="18"/>
                <w:szCs w:val="18"/>
                <w:color w:val="auto"/>
                <w:w w:val="79"/>
              </w:rPr>
              <w:t>12</w:t>
            </w:r>
          </w:p>
        </w:tc>
        <w:tc>
          <w:tcPr>
            <w:tcW w:w="418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4"/>
          </w:cols>
          <w:pgMar w:left="436" w:top="274" w:right="439" w:bottom="1440" w:gutter="0" w:footer="0" w:header="0"/>
        </w:sectPr>
      </w:pPr>
    </w:p>
    <w:bookmarkStart w:id="813" w:name="page814"/>
    <w:bookmarkEnd w:id="813"/>
    <w:p>
      <w:pPr>
        <w:ind w:left="535" w:right="360" w:hanging="535"/>
        <w:spacing w:after="0" w:line="286" w:lineRule="auto"/>
        <w:tabs>
          <w:tab w:leader="none" w:pos="535" w:val="left"/>
        </w:tabs>
        <w:numPr>
          <w:ilvl w:val="0"/>
          <w:numId w:val="12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charge over certain accounts of Studio City Developments Limited held in the Hong Kong SAR, granted by Studio City Developments Limited dated 26 November 2013 (as amended by a composite account charge deed of confirmatory security dated 1 December 2016 and as amended, novated, supplemented, extended, replaced or restated from time to time;</w:t>
      </w:r>
    </w:p>
    <w:p>
      <w:pPr>
        <w:spacing w:after="0" w:line="70" w:lineRule="exact"/>
        <w:rPr>
          <w:rFonts w:ascii="Arial" w:cs="Arial" w:eastAsia="Arial" w:hAnsi="Arial"/>
          <w:sz w:val="17"/>
          <w:szCs w:val="17"/>
          <w:color w:val="auto"/>
        </w:rPr>
      </w:pPr>
    </w:p>
    <w:p>
      <w:pPr>
        <w:ind w:left="535" w:right="440" w:hanging="535"/>
        <w:spacing w:after="0" w:line="263" w:lineRule="auto"/>
        <w:tabs>
          <w:tab w:leader="none" w:pos="535" w:val="left"/>
        </w:tabs>
        <w:numPr>
          <w:ilvl w:val="0"/>
          <w:numId w:val="1247"/>
        </w:numPr>
        <w:rPr>
          <w:rFonts w:ascii="Arial" w:cs="Arial" w:eastAsia="Arial" w:hAnsi="Arial"/>
          <w:sz w:val="18"/>
          <w:szCs w:val="18"/>
          <w:color w:val="auto"/>
        </w:rPr>
      </w:pPr>
      <w:r>
        <w:rPr>
          <w:rFonts w:ascii="Arial" w:cs="Arial" w:eastAsia="Arial" w:hAnsi="Arial"/>
          <w:sz w:val="18"/>
          <w:szCs w:val="18"/>
          <w:color w:val="auto"/>
        </w:rPr>
        <w:t>the charge over certain accounts of Studio City Entertainment Limited held in the Hong Kong SAR, granted by Studio City Entertainment Limited (as amended by a composite account charge deed of confirmatory security dated 1 December 2016 and as amended, novated, supplemented, extended, replaced or restated from time to time);</w:t>
      </w:r>
    </w:p>
    <w:p>
      <w:pPr>
        <w:spacing w:after="0" w:line="89" w:lineRule="exact"/>
        <w:rPr>
          <w:rFonts w:ascii="Arial" w:cs="Arial" w:eastAsia="Arial" w:hAnsi="Arial"/>
          <w:sz w:val="18"/>
          <w:szCs w:val="18"/>
          <w:color w:val="auto"/>
        </w:rPr>
      </w:pPr>
    </w:p>
    <w:p>
      <w:pPr>
        <w:jc w:val="both"/>
        <w:ind w:left="535" w:right="240" w:hanging="535"/>
        <w:spacing w:after="0" w:line="263" w:lineRule="auto"/>
        <w:tabs>
          <w:tab w:leader="none" w:pos="535" w:val="left"/>
        </w:tabs>
        <w:numPr>
          <w:ilvl w:val="0"/>
          <w:numId w:val="1247"/>
        </w:numPr>
        <w:rPr>
          <w:rFonts w:ascii="Arial" w:cs="Arial" w:eastAsia="Arial" w:hAnsi="Arial"/>
          <w:sz w:val="18"/>
          <w:szCs w:val="18"/>
          <w:color w:val="auto"/>
        </w:rPr>
      </w:pPr>
      <w:r>
        <w:rPr>
          <w:rFonts w:ascii="Arial" w:cs="Arial" w:eastAsia="Arial" w:hAnsi="Arial"/>
          <w:sz w:val="18"/>
          <w:szCs w:val="18"/>
          <w:color w:val="auto"/>
        </w:rPr>
        <w:t>the charge over certain accounts of Studio City Hotels Limited held in the Hong Kong SAR, granted by Studio City Hotels Limited dated 26 November 2013 (as amended by a composite account charge deed of confirmatory security dated 1 December 2016 and as amended, novated, supplemented, extended, replaced or restated from time to time);</w:t>
      </w:r>
    </w:p>
    <w:p>
      <w:pPr>
        <w:spacing w:after="0" w:line="89" w:lineRule="exact"/>
        <w:rPr>
          <w:rFonts w:ascii="Arial" w:cs="Arial" w:eastAsia="Arial" w:hAnsi="Arial"/>
          <w:sz w:val="18"/>
          <w:szCs w:val="18"/>
          <w:color w:val="auto"/>
        </w:rPr>
      </w:pPr>
    </w:p>
    <w:p>
      <w:pPr>
        <w:ind w:left="535" w:right="120" w:hanging="535"/>
        <w:spacing w:after="0" w:line="263" w:lineRule="auto"/>
        <w:tabs>
          <w:tab w:leader="none" w:pos="535" w:val="left"/>
        </w:tabs>
        <w:numPr>
          <w:ilvl w:val="0"/>
          <w:numId w:val="1247"/>
        </w:numPr>
        <w:rPr>
          <w:rFonts w:ascii="Arial" w:cs="Arial" w:eastAsia="Arial" w:hAnsi="Arial"/>
          <w:sz w:val="18"/>
          <w:szCs w:val="18"/>
          <w:color w:val="auto"/>
        </w:rPr>
      </w:pPr>
      <w:r>
        <w:rPr>
          <w:rFonts w:ascii="Arial" w:cs="Arial" w:eastAsia="Arial" w:hAnsi="Arial"/>
          <w:sz w:val="18"/>
          <w:szCs w:val="18"/>
          <w:color w:val="auto"/>
        </w:rPr>
        <w:t>the charge over certain accounts of Studio City Services Limited held in the Hong Kong SAR, granted by Studio City Services Limited dated 26 November 2013 (as amended by a composite account charge deed of confirmatory security dated 1 December 2016 and as amended, novated, supplemented, extended, replaced or restated from time to time);</w:t>
      </w:r>
    </w:p>
    <w:p>
      <w:pPr>
        <w:spacing w:after="0" w:line="89" w:lineRule="exact"/>
        <w:rPr>
          <w:rFonts w:ascii="Arial" w:cs="Arial" w:eastAsia="Arial" w:hAnsi="Arial"/>
          <w:sz w:val="18"/>
          <w:szCs w:val="18"/>
          <w:color w:val="auto"/>
        </w:rPr>
      </w:pPr>
    </w:p>
    <w:p>
      <w:pPr>
        <w:jc w:val="both"/>
        <w:ind w:left="535" w:right="80" w:hanging="535"/>
        <w:spacing w:after="0" w:line="311" w:lineRule="auto"/>
        <w:tabs>
          <w:tab w:leader="none" w:pos="535" w:val="left"/>
        </w:tabs>
        <w:numPr>
          <w:ilvl w:val="0"/>
          <w:numId w:val="1247"/>
        </w:numPr>
        <w:rPr>
          <w:rFonts w:ascii="Arial" w:cs="Arial" w:eastAsia="Arial" w:hAnsi="Arial"/>
          <w:sz w:val="16"/>
          <w:szCs w:val="16"/>
          <w:color w:val="auto"/>
        </w:rPr>
      </w:pPr>
      <w:r>
        <w:rPr>
          <w:rFonts w:ascii="Arial" w:cs="Arial" w:eastAsia="Arial" w:hAnsi="Arial"/>
          <w:sz w:val="16"/>
          <w:szCs w:val="16"/>
          <w:color w:val="auto"/>
        </w:rPr>
        <w:t>the charge over certain accounts of Studio City Hospitality and Services Limited held in the Hong Kong SAR, granted by Studio City Hospitality and Services Limited dated 26 November 2013 (as amended by a composite account charge deed of confirmatory security dated 1 December 2016 and as amended, novated, supplemented, extended, replaced or restated from time to time);</w:t>
      </w:r>
    </w:p>
    <w:p>
      <w:pPr>
        <w:spacing w:after="0" w:line="54" w:lineRule="exact"/>
        <w:rPr>
          <w:rFonts w:ascii="Arial" w:cs="Arial" w:eastAsia="Arial" w:hAnsi="Arial"/>
          <w:sz w:val="16"/>
          <w:szCs w:val="16"/>
          <w:color w:val="auto"/>
        </w:rPr>
      </w:pPr>
    </w:p>
    <w:p>
      <w:pPr>
        <w:ind w:left="535" w:right="300" w:hanging="535"/>
        <w:spacing w:after="0" w:line="291" w:lineRule="auto"/>
        <w:tabs>
          <w:tab w:leader="none" w:pos="535" w:val="left"/>
        </w:tabs>
        <w:numPr>
          <w:ilvl w:val="0"/>
          <w:numId w:val="1247"/>
        </w:numPr>
        <w:rPr>
          <w:rFonts w:ascii="Arial" w:cs="Arial" w:eastAsia="Arial" w:hAnsi="Arial"/>
          <w:sz w:val="16"/>
          <w:szCs w:val="16"/>
          <w:color w:val="auto"/>
        </w:rPr>
      </w:pPr>
      <w:r>
        <w:rPr>
          <w:rFonts w:ascii="Arial" w:cs="Arial" w:eastAsia="Arial" w:hAnsi="Arial"/>
          <w:sz w:val="16"/>
          <w:szCs w:val="16"/>
          <w:color w:val="auto"/>
        </w:rPr>
        <w:t>the charge over certain accounts of Studio City Retail Services Limited held in the Hong Kong SAR, granted by Studio City Retail Services Limited dated 26 November 2013 (as amended by a composite account charge deed of confirmatory security dated</w:t>
      </w:r>
    </w:p>
    <w:p>
      <w:pPr>
        <w:ind w:left="535"/>
        <w:spacing w:after="0"/>
        <w:rPr>
          <w:rFonts w:ascii="Arial" w:cs="Arial" w:eastAsia="Arial" w:hAnsi="Arial"/>
          <w:sz w:val="16"/>
          <w:szCs w:val="16"/>
          <w:color w:val="auto"/>
        </w:rPr>
      </w:pPr>
      <w:r>
        <w:rPr>
          <w:rFonts w:ascii="Arial" w:cs="Arial" w:eastAsia="Arial" w:hAnsi="Arial"/>
          <w:sz w:val="18"/>
          <w:szCs w:val="18"/>
          <w:color w:val="auto"/>
        </w:rPr>
        <w:t>1 December 2016 and as amended, novated, supplemented, extended, replaced or restated from time to time);</w:t>
      </w:r>
    </w:p>
    <w:p>
      <w:pPr>
        <w:spacing w:after="0" w:line="116" w:lineRule="exact"/>
        <w:rPr>
          <w:rFonts w:ascii="Arial" w:cs="Arial" w:eastAsia="Arial" w:hAnsi="Arial"/>
          <w:sz w:val="16"/>
          <w:szCs w:val="16"/>
          <w:color w:val="auto"/>
        </w:rPr>
      </w:pPr>
    </w:p>
    <w:p>
      <w:pPr>
        <w:ind w:left="535" w:right="340" w:hanging="535"/>
        <w:spacing w:after="0" w:line="263" w:lineRule="auto"/>
        <w:tabs>
          <w:tab w:leader="none" w:pos="535" w:val="left"/>
        </w:tabs>
        <w:numPr>
          <w:ilvl w:val="0"/>
          <w:numId w:val="1247"/>
        </w:numPr>
        <w:rPr>
          <w:rFonts w:ascii="Arial" w:cs="Arial" w:eastAsia="Arial" w:hAnsi="Arial"/>
          <w:sz w:val="18"/>
          <w:szCs w:val="18"/>
          <w:color w:val="auto"/>
        </w:rPr>
      </w:pPr>
      <w:r>
        <w:rPr>
          <w:rFonts w:ascii="Arial" w:cs="Arial" w:eastAsia="Arial" w:hAnsi="Arial"/>
          <w:sz w:val="18"/>
          <w:szCs w:val="18"/>
          <w:color w:val="auto"/>
        </w:rPr>
        <w:t>the charge over certain accounts of SCIP Holdings Limited held in the Hong Kong SAR, granted by SCIP Holdings Limited dated 26 November 2013 (as amended by a composite account charge deed of confirmatory security dated 1 December 2016 and as amended, novated, supplemented, extended, replaced or restated from time to time); and</w:t>
      </w:r>
    </w:p>
    <w:p>
      <w:pPr>
        <w:spacing w:after="0" w:line="89" w:lineRule="exact"/>
        <w:rPr>
          <w:rFonts w:ascii="Arial" w:cs="Arial" w:eastAsia="Arial" w:hAnsi="Arial"/>
          <w:sz w:val="18"/>
          <w:szCs w:val="18"/>
          <w:color w:val="auto"/>
        </w:rPr>
      </w:pPr>
    </w:p>
    <w:p>
      <w:pPr>
        <w:ind w:left="535" w:right="320" w:hanging="535"/>
        <w:spacing w:after="0" w:line="259" w:lineRule="auto"/>
        <w:tabs>
          <w:tab w:leader="none" w:pos="535" w:val="left"/>
        </w:tabs>
        <w:numPr>
          <w:ilvl w:val="0"/>
          <w:numId w:val="1247"/>
        </w:numPr>
        <w:rPr>
          <w:rFonts w:ascii="Arial" w:cs="Arial" w:eastAsia="Arial" w:hAnsi="Arial"/>
          <w:sz w:val="18"/>
          <w:szCs w:val="18"/>
          <w:color w:val="auto"/>
        </w:rPr>
      </w:pPr>
      <w:r>
        <w:rPr>
          <w:rFonts w:ascii="Arial" w:cs="Arial" w:eastAsia="Arial" w:hAnsi="Arial"/>
          <w:sz w:val="18"/>
          <w:szCs w:val="18"/>
          <w:color w:val="auto"/>
        </w:rPr>
        <w:t>the composite account charge deed of confirmatory security entered into (among others) by the Borrower, the Parent, Studio City Developments Limited, Studio City Entertainment Limited, Studio City Hotels Limited, Studio City Services Limited, Studio City Hospitality and Services Limited, Studio City Retail Services Limited and SCIP Holdings Limited dated 1 December 2016 (as amended, novated, supplemented, extended, replaced or restated from time to time).</w:t>
      </w:r>
    </w:p>
    <w:p>
      <w:pPr>
        <w:spacing w:after="0" w:line="119" w:lineRule="exact"/>
        <w:rPr>
          <w:sz w:val="20"/>
          <w:szCs w:val="20"/>
          <w:color w:val="auto"/>
        </w:rPr>
      </w:pPr>
    </w:p>
    <w:tbl>
      <w:tblPr>
        <w:tblLayout w:type="fixed"/>
        <w:tblInd w:w="4715"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Arial" w:cs="Arial" w:eastAsia="Arial" w:hAnsi="Arial"/>
                <w:sz w:val="18"/>
                <w:szCs w:val="18"/>
                <w:color w:val="auto"/>
                <w:w w:val="79"/>
              </w:rPr>
              <w:t>13</w:t>
            </w:r>
          </w:p>
        </w:tc>
        <w:tc>
          <w:tcPr>
            <w:tcW w:w="418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0255"/>
          </w:cols>
          <w:pgMar w:left="1205" w:top="274" w:right="439" w:bottom="1440" w:gutter="0" w:footer="0" w:header="0"/>
        </w:sectPr>
      </w:pPr>
    </w:p>
    <w:bookmarkStart w:id="814" w:name="page815"/>
    <w:bookmarkEnd w:id="814"/>
    <w:p>
      <w:pPr>
        <w:ind w:left="764" w:right="120" w:hanging="764"/>
        <w:spacing w:after="0" w:line="263" w:lineRule="auto"/>
        <w:tabs>
          <w:tab w:leader="none" w:pos="764" w:val="left"/>
        </w:tabs>
        <w:numPr>
          <w:ilvl w:val="0"/>
          <w:numId w:val="1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second deed of confirmatory security to be entered into (among others) by Studio City Hospitality and Services Limited, Studio City Entertainment Limited, Studio City Hotels Limited, Studio City Developments Limited, Studio City Retail Services Limited and Studio City Services Limited with respect to:</w:t>
      </w:r>
    </w:p>
    <w:p>
      <w:pPr>
        <w:spacing w:after="0" w:line="89" w:lineRule="exact"/>
        <w:rPr>
          <w:rFonts w:ascii="Arial" w:cs="Arial" w:eastAsia="Arial" w:hAnsi="Arial"/>
          <w:sz w:val="18"/>
          <w:szCs w:val="18"/>
          <w:color w:val="auto"/>
        </w:rPr>
      </w:pPr>
    </w:p>
    <w:p>
      <w:pPr>
        <w:ind w:left="1304" w:right="60" w:hanging="535"/>
        <w:spacing w:after="0" w:line="259" w:lineRule="auto"/>
        <w:tabs>
          <w:tab w:leader="none" w:pos="1304" w:val="left"/>
        </w:tabs>
        <w:numPr>
          <w:ilvl w:val="1"/>
          <w:numId w:val="1248"/>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SCHK2 held by Studio City Hospitality and Services Limited, Studio City Entertainment Limited, Studio City Hotels Limited, Studio City Developments Limited and Studio City Retail Services Limited dated 30 July 2018 (as amended and restated by a deed of confirmatory security dated 1 February 2019 and as amended, novated, supplemented, extended, replaced or restated from time to time); and</w:t>
      </w:r>
    </w:p>
    <w:p>
      <w:pPr>
        <w:spacing w:after="0" w:line="92" w:lineRule="exact"/>
        <w:rPr>
          <w:rFonts w:ascii="Arial" w:cs="Arial" w:eastAsia="Arial" w:hAnsi="Arial"/>
          <w:sz w:val="18"/>
          <w:szCs w:val="18"/>
          <w:color w:val="auto"/>
        </w:rPr>
      </w:pPr>
    </w:p>
    <w:p>
      <w:pPr>
        <w:ind w:left="1304" w:right="80" w:hanging="535"/>
        <w:spacing w:after="0" w:line="259" w:lineRule="auto"/>
        <w:tabs>
          <w:tab w:leader="none" w:pos="1304" w:val="left"/>
        </w:tabs>
        <w:numPr>
          <w:ilvl w:val="1"/>
          <w:numId w:val="1248"/>
        </w:numPr>
        <w:rPr>
          <w:rFonts w:ascii="Arial" w:cs="Arial" w:eastAsia="Arial" w:hAnsi="Arial"/>
          <w:sz w:val="18"/>
          <w:szCs w:val="18"/>
          <w:color w:val="auto"/>
        </w:rPr>
      </w:pPr>
      <w:r>
        <w:rPr>
          <w:rFonts w:ascii="Arial" w:cs="Arial" w:eastAsia="Arial" w:hAnsi="Arial"/>
          <w:sz w:val="18"/>
          <w:szCs w:val="18"/>
          <w:color w:val="auto"/>
        </w:rPr>
        <w:t>the deed of confirmatory security entered into (among others) by Studio City Hospitality and Services Limited, Studio City Entertainment Limited, Studio City Hotels Limited, Studio City Developments Limited, Studio City Retail Services Limited and Studio City Services Limited dated 1 February 2019 (as amended, novated, supplemented, extended, replaced or restated from time to time).</w:t>
      </w:r>
    </w:p>
    <w:p>
      <w:pPr>
        <w:spacing w:after="0" w:line="92" w:lineRule="exact"/>
        <w:rPr>
          <w:rFonts w:ascii="Arial" w:cs="Arial" w:eastAsia="Arial" w:hAnsi="Arial"/>
          <w:sz w:val="18"/>
          <w:szCs w:val="18"/>
          <w:color w:val="auto"/>
        </w:rPr>
      </w:pPr>
    </w:p>
    <w:p>
      <w:pPr>
        <w:jc w:val="both"/>
        <w:ind w:left="764" w:right="140" w:hanging="764"/>
        <w:spacing w:after="0" w:line="263" w:lineRule="auto"/>
        <w:tabs>
          <w:tab w:leader="none" w:pos="764"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A deed of confirmatory security to be entered into by SCHK2 and the Common Security Agent with respect to the debenture entered into by SCHK2 and the Common Security Agent dated 30 July 2018 (as amended, novated, supplemented, extended, replaced or restated from time to time).</w:t>
      </w:r>
    </w:p>
    <w:p>
      <w:pPr>
        <w:spacing w:after="0" w:line="11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Arial" w:cs="Arial" w:eastAsia="Arial" w:hAnsi="Arial"/>
                <w:sz w:val="18"/>
                <w:szCs w:val="18"/>
                <w:color w:val="auto"/>
                <w:w w:val="79"/>
              </w:rPr>
              <w:t>14</w:t>
            </w:r>
          </w:p>
        </w:tc>
        <w:tc>
          <w:tcPr>
            <w:tcW w:w="418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4"/>
          </w:cols>
          <w:pgMar w:left="436" w:top="274" w:right="439" w:bottom="1440" w:gutter="0" w:footer="0" w:header="0"/>
        </w:sectPr>
      </w:pPr>
    </w:p>
    <w:bookmarkStart w:id="815" w:name="page816"/>
    <w:bookmarkEnd w:id="81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Confirmations for Onshore Security</w:t>
      </w:r>
    </w:p>
    <w:p>
      <w:pPr>
        <w:spacing w:after="0" w:line="116" w:lineRule="exact"/>
        <w:rPr>
          <w:sz w:val="20"/>
          <w:szCs w:val="20"/>
          <w:color w:val="auto"/>
        </w:rPr>
      </w:pPr>
    </w:p>
    <w:p>
      <w:pPr>
        <w:ind w:left="764" w:right="300" w:hanging="764"/>
        <w:spacing w:after="0" w:line="275" w:lineRule="auto"/>
        <w:tabs>
          <w:tab w:leader="none" w:pos="764" w:val="left"/>
        </w:tabs>
        <w:numPr>
          <w:ilvl w:val="0"/>
          <w:numId w:val="1249"/>
        </w:numPr>
        <w:rPr>
          <w:rFonts w:ascii="Arial" w:cs="Arial" w:eastAsia="Arial" w:hAnsi="Arial"/>
          <w:sz w:val="17"/>
          <w:szCs w:val="17"/>
          <w:color w:val="auto"/>
        </w:rPr>
      </w:pPr>
      <w:r>
        <w:rPr>
          <w:rFonts w:ascii="Arial" w:cs="Arial" w:eastAsia="Arial" w:hAnsi="Arial"/>
          <w:sz w:val="17"/>
          <w:szCs w:val="17"/>
          <w:color w:val="auto"/>
        </w:rPr>
        <w:t>A general composite confirmation to be entered into (among others) by Studio City Company Limited, Studio City Investments Limited, Studio City Holdings Two Limited, Studio City Holdings Three Limited, Studio City Holdings Four Limited, Studio City Holdings Five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with respect to the following Macau law security documents:</w:t>
      </w:r>
    </w:p>
    <w:p>
      <w:pPr>
        <w:spacing w:after="0" w:line="81" w:lineRule="exact"/>
        <w:rPr>
          <w:rFonts w:ascii="Arial" w:cs="Arial" w:eastAsia="Arial" w:hAnsi="Arial"/>
          <w:sz w:val="17"/>
          <w:szCs w:val="17"/>
          <w:color w:val="auto"/>
        </w:rPr>
      </w:pPr>
    </w:p>
    <w:p>
      <w:pPr>
        <w:ind w:left="1304" w:right="140" w:hanging="535"/>
        <w:spacing w:after="0" w:line="277" w:lineRule="auto"/>
        <w:tabs>
          <w:tab w:leader="none" w:pos="1304" w:val="left"/>
        </w:tabs>
        <w:numPr>
          <w:ilvl w:val="1"/>
          <w:numId w:val="1249"/>
        </w:numPr>
        <w:rPr>
          <w:rFonts w:ascii="Arial" w:cs="Arial" w:eastAsia="Arial" w:hAnsi="Arial"/>
          <w:sz w:val="18"/>
          <w:szCs w:val="18"/>
          <w:color w:val="auto"/>
        </w:rPr>
      </w:pPr>
      <w:r>
        <w:rPr>
          <w:rFonts w:ascii="Arial" w:cs="Arial" w:eastAsia="Arial" w:hAnsi="Arial"/>
          <w:sz w:val="18"/>
          <w:szCs w:val="18"/>
          <w:color w:val="auto"/>
        </w:rPr>
        <w:t>the mortgage granted by Studio City Developments Limited over its rights under the Amended Land Concession dated 26 November 2013;</w:t>
      </w:r>
    </w:p>
    <w:p>
      <w:pPr>
        <w:spacing w:after="0" w:line="75" w:lineRule="exact"/>
        <w:rPr>
          <w:rFonts w:ascii="Arial" w:cs="Arial" w:eastAsia="Arial" w:hAnsi="Arial"/>
          <w:sz w:val="18"/>
          <w:szCs w:val="18"/>
          <w:color w:val="auto"/>
        </w:rPr>
      </w:pPr>
    </w:p>
    <w:p>
      <w:pPr>
        <w:ind w:left="1304" w:right="260" w:hanging="535"/>
        <w:spacing w:after="0" w:line="277" w:lineRule="auto"/>
        <w:tabs>
          <w:tab w:leader="none" w:pos="1304" w:val="left"/>
        </w:tabs>
        <w:numPr>
          <w:ilvl w:val="1"/>
          <w:numId w:val="1249"/>
        </w:numPr>
        <w:rPr>
          <w:rFonts w:ascii="Arial" w:cs="Arial" w:eastAsia="Arial" w:hAnsi="Arial"/>
          <w:sz w:val="18"/>
          <w:szCs w:val="18"/>
          <w:color w:val="auto"/>
        </w:rPr>
      </w:pPr>
      <w:r>
        <w:rPr>
          <w:rFonts w:ascii="Arial" w:cs="Arial" w:eastAsia="Arial" w:hAnsi="Arial"/>
          <w:sz w:val="18"/>
          <w:szCs w:val="18"/>
          <w:color w:val="auto"/>
        </w:rPr>
        <w:t>the power of attorney granted by Studio City Developments Limited dated 26 November 2013 supplementing the mortgage over its rights under the Amended Land Concession;</w:t>
      </w:r>
    </w:p>
    <w:p>
      <w:pPr>
        <w:spacing w:after="0" w:line="75" w:lineRule="exact"/>
        <w:rPr>
          <w:rFonts w:ascii="Arial" w:cs="Arial" w:eastAsia="Arial" w:hAnsi="Arial"/>
          <w:sz w:val="18"/>
          <w:szCs w:val="18"/>
          <w:color w:val="auto"/>
        </w:rPr>
      </w:pPr>
    </w:p>
    <w:p>
      <w:pPr>
        <w:ind w:left="1304" w:right="60" w:hanging="535"/>
        <w:spacing w:after="0" w:line="257" w:lineRule="auto"/>
        <w:tabs>
          <w:tab w:leader="none" w:pos="1304" w:val="left"/>
        </w:tabs>
        <w:numPr>
          <w:ilvl w:val="1"/>
          <w:numId w:val="1249"/>
        </w:numPr>
        <w:rPr>
          <w:rFonts w:ascii="Arial" w:cs="Arial" w:eastAsia="Arial" w:hAnsi="Arial"/>
          <w:sz w:val="18"/>
          <w:szCs w:val="18"/>
          <w:color w:val="auto"/>
        </w:rPr>
      </w:pPr>
      <w:r>
        <w:rPr>
          <w:rFonts w:ascii="Arial" w:cs="Arial" w:eastAsia="Arial" w:hAnsi="Arial"/>
          <w:sz w:val="18"/>
          <w:szCs w:val="18"/>
          <w:color w:val="auto"/>
        </w:rPr>
        <w:t>the promissory note issued by Studio City Company Limited dated 26 November 2013 and endorsed by Studio City Investments Limited, Studio City Holdings Two Limited, Studio City Holdings Three Limited, Studio City Holdings Four Limited, Studio City Entertainment Limited, Studio City Services Limited, Studio City Hotels Limited, SCP Holdings Limited, Studio City Hospitality and Services Limited, SCP One Limited, SCP Two Limited, Studio City Developments Limited, Studio City Retail Services Limited and SCIP Holdings Limited (the “</w:t>
      </w:r>
      <w:r>
        <w:rPr>
          <w:rFonts w:ascii="Arial" w:cs="Arial" w:eastAsia="Arial" w:hAnsi="Arial"/>
          <w:sz w:val="18"/>
          <w:szCs w:val="18"/>
          <w:b w:val="1"/>
          <w:bCs w:val="1"/>
          <w:color w:val="auto"/>
        </w:rPr>
        <w:t>Livrança</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304" w:right="40" w:hanging="535"/>
        <w:spacing w:after="0" w:line="257" w:lineRule="auto"/>
        <w:tabs>
          <w:tab w:leader="none" w:pos="1304" w:val="left"/>
        </w:tabs>
        <w:numPr>
          <w:ilvl w:val="1"/>
          <w:numId w:val="1249"/>
        </w:numPr>
        <w:rPr>
          <w:rFonts w:ascii="Arial" w:cs="Arial" w:eastAsia="Arial" w:hAnsi="Arial"/>
          <w:sz w:val="18"/>
          <w:szCs w:val="18"/>
          <w:color w:val="auto"/>
        </w:rPr>
      </w:pPr>
      <w:r>
        <w:rPr>
          <w:rFonts w:ascii="Arial" w:cs="Arial" w:eastAsia="Arial" w:hAnsi="Arial"/>
          <w:sz w:val="18"/>
          <w:szCs w:val="18"/>
          <w:color w:val="auto"/>
        </w:rPr>
        <w:t>the covering letter dated 26 November 2013 in relation to the Livrança from Studio City Company Limited and acknowledged by Studio City Investments Limited, Studio City Holdings Two Limited, Studio City Holdings Three Limited, Studio City Holdings Four Limited, Studio City Entertainment Limited, Studio City Services Limited, Studio City Hotels Limited, SCP Holdings Limited, Studio City Hospitality and Services Limited, SCP One Limited, SCP Two Limited, Studio City Developments Limited, Studio City Retail Services Limited and SCIP Holdings Limited;</w:t>
      </w:r>
    </w:p>
    <w:p>
      <w:pPr>
        <w:spacing w:after="0" w:line="93" w:lineRule="exact"/>
        <w:rPr>
          <w:rFonts w:ascii="Arial" w:cs="Arial" w:eastAsia="Arial" w:hAnsi="Arial"/>
          <w:sz w:val="18"/>
          <w:szCs w:val="18"/>
          <w:color w:val="auto"/>
        </w:rPr>
      </w:pPr>
    </w:p>
    <w:p>
      <w:pPr>
        <w:ind w:left="1304" w:right="260" w:hanging="535"/>
        <w:spacing w:after="0" w:line="263" w:lineRule="auto"/>
        <w:tabs>
          <w:tab w:leader="none" w:pos="1304" w:val="left"/>
        </w:tabs>
        <w:numPr>
          <w:ilvl w:val="1"/>
          <w:numId w:val="1249"/>
        </w:numPr>
        <w:rPr>
          <w:rFonts w:ascii="Arial" w:cs="Arial" w:eastAsia="Arial" w:hAnsi="Arial"/>
          <w:sz w:val="18"/>
          <w:szCs w:val="18"/>
          <w:color w:val="auto"/>
        </w:rPr>
      </w:pPr>
      <w:r>
        <w:rPr>
          <w:rFonts w:ascii="Arial" w:cs="Arial" w:eastAsia="Arial" w:hAnsi="Arial"/>
          <w:sz w:val="18"/>
          <w:szCs w:val="18"/>
          <w:color w:val="auto"/>
        </w:rPr>
        <w:t>the pledge over all present and future shares of Studio City Entertainment Limited held by Studio City Holdings Three Limited and Studio City Holdings Four Limited granted by Studio City Holdings Three Limited and Studio City Holdings Four Limited dated 26 November 2013;</w:t>
      </w:r>
    </w:p>
    <w:p>
      <w:pPr>
        <w:spacing w:after="0" w:line="89" w:lineRule="exact"/>
        <w:rPr>
          <w:rFonts w:ascii="Arial" w:cs="Arial" w:eastAsia="Arial" w:hAnsi="Arial"/>
          <w:sz w:val="18"/>
          <w:szCs w:val="18"/>
          <w:color w:val="auto"/>
        </w:rPr>
      </w:pPr>
    </w:p>
    <w:p>
      <w:pPr>
        <w:ind w:left="1304" w:right="320" w:hanging="535"/>
        <w:spacing w:after="0" w:line="277" w:lineRule="auto"/>
        <w:tabs>
          <w:tab w:leader="none" w:pos="1304" w:val="left"/>
        </w:tabs>
        <w:numPr>
          <w:ilvl w:val="1"/>
          <w:numId w:val="1249"/>
        </w:numPr>
        <w:rPr>
          <w:rFonts w:ascii="Arial" w:cs="Arial" w:eastAsia="Arial" w:hAnsi="Arial"/>
          <w:sz w:val="18"/>
          <w:szCs w:val="18"/>
          <w:color w:val="auto"/>
        </w:rPr>
      </w:pPr>
      <w:r>
        <w:rPr>
          <w:rFonts w:ascii="Arial" w:cs="Arial" w:eastAsia="Arial" w:hAnsi="Arial"/>
          <w:sz w:val="18"/>
          <w:szCs w:val="18"/>
          <w:color w:val="auto"/>
        </w:rPr>
        <w:t>the power of attorney granted by Studio City Holdings Three Limited dated 18 September 2015 regarding all its present and future shares in Studio City Entertainment Limited;</w:t>
      </w:r>
    </w:p>
    <w:p>
      <w:pPr>
        <w:spacing w:after="0" w:line="75" w:lineRule="exact"/>
        <w:rPr>
          <w:rFonts w:ascii="Arial" w:cs="Arial" w:eastAsia="Arial" w:hAnsi="Arial"/>
          <w:sz w:val="18"/>
          <w:szCs w:val="18"/>
          <w:color w:val="auto"/>
        </w:rPr>
      </w:pPr>
    </w:p>
    <w:p>
      <w:pPr>
        <w:ind w:left="1304" w:right="380" w:hanging="535"/>
        <w:spacing w:after="0" w:line="277" w:lineRule="auto"/>
        <w:tabs>
          <w:tab w:leader="none" w:pos="1304" w:val="left"/>
        </w:tabs>
        <w:numPr>
          <w:ilvl w:val="1"/>
          <w:numId w:val="1249"/>
        </w:numPr>
        <w:rPr>
          <w:rFonts w:ascii="Arial" w:cs="Arial" w:eastAsia="Arial" w:hAnsi="Arial"/>
          <w:sz w:val="18"/>
          <w:szCs w:val="18"/>
          <w:color w:val="auto"/>
        </w:rPr>
      </w:pPr>
      <w:r>
        <w:rPr>
          <w:rFonts w:ascii="Arial" w:cs="Arial" w:eastAsia="Arial" w:hAnsi="Arial"/>
          <w:sz w:val="18"/>
          <w:szCs w:val="18"/>
          <w:color w:val="auto"/>
        </w:rPr>
        <w:t>the power of attorney granted by Studio City Holdings Four Limited dated 18 September 2015 regarding all its present and future shares in Studio City Entertainment Limited;</w:t>
      </w:r>
    </w:p>
    <w:p>
      <w:pPr>
        <w:spacing w:after="0" w:line="75" w:lineRule="exact"/>
        <w:rPr>
          <w:rFonts w:ascii="Arial" w:cs="Arial" w:eastAsia="Arial" w:hAnsi="Arial"/>
          <w:sz w:val="18"/>
          <w:szCs w:val="18"/>
          <w:color w:val="auto"/>
        </w:rPr>
      </w:pPr>
    </w:p>
    <w:p>
      <w:pPr>
        <w:ind w:left="1304" w:right="360" w:hanging="535"/>
        <w:spacing w:after="0" w:line="277" w:lineRule="auto"/>
        <w:tabs>
          <w:tab w:leader="none" w:pos="1304" w:val="left"/>
        </w:tabs>
        <w:numPr>
          <w:ilvl w:val="1"/>
          <w:numId w:val="1249"/>
        </w:numPr>
        <w:rPr>
          <w:rFonts w:ascii="Arial" w:cs="Arial" w:eastAsia="Arial" w:hAnsi="Arial"/>
          <w:sz w:val="18"/>
          <w:szCs w:val="18"/>
          <w:color w:val="auto"/>
        </w:rPr>
      </w:pPr>
      <w:r>
        <w:rPr>
          <w:rFonts w:ascii="Arial" w:cs="Arial" w:eastAsia="Arial" w:hAnsi="Arial"/>
          <w:sz w:val="18"/>
          <w:szCs w:val="18"/>
          <w:color w:val="auto"/>
        </w:rPr>
        <w:t>the pledge over the share in Studio City Entertainment Limited held by Studio City Holdings Five Limited granted by Studio City Holdings Five Limited dated 18 September 2015;</w:t>
      </w:r>
    </w:p>
    <w:p>
      <w:pPr>
        <w:spacing w:after="0" w:line="75" w:lineRule="exact"/>
        <w:rPr>
          <w:rFonts w:ascii="Arial" w:cs="Arial" w:eastAsia="Arial" w:hAnsi="Arial"/>
          <w:sz w:val="18"/>
          <w:szCs w:val="18"/>
          <w:color w:val="auto"/>
        </w:rPr>
      </w:pPr>
    </w:p>
    <w:p>
      <w:pPr>
        <w:ind w:left="1304" w:right="100" w:hanging="535"/>
        <w:spacing w:after="0" w:line="277" w:lineRule="auto"/>
        <w:tabs>
          <w:tab w:leader="none" w:pos="1304" w:val="left"/>
        </w:tabs>
        <w:numPr>
          <w:ilvl w:val="1"/>
          <w:numId w:val="1249"/>
        </w:numPr>
        <w:rPr>
          <w:rFonts w:ascii="Arial" w:cs="Arial" w:eastAsia="Arial" w:hAnsi="Arial"/>
          <w:sz w:val="18"/>
          <w:szCs w:val="18"/>
          <w:color w:val="auto"/>
        </w:rPr>
      </w:pPr>
      <w:r>
        <w:rPr>
          <w:rFonts w:ascii="Arial" w:cs="Arial" w:eastAsia="Arial" w:hAnsi="Arial"/>
          <w:sz w:val="18"/>
          <w:szCs w:val="18"/>
          <w:color w:val="auto"/>
        </w:rPr>
        <w:t>the power of attorney granted by Studio City Holdings Five Limited dated 18 September 2015 regarding the share held in Studio City Entertainment Limited;</w:t>
      </w:r>
    </w:p>
    <w:p>
      <w:pPr>
        <w:spacing w:after="0" w:line="75" w:lineRule="exact"/>
        <w:rPr>
          <w:rFonts w:ascii="Arial" w:cs="Arial" w:eastAsia="Arial" w:hAnsi="Arial"/>
          <w:sz w:val="18"/>
          <w:szCs w:val="18"/>
          <w:color w:val="auto"/>
        </w:rPr>
      </w:pPr>
    </w:p>
    <w:p>
      <w:pPr>
        <w:ind w:left="1304" w:right="300" w:hanging="535"/>
        <w:spacing w:after="0" w:line="291" w:lineRule="auto"/>
        <w:tabs>
          <w:tab w:leader="none" w:pos="1304" w:val="left"/>
        </w:tabs>
        <w:numPr>
          <w:ilvl w:val="1"/>
          <w:numId w:val="1249"/>
        </w:numPr>
        <w:rPr>
          <w:rFonts w:ascii="Arial" w:cs="Arial" w:eastAsia="Arial" w:hAnsi="Arial"/>
          <w:sz w:val="16"/>
          <w:szCs w:val="16"/>
          <w:color w:val="auto"/>
        </w:rPr>
      </w:pPr>
      <w:r>
        <w:rPr>
          <w:rFonts w:ascii="Arial" w:cs="Arial" w:eastAsia="Arial" w:hAnsi="Arial"/>
          <w:sz w:val="16"/>
          <w:szCs w:val="16"/>
          <w:color w:val="auto"/>
        </w:rPr>
        <w:t>the pledge over all present and future shares in Studio City Hotels Limited held by Studio City Holdings Three Limited and Studio City Holdings Four Limited, granted by Studio City Holdings Three Limited and Studio City Holdings Four Limited dated</w:t>
      </w:r>
    </w:p>
    <w:p>
      <w:pPr>
        <w:ind w:left="1304"/>
        <w:spacing w:after="0"/>
        <w:rPr>
          <w:rFonts w:ascii="Arial" w:cs="Arial" w:eastAsia="Arial" w:hAnsi="Arial"/>
          <w:sz w:val="16"/>
          <w:szCs w:val="16"/>
          <w:color w:val="auto"/>
        </w:rPr>
      </w:pPr>
      <w:r>
        <w:rPr>
          <w:rFonts w:ascii="Arial" w:cs="Arial" w:eastAsia="Arial" w:hAnsi="Arial"/>
          <w:sz w:val="18"/>
          <w:szCs w:val="18"/>
          <w:color w:val="auto"/>
        </w:rPr>
        <w:t>26 November 2013;</w:t>
      </w:r>
    </w:p>
    <w:p>
      <w:pPr>
        <w:spacing w:after="0" w:line="143"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Arial" w:cs="Arial" w:eastAsia="Arial" w:hAnsi="Arial"/>
                <w:sz w:val="18"/>
                <w:szCs w:val="18"/>
                <w:color w:val="auto"/>
                <w:w w:val="79"/>
              </w:rPr>
              <w:t>15</w:t>
            </w:r>
          </w:p>
        </w:tc>
        <w:tc>
          <w:tcPr>
            <w:tcW w:w="418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4"/>
          </w:cols>
          <w:pgMar w:left="436" w:top="270" w:right="439" w:bottom="1440" w:gutter="0" w:footer="0" w:header="0"/>
        </w:sectPr>
      </w:pPr>
    </w:p>
    <w:bookmarkStart w:id="816" w:name="page817"/>
    <w:bookmarkEnd w:id="816"/>
    <w:p>
      <w:pPr>
        <w:ind w:left="535" w:right="320" w:hanging="535"/>
        <w:spacing w:after="0" w:line="277"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power of attorney granted by Studio City Holdings Three Limited dated 18 September 2015 regarding all its present and future shares in Studio City Hotels Limited;</w:t>
      </w:r>
    </w:p>
    <w:p>
      <w:pPr>
        <w:spacing w:after="0" w:line="75" w:lineRule="exact"/>
        <w:rPr>
          <w:rFonts w:ascii="Arial" w:cs="Arial" w:eastAsia="Arial" w:hAnsi="Arial"/>
          <w:sz w:val="18"/>
          <w:szCs w:val="18"/>
          <w:color w:val="auto"/>
        </w:rPr>
      </w:pPr>
    </w:p>
    <w:p>
      <w:pPr>
        <w:ind w:left="535" w:right="380" w:hanging="535"/>
        <w:spacing w:after="0" w:line="277"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t>the power of attorney granted by Studio City Holdings Four Limited dated 18 September 2015 regarding all its present and future shares in Studio City Hotels Limited;</w:t>
      </w:r>
    </w:p>
    <w:p>
      <w:pPr>
        <w:spacing w:after="0" w:line="75" w:lineRule="exact"/>
        <w:rPr>
          <w:rFonts w:ascii="Arial" w:cs="Arial" w:eastAsia="Arial" w:hAnsi="Arial"/>
          <w:sz w:val="18"/>
          <w:szCs w:val="18"/>
          <w:color w:val="auto"/>
        </w:rPr>
      </w:pPr>
    </w:p>
    <w:p>
      <w:pPr>
        <w:ind w:left="535" w:right="160" w:hanging="535"/>
        <w:spacing w:after="0" w:line="277"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t>the pledge over the share in Studio City Hotels Limited held by Studio City Holdings Five Limited, granted by Studio City Holdings Five Limited dated 18 September 2015;</w:t>
      </w:r>
    </w:p>
    <w:p>
      <w:pPr>
        <w:spacing w:after="0" w:line="75" w:lineRule="exact"/>
        <w:rPr>
          <w:rFonts w:ascii="Arial" w:cs="Arial" w:eastAsia="Arial" w:hAnsi="Arial"/>
          <w:sz w:val="18"/>
          <w:szCs w:val="18"/>
          <w:color w:val="auto"/>
        </w:rPr>
      </w:pPr>
    </w:p>
    <w:p>
      <w:pPr>
        <w:ind w:left="535" w:right="100" w:hanging="535"/>
        <w:spacing w:after="0" w:line="277"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t>the power of attorney granted by Studio City Holdings Five Limited dated 18 September 2015 regarding the share held in Studio City Hotels Limited;</w:t>
      </w:r>
    </w:p>
    <w:p>
      <w:pPr>
        <w:spacing w:after="0" w:line="75" w:lineRule="exact"/>
        <w:rPr>
          <w:rFonts w:ascii="Arial" w:cs="Arial" w:eastAsia="Arial" w:hAnsi="Arial"/>
          <w:sz w:val="18"/>
          <w:szCs w:val="18"/>
          <w:color w:val="auto"/>
        </w:rPr>
      </w:pPr>
    </w:p>
    <w:p>
      <w:pPr>
        <w:ind w:left="535" w:right="160" w:hanging="535"/>
        <w:spacing w:after="0" w:line="342" w:lineRule="auto"/>
        <w:tabs>
          <w:tab w:leader="none" w:pos="535" w:val="left"/>
        </w:tabs>
        <w:numPr>
          <w:ilvl w:val="0"/>
          <w:numId w:val="1250"/>
        </w:numPr>
        <w:rPr>
          <w:rFonts w:ascii="Arial" w:cs="Arial" w:eastAsia="Arial" w:hAnsi="Arial"/>
          <w:sz w:val="16"/>
          <w:szCs w:val="16"/>
          <w:color w:val="auto"/>
        </w:rPr>
      </w:pPr>
      <w:r>
        <w:rPr>
          <w:rFonts w:ascii="Arial" w:cs="Arial" w:eastAsia="Arial" w:hAnsi="Arial"/>
          <w:sz w:val="16"/>
          <w:szCs w:val="16"/>
          <w:color w:val="auto"/>
        </w:rPr>
        <w:t>the pledge over all present and future shares in Studio City Developments Limited held by SCP Holdings Limited, SCP One Limited and SCP Two Limited, granted by SCP Holdings Limited, SCP One Limited and SCP Two Limited dated 26 November 2013;</w:t>
      </w:r>
    </w:p>
    <w:p>
      <w:pPr>
        <w:spacing w:after="0" w:line="29" w:lineRule="exact"/>
        <w:rPr>
          <w:rFonts w:ascii="Arial" w:cs="Arial" w:eastAsia="Arial" w:hAnsi="Arial"/>
          <w:sz w:val="16"/>
          <w:szCs w:val="16"/>
          <w:color w:val="auto"/>
        </w:rPr>
      </w:pPr>
    </w:p>
    <w:p>
      <w:pPr>
        <w:ind w:left="535" w:right="80" w:hanging="535"/>
        <w:spacing w:after="0" w:line="277"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t>the power of attorney granted by SCP Holdings Limited dated 18 September 2015 regarding all its present and future shares in Studio City Developments Limited;</w:t>
      </w:r>
    </w:p>
    <w:p>
      <w:pPr>
        <w:spacing w:after="0" w:line="75" w:lineRule="exact"/>
        <w:rPr>
          <w:rFonts w:ascii="Arial" w:cs="Arial" w:eastAsia="Arial" w:hAnsi="Arial"/>
          <w:sz w:val="18"/>
          <w:szCs w:val="18"/>
          <w:color w:val="auto"/>
        </w:rPr>
      </w:pPr>
    </w:p>
    <w:p>
      <w:pPr>
        <w:ind w:left="535" w:right="100" w:hanging="535"/>
        <w:spacing w:after="0" w:line="277"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t>the power of attorney granted by SCP One Limited dated 18 September 2015 regarding all its present and future shares in Studio City Developments Limited;</w:t>
      </w:r>
    </w:p>
    <w:p>
      <w:pPr>
        <w:spacing w:after="0" w:line="75" w:lineRule="exact"/>
        <w:rPr>
          <w:rFonts w:ascii="Arial" w:cs="Arial" w:eastAsia="Arial" w:hAnsi="Arial"/>
          <w:sz w:val="18"/>
          <w:szCs w:val="18"/>
          <w:color w:val="auto"/>
        </w:rPr>
      </w:pPr>
    </w:p>
    <w:p>
      <w:pPr>
        <w:ind w:left="535" w:right="80" w:hanging="535"/>
        <w:spacing w:after="0" w:line="277"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t>the power of attorney granted by SCP Two Limited dated 18 September 2015 regarding all its present and future shares in Studio City Developments Limited;</w:t>
      </w:r>
    </w:p>
    <w:p>
      <w:pPr>
        <w:spacing w:after="0" w:line="75" w:lineRule="exact"/>
        <w:rPr>
          <w:rFonts w:ascii="Arial" w:cs="Arial" w:eastAsia="Arial" w:hAnsi="Arial"/>
          <w:sz w:val="18"/>
          <w:szCs w:val="18"/>
          <w:color w:val="auto"/>
        </w:rPr>
      </w:pPr>
    </w:p>
    <w:p>
      <w:pPr>
        <w:ind w:left="535" w:right="300" w:hanging="535"/>
        <w:spacing w:after="0" w:line="277"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t>the pledge over the share in Studio City Developments Limited held by Studio City Holdings Five Limited, granted by Studio City Holdings Five Limited dated 18 September 2015;</w:t>
      </w:r>
    </w:p>
    <w:p>
      <w:pPr>
        <w:spacing w:after="0" w:line="75" w:lineRule="exact"/>
        <w:rPr>
          <w:rFonts w:ascii="Arial" w:cs="Arial" w:eastAsia="Arial" w:hAnsi="Arial"/>
          <w:sz w:val="18"/>
          <w:szCs w:val="18"/>
          <w:color w:val="auto"/>
        </w:rPr>
      </w:pPr>
    </w:p>
    <w:p>
      <w:pPr>
        <w:ind w:left="535" w:right="100" w:hanging="535"/>
        <w:spacing w:after="0" w:line="277"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t>the power of attorney granted by Studio City Holdings Five Limited dated 18 September 2015 regarding the share held in Studio City Developments Limited;</w:t>
      </w:r>
    </w:p>
    <w:p>
      <w:pPr>
        <w:spacing w:after="0" w:line="75" w:lineRule="exact"/>
        <w:rPr>
          <w:rFonts w:ascii="Arial" w:cs="Arial" w:eastAsia="Arial" w:hAnsi="Arial"/>
          <w:sz w:val="18"/>
          <w:szCs w:val="18"/>
          <w:color w:val="auto"/>
        </w:rPr>
      </w:pPr>
    </w:p>
    <w:p>
      <w:pPr>
        <w:ind w:left="535" w:right="200" w:hanging="535"/>
        <w:spacing w:after="0" w:line="263"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t>the pledge over all present and future shares in Studio City Retail Services Limited held by Studio City Services Limited and Studio City Hospitality and Services Limited, granted by Studio City Services Limited and Studio City Hospitality and Services Limited dated 26 November 2013;</w:t>
      </w:r>
    </w:p>
    <w:p>
      <w:pPr>
        <w:spacing w:after="0" w:line="89" w:lineRule="exact"/>
        <w:rPr>
          <w:rFonts w:ascii="Arial" w:cs="Arial" w:eastAsia="Arial" w:hAnsi="Arial"/>
          <w:sz w:val="18"/>
          <w:szCs w:val="18"/>
          <w:color w:val="auto"/>
        </w:rPr>
      </w:pPr>
    </w:p>
    <w:p>
      <w:pPr>
        <w:ind w:left="535" w:right="300" w:hanging="535"/>
        <w:spacing w:after="0" w:line="277"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t>the pledge over all present and future shares in Studio City Hospitality and Services Limited held by Studio City Services Limited, granted by Studio City Services Limited dated 26 November 2013;</w:t>
      </w:r>
    </w:p>
    <w:p>
      <w:pPr>
        <w:spacing w:after="0" w:line="75" w:lineRule="exact"/>
        <w:rPr>
          <w:rFonts w:ascii="Arial" w:cs="Arial" w:eastAsia="Arial" w:hAnsi="Arial"/>
          <w:sz w:val="18"/>
          <w:szCs w:val="18"/>
          <w:color w:val="auto"/>
        </w:rPr>
      </w:pPr>
    </w:p>
    <w:p>
      <w:pPr>
        <w:jc w:val="both"/>
        <w:ind w:left="535" w:right="220" w:hanging="535"/>
        <w:spacing w:after="0" w:line="342" w:lineRule="auto"/>
        <w:tabs>
          <w:tab w:leader="none" w:pos="535" w:val="left"/>
        </w:tabs>
        <w:numPr>
          <w:ilvl w:val="0"/>
          <w:numId w:val="1250"/>
        </w:numPr>
        <w:rPr>
          <w:rFonts w:ascii="Arial" w:cs="Arial" w:eastAsia="Arial" w:hAnsi="Arial"/>
          <w:sz w:val="16"/>
          <w:szCs w:val="16"/>
          <w:color w:val="auto"/>
        </w:rPr>
      </w:pPr>
      <w:r>
        <w:rPr>
          <w:rFonts w:ascii="Arial" w:cs="Arial" w:eastAsia="Arial" w:hAnsi="Arial"/>
          <w:sz w:val="16"/>
          <w:szCs w:val="16"/>
          <w:color w:val="auto"/>
        </w:rPr>
        <w:t>the pledge over all present and future shares of Studio City Services Limited held by Studio City Company Limited and Studio City Holdings Two Limited, granted by Studio City Company Limited and Studio City Holdings Two Limited dated 26 November 2013;</w:t>
      </w:r>
    </w:p>
    <w:p>
      <w:pPr>
        <w:spacing w:after="0" w:line="29" w:lineRule="exact"/>
        <w:rPr>
          <w:rFonts w:ascii="Arial" w:cs="Arial" w:eastAsia="Arial" w:hAnsi="Arial"/>
          <w:sz w:val="16"/>
          <w:szCs w:val="16"/>
          <w:color w:val="auto"/>
        </w:rPr>
      </w:pPr>
    </w:p>
    <w:p>
      <w:pPr>
        <w:jc w:val="both"/>
        <w:ind w:left="535" w:right="300" w:hanging="535"/>
        <w:spacing w:after="0" w:line="263" w:lineRule="auto"/>
        <w:tabs>
          <w:tab w:leader="none" w:pos="535" w:val="left"/>
        </w:tabs>
        <w:numPr>
          <w:ilvl w:val="0"/>
          <w:numId w:val="1250"/>
        </w:numPr>
        <w:rPr>
          <w:rFonts w:ascii="Arial" w:cs="Arial" w:eastAsia="Arial" w:hAnsi="Arial"/>
          <w:sz w:val="18"/>
          <w:szCs w:val="18"/>
          <w:color w:val="auto"/>
        </w:rPr>
      </w:pPr>
      <w:r>
        <w:rPr>
          <w:rFonts w:ascii="Arial" w:cs="Arial" w:eastAsia="Arial" w:hAnsi="Arial"/>
          <w:sz w:val="18"/>
          <w:szCs w:val="18"/>
          <w:color w:val="auto"/>
        </w:rPr>
        <w:t>the power of attorney granted by Studio City Holdings Five Limited dated 18 September 2015 to terminate certain preference right agreements pursuant to which Studio City Holdings Five Limited was given preference in the acquisition of certain shares and the assignment of the interest in the Amended Land Concession;</w:t>
      </w:r>
    </w:p>
    <w:p>
      <w:pPr>
        <w:spacing w:after="0" w:line="116" w:lineRule="exact"/>
        <w:rPr>
          <w:sz w:val="20"/>
          <w:szCs w:val="20"/>
          <w:color w:val="auto"/>
        </w:rPr>
      </w:pPr>
    </w:p>
    <w:tbl>
      <w:tblPr>
        <w:tblLayout w:type="fixed"/>
        <w:tblInd w:w="4715"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Arial" w:cs="Arial" w:eastAsia="Arial" w:hAnsi="Arial"/>
                <w:sz w:val="18"/>
                <w:szCs w:val="18"/>
                <w:color w:val="auto"/>
                <w:w w:val="79"/>
              </w:rPr>
              <w:t>16</w:t>
            </w:r>
          </w:p>
        </w:tc>
        <w:tc>
          <w:tcPr>
            <w:tcW w:w="418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0255"/>
          </w:cols>
          <w:pgMar w:left="1205" w:top="274" w:right="439" w:bottom="1440" w:gutter="0" w:footer="0" w:header="0"/>
        </w:sectPr>
      </w:pPr>
    </w:p>
    <w:bookmarkStart w:id="817" w:name="page818"/>
    <w:bookmarkEnd w:id="817"/>
    <w:p>
      <w:pPr>
        <w:ind w:left="535" w:right="180" w:hanging="535"/>
        <w:spacing w:after="0" w:line="277" w:lineRule="auto"/>
        <w:tabs>
          <w:tab w:leader="none" w:pos="535" w:val="left"/>
        </w:tabs>
        <w:numPr>
          <w:ilvl w:val="0"/>
          <w:numId w:val="1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floating charge over substantially all assets of Studio City Developments Limited, granted by Studio City Developments Limited dated 26 November 2013;</w:t>
      </w:r>
    </w:p>
    <w:p>
      <w:pPr>
        <w:spacing w:after="0" w:line="75" w:lineRule="exact"/>
        <w:rPr>
          <w:rFonts w:ascii="Arial" w:cs="Arial" w:eastAsia="Arial" w:hAnsi="Arial"/>
          <w:sz w:val="18"/>
          <w:szCs w:val="18"/>
          <w:color w:val="auto"/>
        </w:rPr>
      </w:pPr>
    </w:p>
    <w:p>
      <w:pPr>
        <w:ind w:left="535" w:right="220" w:hanging="535"/>
        <w:spacing w:after="0" w:line="277" w:lineRule="auto"/>
        <w:tabs>
          <w:tab w:leader="none" w:pos="535" w:val="left"/>
        </w:tabs>
        <w:numPr>
          <w:ilvl w:val="0"/>
          <w:numId w:val="1251"/>
        </w:numPr>
        <w:rPr>
          <w:rFonts w:ascii="Arial" w:cs="Arial" w:eastAsia="Arial" w:hAnsi="Arial"/>
          <w:sz w:val="18"/>
          <w:szCs w:val="18"/>
          <w:color w:val="auto"/>
        </w:rPr>
      </w:pPr>
      <w:r>
        <w:rPr>
          <w:rFonts w:ascii="Arial" w:cs="Arial" w:eastAsia="Arial" w:hAnsi="Arial"/>
          <w:sz w:val="18"/>
          <w:szCs w:val="18"/>
          <w:color w:val="auto"/>
        </w:rPr>
        <w:t>the floating charge over substantially all assets of Studio City Entertainment Limited, granted by Studio City Entertainment Limited dated 26 November 2013;</w:t>
      </w:r>
    </w:p>
    <w:p>
      <w:pPr>
        <w:spacing w:after="0" w:line="76" w:lineRule="exact"/>
        <w:rPr>
          <w:sz w:val="20"/>
          <w:szCs w:val="20"/>
          <w:color w:val="auto"/>
        </w:rPr>
      </w:pPr>
    </w:p>
    <w:p>
      <w:pPr>
        <w:ind w:left="535" w:right="60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floating charge over substantially all assets of Studio City Services Limited, granted by Studio City Services Limited dated 26 November 2013;</w:t>
      </w:r>
    </w:p>
    <w:p>
      <w:pPr>
        <w:spacing w:after="0" w:line="75" w:lineRule="exact"/>
        <w:rPr>
          <w:rFonts w:ascii="Arial" w:cs="Arial" w:eastAsia="Arial" w:hAnsi="Arial"/>
          <w:sz w:val="18"/>
          <w:szCs w:val="18"/>
          <w:color w:val="auto"/>
        </w:rPr>
      </w:pPr>
    </w:p>
    <w:p>
      <w:pPr>
        <w:ind w:left="535" w:right="30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floating charge over substantially all assets of Studio City Hospitality and Services Limited, granted by Studio City Hospitality and Services Limited dated 26 November 2013;</w:t>
      </w:r>
    </w:p>
    <w:p>
      <w:pPr>
        <w:spacing w:after="0" w:line="75" w:lineRule="exact"/>
        <w:rPr>
          <w:rFonts w:ascii="Arial" w:cs="Arial" w:eastAsia="Arial" w:hAnsi="Arial"/>
          <w:sz w:val="18"/>
          <w:szCs w:val="18"/>
          <w:color w:val="auto"/>
        </w:rPr>
      </w:pPr>
    </w:p>
    <w:p>
      <w:pPr>
        <w:ind w:left="535" w:right="88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floating charge over substantially all assets of Studio City Hotels Limited, granted by Studio City Hotels Limited dated 26 November 2013;</w:t>
      </w:r>
    </w:p>
    <w:p>
      <w:pPr>
        <w:spacing w:after="0" w:line="75" w:lineRule="exact"/>
        <w:rPr>
          <w:rFonts w:ascii="Arial" w:cs="Arial" w:eastAsia="Arial" w:hAnsi="Arial"/>
          <w:sz w:val="18"/>
          <w:szCs w:val="18"/>
          <w:color w:val="auto"/>
        </w:rPr>
      </w:pPr>
    </w:p>
    <w:p>
      <w:pPr>
        <w:ind w:left="535" w:right="8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floating charge over substantially all assets of Studio City Retail Services Limited, granted by Studio City Retail Services Limited dated 26 November 2013;</w:t>
      </w:r>
    </w:p>
    <w:p>
      <w:pPr>
        <w:spacing w:after="0" w:line="75" w:lineRule="exact"/>
        <w:rPr>
          <w:rFonts w:ascii="Arial" w:cs="Arial" w:eastAsia="Arial" w:hAnsi="Arial"/>
          <w:sz w:val="18"/>
          <w:szCs w:val="18"/>
          <w:color w:val="auto"/>
        </w:rPr>
      </w:pPr>
    </w:p>
    <w:p>
      <w:pPr>
        <w:ind w:left="535" w:right="16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pledge over certain onshore accounts of Studio City Company Limited held in the Macau SAR, granted by Studio City Company Limited dated 26 November 2013;</w:t>
      </w:r>
    </w:p>
    <w:p>
      <w:pPr>
        <w:spacing w:after="0" w:line="75" w:lineRule="exact"/>
        <w:rPr>
          <w:rFonts w:ascii="Arial" w:cs="Arial" w:eastAsia="Arial" w:hAnsi="Arial"/>
          <w:sz w:val="18"/>
          <w:szCs w:val="18"/>
          <w:color w:val="auto"/>
        </w:rPr>
      </w:pPr>
    </w:p>
    <w:p>
      <w:pPr>
        <w:ind w:left="535" w:right="56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pledge over certain onshore accounts of Studio City Developments Limited held in the Macau SAR, granted by Studio City Developments Limited dated 26 November 2013;</w:t>
      </w:r>
    </w:p>
    <w:p>
      <w:pPr>
        <w:spacing w:after="0" w:line="75" w:lineRule="exact"/>
        <w:rPr>
          <w:rFonts w:ascii="Arial" w:cs="Arial" w:eastAsia="Arial" w:hAnsi="Arial"/>
          <w:sz w:val="18"/>
          <w:szCs w:val="18"/>
          <w:color w:val="auto"/>
        </w:rPr>
      </w:pPr>
    </w:p>
    <w:p>
      <w:pPr>
        <w:ind w:left="535" w:right="58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pledge over certain onshore accounts of Studio City Entertainment Limited held in the Macau SAR, granted by Studio City Entertainment Limited dated 26 November 2013;</w:t>
      </w:r>
    </w:p>
    <w:p>
      <w:pPr>
        <w:spacing w:after="0" w:line="75" w:lineRule="exact"/>
        <w:rPr>
          <w:rFonts w:ascii="Arial" w:cs="Arial" w:eastAsia="Arial" w:hAnsi="Arial"/>
          <w:sz w:val="18"/>
          <w:szCs w:val="18"/>
          <w:color w:val="auto"/>
        </w:rPr>
      </w:pPr>
    </w:p>
    <w:p>
      <w:pPr>
        <w:ind w:left="535" w:right="62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pledge over certain onshore accounts of Studio City Hotels Limited held in the Macau SAR, granted by Studio City Hotels Limited dated 26 November 2013;</w:t>
      </w:r>
    </w:p>
    <w:p>
      <w:pPr>
        <w:spacing w:after="0" w:line="75" w:lineRule="exact"/>
        <w:rPr>
          <w:rFonts w:ascii="Arial" w:cs="Arial" w:eastAsia="Arial" w:hAnsi="Arial"/>
          <w:sz w:val="18"/>
          <w:szCs w:val="18"/>
          <w:color w:val="auto"/>
        </w:rPr>
      </w:pPr>
    </w:p>
    <w:p>
      <w:pPr>
        <w:ind w:left="535" w:right="34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pledge over certain onshore accounts of Studio City Services Limited held in the Macau SAR, granted by Studio City Services Limited dated 26 November 2013;</w:t>
      </w:r>
    </w:p>
    <w:p>
      <w:pPr>
        <w:spacing w:after="0" w:line="75" w:lineRule="exact"/>
        <w:rPr>
          <w:rFonts w:ascii="Arial" w:cs="Arial" w:eastAsia="Arial" w:hAnsi="Arial"/>
          <w:sz w:val="18"/>
          <w:szCs w:val="18"/>
          <w:color w:val="auto"/>
        </w:rPr>
      </w:pPr>
    </w:p>
    <w:p>
      <w:pPr>
        <w:ind w:left="535" w:right="20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pledge over certain onshore accounts of Studio City Hospitality and Services Limited held in the Macau SAR, granted by Studio City Hospitality and Services Limited dated 26 November 2013;</w:t>
      </w:r>
    </w:p>
    <w:p>
      <w:pPr>
        <w:spacing w:after="0" w:line="75" w:lineRule="exact"/>
        <w:rPr>
          <w:rFonts w:ascii="Arial" w:cs="Arial" w:eastAsia="Arial" w:hAnsi="Arial"/>
          <w:sz w:val="18"/>
          <w:szCs w:val="18"/>
          <w:color w:val="auto"/>
        </w:rPr>
      </w:pPr>
    </w:p>
    <w:p>
      <w:pPr>
        <w:ind w:left="535" w:right="4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pledge over certain onshore accounts of Studio City Retail Services Limited held in the Macau SAR, granted by Studio City Retail Services Limited dated 26 November 2013; and</w:t>
      </w:r>
    </w:p>
    <w:p>
      <w:pPr>
        <w:spacing w:after="0" w:line="75" w:lineRule="exact"/>
        <w:rPr>
          <w:rFonts w:ascii="Arial" w:cs="Arial" w:eastAsia="Arial" w:hAnsi="Arial"/>
          <w:sz w:val="18"/>
          <w:szCs w:val="18"/>
          <w:color w:val="auto"/>
        </w:rPr>
      </w:pPr>
    </w:p>
    <w:p>
      <w:pPr>
        <w:ind w:left="535" w:right="8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pledge over certain onshore accounts of SCIP Holdings Limited held in the Macau SAR, granted by SCIP Holdings Limited dated 26 November 2013;</w:t>
      </w:r>
    </w:p>
    <w:p>
      <w:pPr>
        <w:spacing w:after="0" w:line="75" w:lineRule="exact"/>
        <w:rPr>
          <w:rFonts w:ascii="Arial" w:cs="Arial" w:eastAsia="Arial" w:hAnsi="Arial"/>
          <w:sz w:val="18"/>
          <w:szCs w:val="18"/>
          <w:color w:val="auto"/>
        </w:rPr>
      </w:pPr>
    </w:p>
    <w:p>
      <w:pPr>
        <w:ind w:left="535" w:right="4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assignment of certain leases and rights to use agreements dated 26 November 2013 and entered into by (among others) Studio City Developments Limited;</w:t>
      </w:r>
    </w:p>
    <w:p>
      <w:pPr>
        <w:spacing w:after="0" w:line="75" w:lineRule="exact"/>
        <w:rPr>
          <w:rFonts w:ascii="Arial" w:cs="Arial" w:eastAsia="Arial" w:hAnsi="Arial"/>
          <w:sz w:val="18"/>
          <w:szCs w:val="18"/>
          <w:color w:val="auto"/>
        </w:rPr>
      </w:pPr>
    </w:p>
    <w:p>
      <w:pPr>
        <w:ind w:left="535" w:right="4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assignment of certain leases and rights to use agreements dated 26 November 2013 and entered into by (among others) Studio City Entertainment Limited;</w:t>
      </w:r>
    </w:p>
    <w:p>
      <w:pPr>
        <w:spacing w:after="0" w:line="75" w:lineRule="exact"/>
        <w:rPr>
          <w:rFonts w:ascii="Arial" w:cs="Arial" w:eastAsia="Arial" w:hAnsi="Arial"/>
          <w:sz w:val="18"/>
          <w:szCs w:val="18"/>
          <w:color w:val="auto"/>
        </w:rPr>
      </w:pPr>
    </w:p>
    <w:p>
      <w:pPr>
        <w:ind w:left="535" w:right="4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assignment of certain leases and rights to use agreements dated 26 November 2013 and entered into by (among others) Studio City Hotels Limited;</w:t>
      </w:r>
    </w:p>
    <w:p>
      <w:pPr>
        <w:spacing w:after="0" w:line="75" w:lineRule="exact"/>
        <w:rPr>
          <w:rFonts w:ascii="Arial" w:cs="Arial" w:eastAsia="Arial" w:hAnsi="Arial"/>
          <w:sz w:val="18"/>
          <w:szCs w:val="18"/>
          <w:color w:val="auto"/>
        </w:rPr>
      </w:pPr>
    </w:p>
    <w:p>
      <w:pPr>
        <w:ind w:left="535" w:right="40" w:hanging="535"/>
        <w:spacing w:after="0" w:line="277" w:lineRule="auto"/>
        <w:tabs>
          <w:tab w:leader="none" w:pos="535" w:val="left"/>
        </w:tabs>
        <w:numPr>
          <w:ilvl w:val="0"/>
          <w:numId w:val="1252"/>
        </w:numPr>
        <w:rPr>
          <w:rFonts w:ascii="Arial" w:cs="Arial" w:eastAsia="Arial" w:hAnsi="Arial"/>
          <w:sz w:val="18"/>
          <w:szCs w:val="18"/>
          <w:color w:val="auto"/>
        </w:rPr>
      </w:pPr>
      <w:r>
        <w:rPr>
          <w:rFonts w:ascii="Arial" w:cs="Arial" w:eastAsia="Arial" w:hAnsi="Arial"/>
          <w:sz w:val="18"/>
          <w:szCs w:val="18"/>
          <w:color w:val="auto"/>
        </w:rPr>
        <w:t>the assignment of certain leases and rights to use agreements dated 26 November 2013 and entered into by (among others) Studio City Services Limited;</w:t>
      </w:r>
    </w:p>
    <w:p>
      <w:pPr>
        <w:spacing w:after="0" w:line="103" w:lineRule="exact"/>
        <w:rPr>
          <w:sz w:val="20"/>
          <w:szCs w:val="20"/>
          <w:color w:val="auto"/>
        </w:rPr>
      </w:pPr>
    </w:p>
    <w:tbl>
      <w:tblPr>
        <w:tblLayout w:type="fixed"/>
        <w:tblInd w:w="4715"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Arial" w:cs="Arial" w:eastAsia="Arial" w:hAnsi="Arial"/>
                <w:sz w:val="18"/>
                <w:szCs w:val="18"/>
                <w:color w:val="auto"/>
                <w:w w:val="79"/>
              </w:rPr>
              <w:t>17</w:t>
            </w:r>
          </w:p>
        </w:tc>
        <w:tc>
          <w:tcPr>
            <w:tcW w:w="418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0255"/>
          </w:cols>
          <w:pgMar w:left="1205" w:top="274" w:right="439" w:bottom="1440" w:gutter="0" w:footer="0" w:header="0"/>
        </w:sectPr>
      </w:pPr>
    </w:p>
    <w:bookmarkStart w:id="818" w:name="page819"/>
    <w:bookmarkEnd w:id="818"/>
    <w:p>
      <w:pPr>
        <w:ind w:left="1304" w:right="40" w:hanging="535"/>
        <w:spacing w:after="0" w:line="277" w:lineRule="auto"/>
        <w:tabs>
          <w:tab w:leader="none" w:pos="1304" w:val="left"/>
        </w:tabs>
        <w:numPr>
          <w:ilvl w:val="1"/>
          <w:numId w:val="1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assignment of certain leases and rights to use agreements dated 26 November 2013 and entered into by (among others) Studio City Hospitality and Services Limited; and</w:t>
      </w:r>
    </w:p>
    <w:p>
      <w:pPr>
        <w:spacing w:after="0" w:line="75" w:lineRule="exact"/>
        <w:rPr>
          <w:rFonts w:ascii="Arial" w:cs="Arial" w:eastAsia="Arial" w:hAnsi="Arial"/>
          <w:sz w:val="18"/>
          <w:szCs w:val="18"/>
          <w:color w:val="auto"/>
        </w:rPr>
      </w:pPr>
    </w:p>
    <w:p>
      <w:pPr>
        <w:ind w:left="1304" w:right="40" w:hanging="535"/>
        <w:spacing w:after="0" w:line="277" w:lineRule="auto"/>
        <w:tabs>
          <w:tab w:leader="none" w:pos="1304" w:val="left"/>
        </w:tabs>
        <w:numPr>
          <w:ilvl w:val="1"/>
          <w:numId w:val="1253"/>
        </w:numPr>
        <w:rPr>
          <w:rFonts w:ascii="Arial" w:cs="Arial" w:eastAsia="Arial" w:hAnsi="Arial"/>
          <w:sz w:val="18"/>
          <w:szCs w:val="18"/>
          <w:color w:val="auto"/>
        </w:rPr>
      </w:pPr>
      <w:r>
        <w:rPr>
          <w:rFonts w:ascii="Arial" w:cs="Arial" w:eastAsia="Arial" w:hAnsi="Arial"/>
          <w:sz w:val="18"/>
          <w:szCs w:val="18"/>
          <w:color w:val="auto"/>
        </w:rPr>
        <w:t>the assignment of certain leases and rights to use agreements dated 26 November 2013 and entered into by (among others) Studio City Retail Services Limited.</w:t>
      </w:r>
    </w:p>
    <w:p>
      <w:pPr>
        <w:spacing w:after="0" w:line="75" w:lineRule="exact"/>
        <w:rPr>
          <w:rFonts w:ascii="Arial" w:cs="Arial" w:eastAsia="Arial" w:hAnsi="Arial"/>
          <w:sz w:val="18"/>
          <w:szCs w:val="18"/>
          <w:color w:val="auto"/>
        </w:rPr>
      </w:pPr>
    </w:p>
    <w:p>
      <w:pPr>
        <w:ind w:left="764" w:right="80" w:hanging="764"/>
        <w:spacing w:after="0" w:line="263" w:lineRule="auto"/>
        <w:tabs>
          <w:tab w:leader="none" w:pos="764" w:val="left"/>
        </w:tabs>
        <w:numPr>
          <w:ilvl w:val="0"/>
          <w:numId w:val="1254"/>
        </w:numPr>
        <w:rPr>
          <w:rFonts w:ascii="Arial" w:cs="Arial" w:eastAsia="Arial" w:hAnsi="Arial"/>
          <w:sz w:val="18"/>
          <w:szCs w:val="18"/>
          <w:color w:val="auto"/>
        </w:rPr>
      </w:pPr>
      <w:r>
        <w:rPr>
          <w:rFonts w:ascii="Arial" w:cs="Arial" w:eastAsia="Arial" w:hAnsi="Arial"/>
          <w:sz w:val="18"/>
          <w:szCs w:val="18"/>
          <w:color w:val="auto"/>
        </w:rPr>
        <w:t>A specific composite confirmation to be entered into (among others) by Melco Resorts (Macau) Limited, Studio City Developments Limited, Studio City Hotels Limited, Studio City Company Limited, Studio City Holdings Five Limited and Studio City Entertainment Limited with respect to the following Macau law security documents:</w:t>
      </w:r>
    </w:p>
    <w:p>
      <w:pPr>
        <w:spacing w:after="0" w:line="89" w:lineRule="exact"/>
        <w:rPr>
          <w:rFonts w:ascii="Arial" w:cs="Arial" w:eastAsia="Arial" w:hAnsi="Arial"/>
          <w:sz w:val="18"/>
          <w:szCs w:val="18"/>
          <w:color w:val="auto"/>
        </w:rPr>
      </w:pPr>
    </w:p>
    <w:p>
      <w:pPr>
        <w:ind w:left="1304" w:hanging="535"/>
        <w:spacing w:after="0"/>
        <w:tabs>
          <w:tab w:leader="none" w:pos="1304" w:val="left"/>
        </w:tabs>
        <w:numPr>
          <w:ilvl w:val="1"/>
          <w:numId w:val="1254"/>
        </w:numPr>
        <w:rPr>
          <w:rFonts w:ascii="Arial" w:cs="Arial" w:eastAsia="Arial" w:hAnsi="Arial"/>
          <w:sz w:val="16"/>
          <w:szCs w:val="16"/>
          <w:color w:val="auto"/>
        </w:rPr>
      </w:pPr>
      <w:r>
        <w:rPr>
          <w:rFonts w:ascii="Arial" w:cs="Arial" w:eastAsia="Arial" w:hAnsi="Arial"/>
          <w:sz w:val="16"/>
          <w:szCs w:val="16"/>
          <w:color w:val="auto"/>
        </w:rPr>
        <w:t>the assignment of the Services and Right to Use Agreement granted by Studio City Entertainment Limited dated 26 November 2013;</w:t>
      </w:r>
    </w:p>
    <w:p>
      <w:pPr>
        <w:spacing w:after="0" w:line="153" w:lineRule="exact"/>
        <w:rPr>
          <w:rFonts w:ascii="Arial" w:cs="Arial" w:eastAsia="Arial" w:hAnsi="Arial"/>
          <w:sz w:val="16"/>
          <w:szCs w:val="16"/>
          <w:color w:val="auto"/>
        </w:rPr>
      </w:pPr>
    </w:p>
    <w:p>
      <w:pPr>
        <w:ind w:left="1304" w:hanging="535"/>
        <w:spacing w:after="0"/>
        <w:tabs>
          <w:tab w:leader="none" w:pos="1304" w:val="left"/>
        </w:tabs>
        <w:numPr>
          <w:ilvl w:val="1"/>
          <w:numId w:val="1254"/>
        </w:numPr>
        <w:rPr>
          <w:rFonts w:ascii="Arial" w:cs="Arial" w:eastAsia="Arial" w:hAnsi="Arial"/>
          <w:sz w:val="17"/>
          <w:szCs w:val="17"/>
          <w:color w:val="auto"/>
        </w:rPr>
      </w:pPr>
      <w:r>
        <w:rPr>
          <w:rFonts w:ascii="Arial" w:cs="Arial" w:eastAsia="Arial" w:hAnsi="Arial"/>
          <w:sz w:val="17"/>
          <w:szCs w:val="17"/>
          <w:color w:val="auto"/>
        </w:rPr>
        <w:t>the assignment of the Reimbursement Agreement granted by Studio City Entertainment Limited dated 26 November 2013; and</w:t>
      </w:r>
    </w:p>
    <w:p>
      <w:pPr>
        <w:spacing w:after="0" w:line="142" w:lineRule="exact"/>
        <w:rPr>
          <w:rFonts w:ascii="Arial" w:cs="Arial" w:eastAsia="Arial" w:hAnsi="Arial"/>
          <w:sz w:val="17"/>
          <w:szCs w:val="17"/>
          <w:color w:val="auto"/>
        </w:rPr>
      </w:pPr>
    </w:p>
    <w:p>
      <w:pPr>
        <w:jc w:val="both"/>
        <w:ind w:left="1304" w:right="240" w:hanging="535"/>
        <w:spacing w:after="0" w:line="286" w:lineRule="auto"/>
        <w:tabs>
          <w:tab w:leader="none" w:pos="1304" w:val="left"/>
        </w:tabs>
        <w:numPr>
          <w:ilvl w:val="1"/>
          <w:numId w:val="1254"/>
        </w:numPr>
        <w:rPr>
          <w:rFonts w:ascii="Arial" w:cs="Arial" w:eastAsia="Arial" w:hAnsi="Arial"/>
          <w:sz w:val="17"/>
          <w:szCs w:val="17"/>
          <w:color w:val="auto"/>
        </w:rPr>
      </w:pPr>
      <w:r>
        <w:rPr>
          <w:rFonts w:ascii="Arial" w:cs="Arial" w:eastAsia="Arial" w:hAnsi="Arial"/>
          <w:sz w:val="17"/>
          <w:szCs w:val="17"/>
          <w:color w:val="auto"/>
        </w:rPr>
        <w:t>the direct agreement in relation to (i) the Services and Right to Use Agreement; and (ii) the Reimbursement Agreement, granted by Studio City Company Limited, Studio City Entertainment Limited, Studio City Developments Limited, Studio City Hotels Limited, Melco Resorts (Macau) Limited and Studio City Holdings Five Limited dated 26 November 2013.</w:t>
      </w:r>
    </w:p>
    <w:p>
      <w:pPr>
        <w:spacing w:after="0" w:line="70" w:lineRule="exact"/>
        <w:rPr>
          <w:rFonts w:ascii="Arial" w:cs="Arial" w:eastAsia="Arial" w:hAnsi="Arial"/>
          <w:sz w:val="17"/>
          <w:szCs w:val="17"/>
          <w:color w:val="auto"/>
        </w:rPr>
      </w:pPr>
    </w:p>
    <w:p>
      <w:pPr>
        <w:ind w:left="764" w:right="220" w:hanging="764"/>
        <w:spacing w:after="0" w:line="259" w:lineRule="auto"/>
        <w:tabs>
          <w:tab w:leader="none" w:pos="764" w:val="left"/>
        </w:tabs>
        <w:numPr>
          <w:ilvl w:val="0"/>
          <w:numId w:val="1254"/>
        </w:numPr>
        <w:rPr>
          <w:rFonts w:ascii="Arial" w:cs="Arial" w:eastAsia="Arial" w:hAnsi="Arial"/>
          <w:sz w:val="18"/>
          <w:szCs w:val="18"/>
          <w:color w:val="auto"/>
        </w:rPr>
      </w:pPr>
      <w:r>
        <w:rPr>
          <w:rFonts w:ascii="Arial" w:cs="Arial" w:eastAsia="Arial" w:hAnsi="Arial"/>
          <w:sz w:val="18"/>
          <w:szCs w:val="18"/>
          <w:color w:val="auto"/>
        </w:rPr>
        <w:t>A specific confirmation to be entered into (among others) by Melco Resorts (Macau) Limited and Studio City Entertainment Limited with respect to the pledge over accounts granted by Melco Resorts (Macau) Limited and Studio City Entertainment Limited, over (i) accounts of Melco Resorts (Macau) Limited in respect of the Service and Right to Use Agreement and (ii) the Trust Account (as defined in the Service and Right to Use Agreement) dated 26 November 2013.</w:t>
      </w:r>
    </w:p>
    <w:p>
      <w:pPr>
        <w:spacing w:after="0" w:line="92" w:lineRule="exact"/>
        <w:rPr>
          <w:rFonts w:ascii="Arial" w:cs="Arial" w:eastAsia="Arial" w:hAnsi="Arial"/>
          <w:sz w:val="18"/>
          <w:szCs w:val="18"/>
          <w:color w:val="auto"/>
        </w:rPr>
      </w:pPr>
    </w:p>
    <w:p>
      <w:pPr>
        <w:ind w:left="764" w:right="40" w:hanging="764"/>
        <w:spacing w:after="0" w:line="263" w:lineRule="auto"/>
        <w:tabs>
          <w:tab w:leader="none" w:pos="764" w:val="left"/>
        </w:tabs>
        <w:numPr>
          <w:ilvl w:val="0"/>
          <w:numId w:val="1254"/>
        </w:numPr>
        <w:rPr>
          <w:rFonts w:ascii="Arial" w:cs="Arial" w:eastAsia="Arial" w:hAnsi="Arial"/>
          <w:sz w:val="18"/>
          <w:szCs w:val="18"/>
          <w:color w:val="auto"/>
        </w:rPr>
      </w:pPr>
      <w:r>
        <w:rPr>
          <w:rFonts w:ascii="Arial" w:cs="Arial" w:eastAsia="Arial" w:hAnsi="Arial"/>
          <w:sz w:val="18"/>
          <w:szCs w:val="18"/>
          <w:color w:val="auto"/>
        </w:rPr>
        <w:t>A specific confirmation to be entered into by Studio City Company Limited with respect to the pledge over cash collateral account granted by Studio City Company Limited, over the Account held with the Account Bank and the Deposit in relation to the Account (each as defined therein) dated 1 December 2016.</w:t>
      </w:r>
    </w:p>
    <w:p>
      <w:pPr>
        <w:spacing w:after="0" w:line="11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Arial" w:cs="Arial" w:eastAsia="Arial" w:hAnsi="Arial"/>
                <w:sz w:val="18"/>
                <w:szCs w:val="18"/>
                <w:color w:val="auto"/>
                <w:w w:val="79"/>
              </w:rPr>
              <w:t>18</w:t>
            </w:r>
          </w:p>
        </w:tc>
        <w:tc>
          <w:tcPr>
            <w:tcW w:w="4180" w:type="dxa"/>
            <w:vAlign w:val="bottom"/>
          </w:tcPr>
          <w:p>
            <w:pPr>
              <w:jc w:val="right"/>
              <w:spacing w:after="0"/>
              <w:rPr>
                <w:sz w:val="20"/>
                <w:szCs w:val="20"/>
                <w:color w:val="auto"/>
              </w:rPr>
            </w:pPr>
            <w:r>
              <w:rPr>
                <w:rFonts w:ascii="Arial" w:cs="Arial" w:eastAsia="Arial" w:hAnsi="Arial"/>
                <w:sz w:val="18"/>
                <w:szCs w:val="18"/>
                <w:color w:val="auto"/>
              </w:rPr>
              <w:t>Project Asgard (2020 A&amp;R) –</w:t>
            </w:r>
          </w:p>
        </w:tc>
      </w:tr>
      <w:tr>
        <w:trPr>
          <w:trHeight w:val="230"/>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Amendment and Restatement Agreement</w:t>
            </w:r>
          </w:p>
        </w:tc>
      </w:tr>
    </w:tbl>
    <w:p>
      <w:pPr>
        <w:sectPr>
          <w:pgSz w:w="11900" w:h="16838" w:orient="portrait"/>
          <w:cols w:equalWidth="0" w:num="1">
            <w:col w:w="11024"/>
          </w:cols>
          <w:pgMar w:left="436" w:top="274" w:right="439" w:bottom="1440" w:gutter="0" w:footer="0" w:header="0"/>
        </w:sectPr>
      </w:pPr>
    </w:p>
    <w:bookmarkStart w:id="819" w:name="page820"/>
    <w:bookmarkEnd w:id="8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PARENT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INVESTMENTS LIMITED</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Inês Nolasco Antunes</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Inês Nolasco Antunes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COMPANY LIMITED</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Inês Nolasco Antunes</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Inês Nolasco Antunes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820" w:name="page821"/>
    <w:bookmarkEnd w:id="82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OTHER OBLIGORS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 CITY HOLDINGS TWO LIMITED</w:t>
      </w:r>
      <w:r>
        <w:rPr>
          <w:rFonts w:ascii="Arial" w:cs="Arial" w:eastAsia="Arial" w:hAnsi="Arial"/>
          <w:sz w:val="17"/>
          <w:szCs w:val="17"/>
          <w:color w:val="auto"/>
        </w:rPr>
        <w:t>, a BVI business company incorporated under the laws of the British Virgin Islands</w:t>
      </w:r>
    </w:p>
    <w:p>
      <w:pPr>
        <w:sectPr>
          <w:pgSz w:w="11900" w:h="16838" w:orient="portrait"/>
          <w:cols w:equalWidth="0" w:num="1">
            <w:col w:w="11020"/>
          </w:cols>
          <w:pgMar w:left="440" w:top="270" w:right="4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Inês Nolasco Antunes</w:t>
      </w:r>
    </w:p>
    <w:p>
      <w:pPr>
        <w:spacing w:after="0" w:line="21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Inês Nolasco Antunes</w:t>
      </w:r>
    </w:p>
    <w:p>
      <w:pPr>
        <w:spacing w:after="0" w:line="20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 CITY HOLDINGS THREE LIMITED</w:t>
      </w:r>
      <w:r>
        <w:rPr>
          <w:rFonts w:ascii="Arial" w:cs="Arial" w:eastAsia="Arial" w:hAnsi="Arial"/>
          <w:sz w:val="17"/>
          <w:szCs w:val="17"/>
          <w:color w:val="auto"/>
        </w:rPr>
        <w:t>, a BVI business company incorporated under the laws of the British Virgin Islands</w:t>
      </w:r>
    </w:p>
    <w:p>
      <w:pPr>
        <w:sectPr>
          <w:pgSz w:w="11900" w:h="16838" w:orient="portrait"/>
          <w:cols w:equalWidth="0" w:num="1">
            <w:col w:w="11020"/>
          </w:cols>
          <w:pgMar w:left="440" w:top="270" w:right="4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Inês Nolasco Antunes</w:t>
      </w:r>
    </w:p>
    <w:p>
      <w:pPr>
        <w:spacing w:after="0" w:line="21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Inês Nolasco Antunes</w:t>
      </w:r>
    </w:p>
    <w:p>
      <w:pPr>
        <w:spacing w:after="0" w:line="20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 CITY HOLDINGS FOUR LIMITED</w:t>
      </w:r>
      <w:r>
        <w:rPr>
          <w:rFonts w:ascii="Arial" w:cs="Arial" w:eastAsia="Arial" w:hAnsi="Arial"/>
          <w:sz w:val="17"/>
          <w:szCs w:val="17"/>
          <w:color w:val="auto"/>
        </w:rPr>
        <w:t>, a BVI business company incorporated under the laws of the British Virgin Islands</w:t>
      </w:r>
    </w:p>
    <w:p>
      <w:pPr>
        <w:sectPr>
          <w:pgSz w:w="11900" w:h="16838" w:orient="portrait"/>
          <w:cols w:equalWidth="0" w:num="1">
            <w:col w:w="11020"/>
          </w:cols>
          <w:pgMar w:left="440" w:top="270" w:right="4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Inês Nolasco Antunes</w:t>
      </w:r>
    </w:p>
    <w:p>
      <w:pPr>
        <w:spacing w:after="0" w:line="21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Inês Nolasco Antunes</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821" w:name="page822"/>
    <w:bookmarkEnd w:id="8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SCP HOLDINGS LIMITED</w:t>
      </w:r>
      <w:r>
        <w:rPr>
          <w:rFonts w:ascii="Arial" w:cs="Arial" w:eastAsia="Arial" w:hAnsi="Arial"/>
          <w:sz w:val="18"/>
          <w:szCs w:val="18"/>
          <w:color w:val="auto"/>
        </w:rPr>
        <w:t>, a BVI business company incorporated under the laws of the British Virgin Islands</w:t>
      </w:r>
    </w:p>
    <w:p>
      <w:pPr>
        <w:spacing w:after="0" w:line="22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Inês Nolasco Antunes</w:t>
      </w:r>
    </w:p>
    <w:p>
      <w:pPr>
        <w:spacing w:after="0" w:line="22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Inês Nolasco Antunes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Inês Nolasco Antunes</w:t>
      </w:r>
    </w:p>
    <w:p>
      <w:pPr>
        <w:spacing w:after="0" w:line="22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Inês Nolasco Antunes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Inês Nolasco Antunes</w:t>
      </w:r>
    </w:p>
    <w:p>
      <w:pPr>
        <w:spacing w:after="0" w:line="22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Inês Nolasco Antunes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822" w:name="page823"/>
    <w:bookmarkEnd w:id="8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SCIP HOLDINGS LIMITED</w:t>
      </w:r>
      <w:r>
        <w:rPr>
          <w:rFonts w:ascii="Arial" w:cs="Arial" w:eastAsia="Arial" w:hAnsi="Arial"/>
          <w:sz w:val="18"/>
          <w:szCs w:val="18"/>
          <w:color w:val="auto"/>
        </w:rPr>
        <w:t>, a BVI business company incorporated under the laws of the British Virgin Islands</w:t>
      </w:r>
    </w:p>
    <w:p>
      <w:pPr>
        <w:spacing w:after="0" w:line="22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Inês Nolasco Antunes</w:t>
      </w:r>
    </w:p>
    <w:p>
      <w:pPr>
        <w:spacing w:after="0" w:line="22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Inês Nolasco Antunes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Inês Nolasco Antunes</w:t>
      </w:r>
    </w:p>
    <w:p>
      <w:pPr>
        <w:spacing w:after="0" w:line="22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Inês Nolasco Antunes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Inês Nolasco Antunes</w:t>
      </w:r>
    </w:p>
    <w:p>
      <w:pPr>
        <w:spacing w:after="0" w:line="22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Inês Nolasco Antunes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823" w:name="page824"/>
    <w:bookmarkEnd w:id="8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STUDIO CITY HOTELS LIMITED, </w:t>
      </w:r>
      <w:r>
        <w:rPr>
          <w:rFonts w:ascii="Arial" w:cs="Arial" w:eastAsia="Arial" w:hAnsi="Arial"/>
          <w:sz w:val="17"/>
          <w:szCs w:val="17"/>
          <w:color w:val="auto"/>
        </w:rPr>
        <w:t>a company incorporated under the laws of the Macau SAR</w:t>
      </w:r>
    </w:p>
    <w:p>
      <w:pPr>
        <w:sectPr>
          <w:pgSz w:w="11900" w:h="16838" w:orient="portrait"/>
          <w:cols w:equalWidth="0" w:num="1">
            <w:col w:w="11020"/>
          </w:cols>
          <w:pgMar w:left="440" w:top="270" w:right="4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Inês Nolasco Antunes</w:t>
      </w:r>
    </w:p>
    <w:p>
      <w:pPr>
        <w:spacing w:after="0" w:line="21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Inês Nolasco Antunes</w:t>
      </w:r>
    </w:p>
    <w:p>
      <w:pPr>
        <w:spacing w:after="0" w:line="20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STUDIO CITY HOSPITALITY AND SERVICES LIMITED, </w:t>
      </w:r>
      <w:r>
        <w:rPr>
          <w:rFonts w:ascii="Arial" w:cs="Arial" w:eastAsia="Arial" w:hAnsi="Arial"/>
          <w:sz w:val="17"/>
          <w:szCs w:val="17"/>
          <w:color w:val="auto"/>
        </w:rPr>
        <w:t>a company incorporated under the laws of the Macau SAR</w:t>
      </w:r>
    </w:p>
    <w:p>
      <w:pPr>
        <w:sectPr>
          <w:pgSz w:w="11900" w:h="16838" w:orient="portrait"/>
          <w:cols w:equalWidth="0" w:num="1">
            <w:col w:w="11020"/>
          </w:cols>
          <w:pgMar w:left="440" w:top="270" w:right="4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Inês Nolasco Antunes</w:t>
      </w:r>
    </w:p>
    <w:p>
      <w:pPr>
        <w:spacing w:after="0" w:line="21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Inês Nolasco Antunes</w:t>
      </w:r>
    </w:p>
    <w:p>
      <w:pPr>
        <w:spacing w:after="0" w:line="20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STUDIO CITY DEVELOPMENTS LIMITED, </w:t>
      </w:r>
      <w:r>
        <w:rPr>
          <w:rFonts w:ascii="Arial" w:cs="Arial" w:eastAsia="Arial" w:hAnsi="Arial"/>
          <w:sz w:val="17"/>
          <w:szCs w:val="17"/>
          <w:color w:val="auto"/>
        </w:rPr>
        <w:t>a company incorporated under the laws of the Macau SAR</w:t>
      </w:r>
    </w:p>
    <w:p>
      <w:pPr>
        <w:sectPr>
          <w:pgSz w:w="11900" w:h="16838" w:orient="portrait"/>
          <w:cols w:equalWidth="0" w:num="1">
            <w:col w:w="11020"/>
          </w:cols>
          <w:pgMar w:left="440" w:top="270" w:right="4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Inês Nolasco Antunes</w:t>
      </w:r>
    </w:p>
    <w:p>
      <w:pPr>
        <w:spacing w:after="0" w:line="21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Inês Nolasco Antunes</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824" w:name="page825"/>
    <w:bookmarkEnd w:id="8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RETAIL SERVICES LIMITED</w:t>
      </w:r>
      <w:r>
        <w:rPr>
          <w:rFonts w:ascii="Arial" w:cs="Arial" w:eastAsia="Arial" w:hAnsi="Arial"/>
          <w:sz w:val="17"/>
          <w:szCs w:val="17"/>
          <w:color w:val="auto"/>
        </w:rPr>
        <w:t>, a company incorporated under the laws of the Macau SAR</w:t>
      </w:r>
    </w:p>
    <w:p>
      <w:pPr>
        <w:sectPr>
          <w:pgSz w:w="11900" w:h="16838" w:orient="portrait"/>
          <w:cols w:equalWidth="0" w:num="1">
            <w:col w:w="11020"/>
          </w:cols>
          <w:pgMar w:left="440" w:top="270" w:right="4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Inês Nolasco Antunes</w:t>
      </w:r>
    </w:p>
    <w:p>
      <w:pPr>
        <w:spacing w:after="0" w:line="21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Inês Nolasco Antunes</w:t>
      </w:r>
    </w:p>
    <w:p>
      <w:pPr>
        <w:spacing w:after="0" w:line="20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4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 xml:space="preserve">STUDIO CITY (HK) TWO LIMITED </w:t>
      </w:r>
      <w:r>
        <w:rPr>
          <w:rFonts w:ascii="Arial" w:cs="Arial" w:eastAsia="Arial" w:hAnsi="Arial"/>
          <w:sz w:val="17"/>
          <w:szCs w:val="17"/>
          <w:color w:val="auto"/>
        </w:rPr>
        <w:t>(</w:t>
      </w:r>
      <w:r>
        <w:rPr>
          <w:rFonts w:ascii="PMingLiU" w:cs="PMingLiU" w:eastAsia="PMingLiU" w:hAnsi="PMingLiU"/>
          <w:sz w:val="15"/>
          <w:szCs w:val="15"/>
          <w:color w:val="auto"/>
        </w:rPr>
        <w:t>新濠影匯</w:t>
      </w:r>
      <w:r>
        <w:rPr>
          <w:rFonts w:ascii="Arial" w:cs="Arial" w:eastAsia="Arial" w:hAnsi="Arial"/>
          <w:sz w:val="17"/>
          <w:szCs w:val="17"/>
          <w:color w:val="auto"/>
        </w:rPr>
        <w:t>(</w:t>
      </w:r>
      <w:r>
        <w:rPr>
          <w:rFonts w:ascii="PMingLiU" w:cs="PMingLiU" w:eastAsia="PMingLiU" w:hAnsi="PMingLiU"/>
          <w:sz w:val="15"/>
          <w:szCs w:val="15"/>
          <w:color w:val="auto"/>
        </w:rPr>
        <w:t>香港</w:t>
      </w:r>
      <w:r>
        <w:rPr>
          <w:rFonts w:ascii="Arial" w:cs="Arial" w:eastAsia="Arial" w:hAnsi="Arial"/>
          <w:sz w:val="17"/>
          <w:szCs w:val="17"/>
          <w:color w:val="auto"/>
        </w:rPr>
        <w:t>)</w:t>
      </w:r>
      <w:r>
        <w:rPr>
          <w:rFonts w:ascii="PMingLiU" w:cs="PMingLiU" w:eastAsia="PMingLiU" w:hAnsi="PMingLiU"/>
          <w:sz w:val="15"/>
          <w:szCs w:val="15"/>
          <w:color w:val="auto"/>
        </w:rPr>
        <w:t>第二有限公司</w:t>
      </w:r>
      <w:r>
        <w:rPr>
          <w:rFonts w:ascii="Arial" w:cs="Arial" w:eastAsia="Arial" w:hAnsi="Arial"/>
          <w:sz w:val="17"/>
          <w:szCs w:val="17"/>
          <w:color w:val="auto"/>
        </w:rPr>
        <w:t>), a limited liability company incorporated under the laws of the Hong Kong SAR</w:t>
      </w:r>
    </w:p>
    <w:p>
      <w:pPr>
        <w:sectPr>
          <w:pgSz w:w="11900" w:h="16838" w:orient="portrait"/>
          <w:cols w:equalWidth="0" w:num="1">
            <w:col w:w="11020"/>
          </w:cols>
          <w:pgMar w:left="440" w:top="270" w:right="43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Inês Nolasco Antunes</w:t>
      </w:r>
    </w:p>
    <w:p>
      <w:pPr>
        <w:spacing w:after="0" w:line="21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Inês Nolasco Antunes</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825" w:name="page826"/>
    <w:bookmarkEnd w:id="82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COMMON SECURITY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COMMERCIAL BANK OF CHINA (MACAU)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1020"/>
          </w:cols>
          <w:pgMar w:left="440" w:top="270" w:right="4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Chan Kam Lun</w:t>
      </w:r>
    </w:p>
    <w:p>
      <w:pPr>
        <w:spacing w:after="0" w:line="21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ectPr>
          <w:pgSz w:w="11900" w:h="16838" w:orient="portrait"/>
          <w:cols w:equalWidth="0" w:num="1">
            <w:col w:w="11020"/>
          </w:cols>
          <w:pgMar w:left="440" w:top="270" w:right="4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 Zheng Zhi Guo</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826" w:name="page827"/>
    <w:bookmarkEnd w:id="82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POA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COMMERCIAL BANK OF CHINA (MACAU)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1020"/>
          </w:cols>
          <w:pgMar w:left="440" w:top="270" w:right="4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 Chan Kam Lun</w:t>
      </w:r>
    </w:p>
    <w:p>
      <w:pPr>
        <w:spacing w:after="0" w:line="20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ectPr>
          <w:pgSz w:w="11900" w:h="16838" w:orient="portrait"/>
          <w:cols w:equalWidth="0" w:num="1">
            <w:col w:w="11020"/>
          </w:cols>
          <w:pgMar w:left="440" w:top="270" w:right="4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 Zheng Zhi Guo</w:t>
      </w:r>
    </w:p>
    <w:p>
      <w:pPr>
        <w:spacing w:after="0" w:line="194"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827" w:name="page828"/>
    <w:bookmarkEnd w:id="82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WONG IAO KUN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WONG IAO KUN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(2020 A&amp;R)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828" w:name="page829"/>
    <w:bookmarkEnd w:id="828"/>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List of Significant Subsidiaries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of December 31, 2020</w:t>
      </w:r>
    </w:p>
    <w:p>
      <w:pPr>
        <w:spacing w:after="0" w:line="238" w:lineRule="exact"/>
        <w:rPr>
          <w:sz w:val="20"/>
          <w:szCs w:val="20"/>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MSC Cotai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SCP Holdings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SCP One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SCP Two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Studio City Company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Studio City Developments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Studio City Entertainment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Studio City Finance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Studio City Holdings Four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Studio City Holdings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Studio City Holdings Three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Studio City Holdings Two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Studio City Hotels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5"/>
        </w:numPr>
        <w:rPr>
          <w:rFonts w:ascii="Arial" w:cs="Arial" w:eastAsia="Arial" w:hAnsi="Arial"/>
          <w:sz w:val="18"/>
          <w:szCs w:val="18"/>
          <w:color w:val="auto"/>
        </w:rPr>
      </w:pPr>
      <w:r>
        <w:rPr>
          <w:rFonts w:ascii="Arial" w:cs="Arial" w:eastAsia="Arial" w:hAnsi="Arial"/>
          <w:sz w:val="18"/>
          <w:szCs w:val="18"/>
          <w:color w:val="auto"/>
        </w:rPr>
        <w:t>Studio City Investments Limited, incorporated in the British Virgin Islands</w:t>
      </w:r>
    </w:p>
    <w:p>
      <w:pPr>
        <w:sectPr>
          <w:pgSz w:w="11900" w:h="16838" w:orient="portrait"/>
          <w:cols w:equalWidth="0" w:num="1">
            <w:col w:w="11024"/>
          </w:cols>
          <w:pgMar w:left="436" w:top="122" w:right="439" w:bottom="1440" w:gutter="0" w:footer="0" w:header="0"/>
        </w:sectPr>
      </w:pPr>
    </w:p>
    <w:bookmarkStart w:id="829" w:name="page830"/>
    <w:bookmarkEnd w:id="829"/>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Property General Manager</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 Kevin Richard Benning, certify that:</w:t>
      </w:r>
    </w:p>
    <w:p>
      <w:pPr>
        <w:spacing w:after="0" w:line="131" w:lineRule="exact"/>
        <w:rPr>
          <w:sz w:val="20"/>
          <w:szCs w:val="20"/>
          <w:color w:val="auto"/>
        </w:rPr>
      </w:pPr>
    </w:p>
    <w:p>
      <w:pPr>
        <w:ind w:left="424" w:hanging="424"/>
        <w:spacing w:after="0"/>
        <w:tabs>
          <w:tab w:leader="none" w:pos="424" w:val="left"/>
        </w:tabs>
        <w:numPr>
          <w:ilvl w:val="0"/>
          <w:numId w:val="125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Studio City International Holdings Limited;</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2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2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58" w:lineRule="auto"/>
        <w:tabs>
          <w:tab w:leader="none" w:pos="424" w:val="left"/>
        </w:tabs>
        <w:numPr>
          <w:ilvl w:val="0"/>
          <w:numId w:val="125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w:t>
      </w:r>
    </w:p>
    <w:p>
      <w:pPr>
        <w:spacing w:after="0" w:line="1"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Exchange Act Rules 13a-15(f) and 15d-15(f)) for the company and have:</w:t>
      </w:r>
    </w:p>
    <w:p>
      <w:pPr>
        <w:spacing w:after="0" w:line="116"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2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2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25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125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1256"/>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2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12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Property General Manager</w:t>
      </w:r>
    </w:p>
    <w:p>
      <w:pPr>
        <w:sectPr>
          <w:pgSz w:w="11900" w:h="16838" w:orient="portrait"/>
          <w:cols w:equalWidth="0" w:num="1">
            <w:col w:w="11024"/>
          </w:cols>
          <w:pgMar w:left="436" w:top="122" w:right="439" w:bottom="1440" w:gutter="0" w:footer="0" w:header="0"/>
        </w:sectPr>
      </w:pPr>
    </w:p>
    <w:bookmarkStart w:id="830" w:name="page831"/>
    <w:bookmarkEnd w:id="830"/>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 Geoffrey Stuart Davis, certify that:</w:t>
      </w:r>
    </w:p>
    <w:p>
      <w:pPr>
        <w:spacing w:after="0" w:line="131" w:lineRule="exact"/>
        <w:rPr>
          <w:sz w:val="20"/>
          <w:szCs w:val="20"/>
          <w:color w:val="auto"/>
        </w:rPr>
      </w:pPr>
    </w:p>
    <w:p>
      <w:pPr>
        <w:ind w:left="424" w:hanging="424"/>
        <w:spacing w:after="0"/>
        <w:tabs>
          <w:tab w:leader="none" w:pos="424" w:val="left"/>
        </w:tabs>
        <w:numPr>
          <w:ilvl w:val="0"/>
          <w:numId w:val="125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Studio City International Holdings Limited;</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2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2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58" w:lineRule="auto"/>
        <w:tabs>
          <w:tab w:leader="none" w:pos="424" w:val="left"/>
        </w:tabs>
        <w:numPr>
          <w:ilvl w:val="0"/>
          <w:numId w:val="125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w:t>
      </w:r>
    </w:p>
    <w:p>
      <w:pPr>
        <w:spacing w:after="0" w:line="1"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Exchange Act Rules 13a-15(f) and 15d-15(f)) for the company and have:</w:t>
      </w:r>
    </w:p>
    <w:p>
      <w:pPr>
        <w:spacing w:after="0" w:line="116"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2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2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25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125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125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2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12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Geoffrey Stuart Davis</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024"/>
          </w:cols>
          <w:pgMar w:left="436" w:top="122" w:right="439" w:bottom="1440" w:gutter="0" w:footer="0" w:header="0"/>
        </w:sectPr>
      </w:pPr>
    </w:p>
    <w:bookmarkStart w:id="831" w:name="page832"/>
    <w:bookmarkEnd w:id="831"/>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Property General Manager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In connection with the Annual Report of Studio City International Holdings Limited (the “Company”) on Form 20-F for the year ended December 31, 2020 as filed with the Securities and Exchange Commission on the date hereof (the “Report”), I, Kevin Richard Benning, Property General Manager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2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Property General Manager</w:t>
      </w:r>
    </w:p>
    <w:p>
      <w:pPr>
        <w:sectPr>
          <w:pgSz w:w="11900" w:h="16838" w:orient="portrait"/>
          <w:cols w:equalWidth="0" w:num="1">
            <w:col w:w="11024"/>
          </w:cols>
          <w:pgMar w:left="436" w:top="122" w:right="439" w:bottom="1440" w:gutter="0" w:footer="0" w:header="0"/>
        </w:sectPr>
      </w:pPr>
    </w:p>
    <w:bookmarkStart w:id="832" w:name="page833"/>
    <w:bookmarkEnd w:id="832"/>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In connection with the Annual Report of Studio City International Holdings Limited (the “Company”) on Form 20-F for the year ended December 31, 2020 as filed with the Securities and Exchange Commission on the date hereof (the “Report”), I, Geoffrey Stuart Davis, Chief Financial Officer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2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Geoffrey Stuart Davis</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024"/>
      </w:cols>
      <w:pgMar w:left="436"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0D85A55"/>
    <w:multiLevelType w:val="hybridMultilevel"/>
    <w:lvl w:ilvl="0">
      <w:lvlJc w:val="left"/>
      <w:lvlText w:val="☐"/>
      <w:numFmt w:val="bullet"/>
      <w:start w:val="1"/>
    </w:lvl>
  </w:abstractNum>
  <w:abstractNum w:abstractNumId="1">
    <w:nsid w:val="6F0463F1"/>
    <w:multiLevelType w:val="hybridMultilevel"/>
    <w:lvl w:ilvl="0">
      <w:lvlJc w:val="left"/>
      <w:lvlText w:val="☒"/>
      <w:numFmt w:val="bullet"/>
      <w:start w:val="1"/>
    </w:lvl>
  </w:abstractNum>
  <w:abstractNum w:abstractNumId="2">
    <w:nsid w:val="1226623C"/>
    <w:multiLevelType w:val="hybridMultilevel"/>
    <w:lvl w:ilvl="0">
      <w:lvlJc w:val="left"/>
      <w:lvlText w:val="☐"/>
      <w:numFmt w:val="bullet"/>
      <w:start w:val="1"/>
    </w:lvl>
  </w:abstractNum>
  <w:abstractNum w:abstractNumId="3">
    <w:nsid w:val="6D651B8D"/>
    <w:multiLevelType w:val="hybridMultilevel"/>
    <w:lvl w:ilvl="0">
      <w:lvlJc w:val="left"/>
      <w:lvlText w:val="☐"/>
      <w:numFmt w:val="bullet"/>
      <w:start w:val="1"/>
    </w:lvl>
  </w:abstractNum>
  <w:abstractNum w:abstractNumId="4">
    <w:nsid w:val="31ED2BAF"/>
    <w:multiLevelType w:val="hybridMultilevel"/>
    <w:lvl w:ilvl="0">
      <w:lvlJc w:val="left"/>
      <w:lvlText w:val="•"/>
      <w:numFmt w:val="bullet"/>
      <w:start w:val="1"/>
    </w:lvl>
  </w:abstractNum>
  <w:abstractNum w:abstractNumId="5">
    <w:nsid w:val="77633E5E"/>
    <w:multiLevelType w:val="hybridMultilevel"/>
    <w:lvl w:ilvl="0">
      <w:lvlJc w:val="left"/>
      <w:lvlText w:val="•"/>
      <w:numFmt w:val="bullet"/>
      <w:start w:val="1"/>
    </w:lvl>
  </w:abstractNum>
  <w:abstractNum w:abstractNumId="6">
    <w:nsid w:val="7DA042A3"/>
    <w:multiLevelType w:val="hybridMultilevel"/>
    <w:lvl w:ilvl="0">
      <w:lvlJc w:val="left"/>
      <w:lvlText w:val="•"/>
      <w:numFmt w:val="bullet"/>
      <w:start w:val="1"/>
    </w:lvl>
  </w:abstractNum>
  <w:abstractNum w:abstractNumId="7">
    <w:nsid w:val="475553AB"/>
    <w:multiLevelType w:val="hybridMultilevel"/>
    <w:lvl w:ilvl="0">
      <w:lvlJc w:val="left"/>
      <w:lvlText w:val="•"/>
      <w:numFmt w:val="bullet"/>
      <w:start w:val="1"/>
    </w:lvl>
  </w:abstractNum>
  <w:abstractNum w:abstractNumId="8">
    <w:nsid w:val="5AB3EA93"/>
    <w:multiLevelType w:val="hybridMultilevel"/>
    <w:lvl w:ilvl="0">
      <w:lvlJc w:val="left"/>
      <w:lvlText w:val="•"/>
      <w:numFmt w:val="bullet"/>
      <w:start w:val="1"/>
    </w:lvl>
  </w:abstractNum>
  <w:abstractNum w:abstractNumId="9">
    <w:nsid w:val="7417684F"/>
    <w:multiLevelType w:val="hybridMultilevel"/>
    <w:lvl w:ilvl="0">
      <w:lvlJc w:val="left"/>
      <w:lvlText w:val="(%1)"/>
      <w:numFmt w:val="decimal"/>
      <w:start w:val="1"/>
    </w:lvl>
  </w:abstractNum>
  <w:abstractNum w:abstractNumId="10">
    <w:nsid w:val="E9E1415"/>
    <w:multiLevelType w:val="hybridMultilevel"/>
    <w:lvl w:ilvl="0">
      <w:lvlJc w:val="left"/>
      <w:lvlText w:val="(%1)"/>
      <w:numFmt w:val="decimal"/>
      <w:start w:val="2"/>
    </w:lvl>
  </w:abstractNum>
  <w:abstractNum w:abstractNumId="11">
    <w:nsid w:val="1893D"/>
    <w:multiLevelType w:val="hybridMultilevel"/>
    <w:lvl w:ilvl="0">
      <w:lvlJc w:val="left"/>
      <w:lvlText w:val="(%1)"/>
      <w:numFmt w:val="decimal"/>
      <w:start w:val="1"/>
    </w:lvl>
  </w:abstractNum>
  <w:abstractNum w:abstractNumId="12">
    <w:nsid w:val="13D4A2F2"/>
    <w:multiLevelType w:val="hybridMultilevel"/>
    <w:lvl w:ilvl="0">
      <w:lvlJc w:val="left"/>
      <w:lvlText w:val="(%1)"/>
      <w:numFmt w:val="decimal"/>
      <w:start w:val="2"/>
    </w:lvl>
  </w:abstractNum>
  <w:abstractNum w:abstractNumId="13">
    <w:nsid w:val="2764C907"/>
    <w:multiLevelType w:val="hybridMultilevel"/>
    <w:lvl w:ilvl="0">
      <w:lvlJc w:val="left"/>
      <w:lvlText w:val="•"/>
      <w:numFmt w:val="bullet"/>
      <w:start w:val="1"/>
    </w:lvl>
  </w:abstractNum>
  <w:abstractNum w:abstractNumId="14">
    <w:nsid w:val="40D3692"/>
    <w:multiLevelType w:val="hybridMultilevel"/>
    <w:lvl w:ilvl="0">
      <w:lvlJc w:val="left"/>
      <w:lvlText w:val="•"/>
      <w:numFmt w:val="bullet"/>
      <w:start w:val="1"/>
    </w:lvl>
  </w:abstractNum>
  <w:abstractNum w:abstractNumId="15">
    <w:nsid w:val="222FC865"/>
    <w:multiLevelType w:val="hybridMultilevel"/>
    <w:lvl w:ilvl="0">
      <w:lvlJc w:val="left"/>
      <w:lvlText w:val="•"/>
      <w:numFmt w:val="bullet"/>
      <w:start w:val="1"/>
    </w:lvl>
  </w:abstractNum>
  <w:abstractNum w:abstractNumId="16">
    <w:nsid w:val="47C27FA"/>
    <w:multiLevelType w:val="hybridMultilevel"/>
    <w:lvl w:ilvl="0">
      <w:lvlJc w:val="left"/>
      <w:lvlText w:val="•"/>
      <w:numFmt w:val="bullet"/>
      <w:start w:val="1"/>
    </w:lvl>
  </w:abstractNum>
  <w:abstractNum w:abstractNumId="17">
    <w:nsid w:val="52E2D7C9"/>
    <w:multiLevelType w:val="hybridMultilevel"/>
    <w:lvl w:ilvl="0">
      <w:lvlJc w:val="left"/>
      <w:lvlText w:val="•"/>
      <w:numFmt w:val="bullet"/>
      <w:start w:val="1"/>
    </w:lvl>
  </w:abstractNum>
  <w:abstractNum w:abstractNumId="18">
    <w:nsid w:val="3D4B955A"/>
    <w:multiLevelType w:val="hybridMultilevel"/>
    <w:lvl w:ilvl="0">
      <w:lvlJc w:val="left"/>
      <w:lvlText w:val="•"/>
      <w:numFmt w:val="bullet"/>
      <w:start w:val="1"/>
    </w:lvl>
  </w:abstractNum>
  <w:abstractNum w:abstractNumId="19">
    <w:nsid w:val="5B4A22B5"/>
    <w:multiLevelType w:val="hybridMultilevel"/>
    <w:lvl w:ilvl="0">
      <w:lvlJc w:val="left"/>
      <w:lvlText w:val="•"/>
      <w:numFmt w:val="bullet"/>
      <w:start w:val="1"/>
    </w:lvl>
  </w:abstractNum>
  <w:abstractNum w:abstractNumId="20">
    <w:nsid w:val="4B294578"/>
    <w:multiLevelType w:val="hybridMultilevel"/>
    <w:lvl w:ilvl="0">
      <w:lvlJc w:val="left"/>
      <w:lvlText w:val="•"/>
      <w:numFmt w:val="bullet"/>
      <w:start w:val="1"/>
    </w:lvl>
  </w:abstractNum>
  <w:abstractNum w:abstractNumId="21">
    <w:nsid w:val="22317590"/>
    <w:multiLevelType w:val="hybridMultilevel"/>
    <w:lvl w:ilvl="0">
      <w:lvlJc w:val="left"/>
      <w:lvlText w:val="•"/>
      <w:numFmt w:val="bullet"/>
      <w:start w:val="1"/>
    </w:lvl>
  </w:abstractNum>
  <w:abstractNum w:abstractNumId="22">
    <w:nsid w:val="37A58EEF"/>
    <w:multiLevelType w:val="hybridMultilevel"/>
    <w:lvl w:ilvl="0">
      <w:lvlJc w:val="left"/>
      <w:lvlText w:val="•"/>
      <w:numFmt w:val="bullet"/>
      <w:start w:val="1"/>
    </w:lvl>
  </w:abstractNum>
  <w:abstractNum w:abstractNumId="23">
    <w:nsid w:val="283290FD"/>
    <w:multiLevelType w:val="hybridMultilevel"/>
    <w:lvl w:ilvl="0">
      <w:lvlJc w:val="left"/>
      <w:lvlText w:val="•"/>
      <w:numFmt w:val="bullet"/>
      <w:start w:val="1"/>
    </w:lvl>
  </w:abstractNum>
  <w:abstractNum w:abstractNumId="24">
    <w:nsid w:val="495C0EA5"/>
    <w:multiLevelType w:val="hybridMultilevel"/>
    <w:lvl w:ilvl="0">
      <w:lvlJc w:val="left"/>
      <w:lvlText w:val="•"/>
      <w:numFmt w:val="bullet"/>
      <w:start w:val="1"/>
    </w:lvl>
  </w:abstractNum>
  <w:abstractNum w:abstractNumId="25">
    <w:nsid w:val="A4A062B"/>
    <w:multiLevelType w:val="hybridMultilevel"/>
    <w:lvl w:ilvl="0">
      <w:lvlJc w:val="left"/>
      <w:lvlText w:val="•"/>
      <w:numFmt w:val="bullet"/>
      <w:start w:val="1"/>
    </w:lvl>
  </w:abstractNum>
  <w:abstractNum w:abstractNumId="26">
    <w:nsid w:val="3BED7940"/>
    <w:multiLevelType w:val="hybridMultilevel"/>
    <w:lvl w:ilvl="0">
      <w:lvlJc w:val="left"/>
      <w:lvlText w:val="%1."/>
      <w:numFmt w:val="decimal"/>
      <w:start w:val="7"/>
    </w:lvl>
  </w:abstractNum>
  <w:abstractNum w:abstractNumId="27">
    <w:nsid w:val="54E56D64"/>
    <w:multiLevelType w:val="hybridMultilevel"/>
    <w:lvl w:ilvl="0">
      <w:lvlJc w:val="left"/>
      <w:lvlText w:val="•"/>
      <w:numFmt w:val="bullet"/>
      <w:start w:val="1"/>
    </w:lvl>
  </w:abstractNum>
  <w:abstractNum w:abstractNumId="28">
    <w:nsid w:val="6EB42955"/>
    <w:multiLevelType w:val="hybridMultilevel"/>
    <w:lvl w:ilvl="0">
      <w:lvlJc w:val="left"/>
      <w:lvlText w:val="•"/>
      <w:numFmt w:val="bullet"/>
      <w:start w:val="1"/>
    </w:lvl>
  </w:abstractNum>
  <w:abstractNum w:abstractNumId="29">
    <w:nsid w:val="29EFA642"/>
    <w:multiLevelType w:val="hybridMultilevel"/>
    <w:lvl w:ilvl="0">
      <w:lvlJc w:val="left"/>
      <w:lvlText w:val="•"/>
      <w:numFmt w:val="bullet"/>
      <w:start w:val="1"/>
    </w:lvl>
  </w:abstractNum>
  <w:abstractNum w:abstractNumId="30">
    <w:nsid w:val="7E337D35"/>
    <w:multiLevelType w:val="hybridMultilevel"/>
    <w:lvl w:ilvl="0">
      <w:lvlJc w:val="left"/>
      <w:lvlText w:val="•"/>
      <w:numFmt w:val="bullet"/>
      <w:start w:val="1"/>
    </w:lvl>
  </w:abstractNum>
  <w:abstractNum w:abstractNumId="31">
    <w:nsid w:val="1F8C83AB"/>
    <w:multiLevelType w:val="hybridMultilevel"/>
    <w:lvl w:ilvl="0">
      <w:lvlJc w:val="left"/>
      <w:lvlText w:val="•"/>
      <w:numFmt w:val="bullet"/>
      <w:start w:val="1"/>
    </w:lvl>
  </w:abstractNum>
  <w:abstractNum w:abstractNumId="32">
    <w:nsid w:val="18F40A33"/>
    <w:multiLevelType w:val="hybridMultilevel"/>
    <w:lvl w:ilvl="0">
      <w:lvlJc w:val="left"/>
      <w:lvlText w:val="•"/>
      <w:numFmt w:val="bullet"/>
      <w:start w:val="1"/>
    </w:lvl>
  </w:abstractNum>
  <w:abstractNum w:abstractNumId="33">
    <w:nsid w:val="1059DF71"/>
    <w:multiLevelType w:val="hybridMultilevel"/>
    <w:lvl w:ilvl="0">
      <w:lvlJc w:val="left"/>
      <w:lvlText w:val="•"/>
      <w:numFmt w:val="bullet"/>
      <w:start w:val="1"/>
    </w:lvl>
  </w:abstractNum>
  <w:abstractNum w:abstractNumId="34">
    <w:nsid w:val="CF19F38"/>
    <w:multiLevelType w:val="hybridMultilevel"/>
    <w:lvl w:ilvl="0">
      <w:lvlJc w:val="left"/>
      <w:lvlText w:val="•"/>
      <w:numFmt w:val="bullet"/>
      <w:start w:val="1"/>
    </w:lvl>
  </w:abstractNum>
  <w:abstractNum w:abstractNumId="35">
    <w:nsid w:val="4AE135E2"/>
    <w:multiLevelType w:val="hybridMultilevel"/>
    <w:lvl w:ilvl="0">
      <w:lvlJc w:val="left"/>
      <w:lvlText w:val="•"/>
      <w:numFmt w:val="bullet"/>
      <w:start w:val="1"/>
    </w:lvl>
  </w:abstractNum>
  <w:abstractNum w:abstractNumId="36">
    <w:nsid w:val="7BD1DCF"/>
    <w:multiLevelType w:val="hybridMultilevel"/>
    <w:lvl w:ilvl="0">
      <w:lvlJc w:val="left"/>
      <w:lvlText w:val="•"/>
      <w:numFmt w:val="bullet"/>
      <w:start w:val="1"/>
    </w:lvl>
    <w:lvl w:ilvl="1">
      <w:lvlJc w:val="left"/>
      <w:lvlText w:val="•"/>
      <w:numFmt w:val="bullet"/>
      <w:start w:val="1"/>
    </w:lvl>
  </w:abstractNum>
  <w:abstractNum w:abstractNumId="37">
    <w:nsid w:val="A91E1DC"/>
    <w:multiLevelType w:val="hybridMultilevel"/>
    <w:lvl w:ilvl="0">
      <w:lvlJc w:val="left"/>
      <w:lvlText w:val="•"/>
      <w:numFmt w:val="bullet"/>
      <w:start w:val="1"/>
    </w:lvl>
    <w:lvl w:ilvl="1">
      <w:lvlJc w:val="left"/>
      <w:lvlText w:val="•"/>
      <w:numFmt w:val="bullet"/>
      <w:start w:val="1"/>
    </w:lvl>
  </w:abstractNum>
  <w:abstractNum w:abstractNumId="38">
    <w:nsid w:val="1236898D"/>
    <w:multiLevelType w:val="hybridMultilevel"/>
    <w:lvl w:ilvl="0">
      <w:lvlJc w:val="left"/>
      <w:lvlText w:val="•"/>
      <w:numFmt w:val="bullet"/>
      <w:start w:val="1"/>
    </w:lvl>
  </w:abstractNum>
  <w:abstractNum w:abstractNumId="39">
    <w:nsid w:val="62710862"/>
    <w:multiLevelType w:val="hybridMultilevel"/>
    <w:lvl w:ilvl="0">
      <w:lvlJc w:val="left"/>
      <w:lvlText w:val="•"/>
      <w:numFmt w:val="bullet"/>
      <w:start w:val="1"/>
    </w:lvl>
  </w:abstractNum>
  <w:abstractNum w:abstractNumId="40">
    <w:nsid w:val="7EA94A2B"/>
    <w:multiLevelType w:val="hybridMultilevel"/>
    <w:lvl w:ilvl="0">
      <w:lvlJc w:val="left"/>
      <w:lvlText w:val="•"/>
      <w:numFmt w:val="bullet"/>
      <w:start w:val="1"/>
    </w:lvl>
  </w:abstractNum>
  <w:abstractNum w:abstractNumId="41">
    <w:nsid w:val="20D49DA3"/>
    <w:multiLevelType w:val="hybridMultilevel"/>
    <w:lvl w:ilvl="0">
      <w:lvlJc w:val="left"/>
      <w:lvlText w:val="•"/>
      <w:numFmt w:val="bullet"/>
      <w:start w:val="1"/>
    </w:lvl>
    <w:lvl w:ilvl="1">
      <w:lvlJc w:val="left"/>
      <w:lvlText w:val="•"/>
      <w:numFmt w:val="bullet"/>
      <w:start w:val="1"/>
    </w:lvl>
  </w:abstractNum>
  <w:abstractNum w:abstractNumId="42">
    <w:nsid w:val="6272919F"/>
    <w:multiLevelType w:val="hybridMultilevel"/>
    <w:lvl w:ilvl="0">
      <w:lvlJc w:val="left"/>
      <w:lvlText w:val="•"/>
      <w:numFmt w:val="bullet"/>
      <w:start w:val="1"/>
    </w:lvl>
  </w:abstractNum>
  <w:abstractNum w:abstractNumId="43">
    <w:nsid w:val="127DED1D"/>
    <w:multiLevelType w:val="hybridMultilevel"/>
    <w:lvl w:ilvl="0">
      <w:lvlJc w:val="left"/>
      <w:lvlText w:val="•"/>
      <w:numFmt w:val="bullet"/>
      <w:start w:val="1"/>
    </w:lvl>
  </w:abstractNum>
  <w:abstractNum w:abstractNumId="44">
    <w:nsid w:val="483966AA"/>
    <w:multiLevelType w:val="hybridMultilevel"/>
    <w:lvl w:ilvl="0">
      <w:lvlJc w:val="left"/>
      <w:lvlText w:val="%1."/>
      <w:numFmt w:val="decimal"/>
      <w:start w:val="1"/>
    </w:lvl>
  </w:abstractNum>
  <w:abstractNum w:abstractNumId="45">
    <w:nsid w:val="667FC831"/>
    <w:multiLevelType w:val="hybridMultilevel"/>
    <w:lvl w:ilvl="0">
      <w:lvlJc w:val="left"/>
      <w:lvlText w:val="%1."/>
      <w:numFmt w:val="decimal"/>
      <w:start w:val="2"/>
    </w:lvl>
  </w:abstractNum>
  <w:abstractNum w:abstractNumId="46">
    <w:nsid w:val="34ADB582"/>
    <w:multiLevelType w:val="hybridMultilevel"/>
    <w:lvl w:ilvl="0">
      <w:lvlJc w:val="left"/>
      <w:lvlText w:val="•"/>
      <w:numFmt w:val="bullet"/>
      <w:start w:val="1"/>
    </w:lvl>
  </w:abstractNum>
  <w:abstractNum w:abstractNumId="47">
    <w:nsid w:val="4CB58EA4"/>
    <w:multiLevelType w:val="hybridMultilevel"/>
    <w:lvl w:ilvl="0">
      <w:lvlJc w:val="left"/>
      <w:lvlText w:val="•"/>
      <w:numFmt w:val="bullet"/>
      <w:start w:val="1"/>
    </w:lvl>
  </w:abstractNum>
  <w:abstractNum w:abstractNumId="48">
    <w:nsid w:val="39629FFA"/>
    <w:multiLevelType w:val="hybridMultilevel"/>
    <w:lvl w:ilvl="0">
      <w:lvlJc w:val="left"/>
      <w:lvlText w:val="•"/>
      <w:numFmt w:val="bullet"/>
      <w:start w:val="1"/>
    </w:lvl>
  </w:abstractNum>
  <w:abstractNum w:abstractNumId="49">
    <w:nsid w:val="71F94ADC"/>
    <w:multiLevelType w:val="hybridMultilevel"/>
    <w:lvl w:ilvl="0">
      <w:lvlJc w:val="left"/>
      <w:lvlText w:val="•"/>
      <w:numFmt w:val="bullet"/>
      <w:start w:val="1"/>
    </w:lvl>
  </w:abstractNum>
  <w:abstractNum w:abstractNumId="50">
    <w:nsid w:val="27FFB15A"/>
    <w:multiLevelType w:val="hybridMultilevel"/>
    <w:lvl w:ilvl="0">
      <w:lvlJc w:val="left"/>
      <w:lvlText w:val="•"/>
      <w:numFmt w:val="bullet"/>
      <w:start w:val="1"/>
    </w:lvl>
  </w:abstractNum>
  <w:abstractNum w:abstractNumId="51">
    <w:nsid w:val="48BE573"/>
    <w:multiLevelType w:val="hybridMultilevel"/>
    <w:lvl w:ilvl="0">
      <w:lvlJc w:val="left"/>
      <w:lvlText w:val="•"/>
      <w:numFmt w:val="bullet"/>
      <w:start w:val="1"/>
    </w:lvl>
  </w:abstractNum>
  <w:abstractNum w:abstractNumId="52">
    <w:nsid w:val="142AC06C"/>
    <w:multiLevelType w:val="hybridMultilevel"/>
    <w:lvl w:ilvl="0">
      <w:lvlJc w:val="left"/>
      <w:lvlText w:val="•"/>
      <w:numFmt w:val="bullet"/>
      <w:start w:val="1"/>
    </w:lvl>
  </w:abstractNum>
  <w:abstractNum w:abstractNumId="53">
    <w:nsid w:val="5FA54049"/>
    <w:multiLevelType w:val="hybridMultilevel"/>
    <w:lvl w:ilvl="0">
      <w:lvlJc w:val="left"/>
      <w:lvlText w:val="•"/>
      <w:numFmt w:val="bullet"/>
      <w:start w:val="1"/>
    </w:lvl>
  </w:abstractNum>
  <w:abstractNum w:abstractNumId="54">
    <w:nsid w:val="2CBE7670"/>
    <w:multiLevelType w:val="hybridMultilevel"/>
    <w:lvl w:ilvl="0">
      <w:lvlJc w:val="left"/>
      <w:lvlText w:val="(%1)"/>
      <w:numFmt w:val="decimal"/>
      <w:start w:val="1"/>
    </w:lvl>
  </w:abstractNum>
  <w:abstractNum w:abstractNumId="55">
    <w:nsid w:val="5D86CF11"/>
    <w:multiLevelType w:val="hybridMultilevel"/>
    <w:lvl w:ilvl="0">
      <w:lvlJc w:val="left"/>
      <w:lvlText w:val="(%1)"/>
      <w:numFmt w:val="decimal"/>
      <w:start w:val="1"/>
    </w:lvl>
  </w:abstractNum>
  <w:abstractNum w:abstractNumId="56">
    <w:nsid w:val="69EF4674"/>
    <w:multiLevelType w:val="hybridMultilevel"/>
    <w:lvl w:ilvl="0">
      <w:lvlJc w:val="left"/>
      <w:lvlText w:val="•"/>
      <w:numFmt w:val="bullet"/>
      <w:start w:val="1"/>
    </w:lvl>
  </w:abstractNum>
  <w:abstractNum w:abstractNumId="57">
    <w:nsid w:val="68ABEFB0"/>
    <w:multiLevelType w:val="hybridMultilevel"/>
    <w:lvl w:ilvl="0">
      <w:lvlJc w:val="left"/>
      <w:lvlText w:val="•"/>
      <w:numFmt w:val="bullet"/>
      <w:start w:val="1"/>
    </w:lvl>
    <w:lvl w:ilvl="1">
      <w:lvlJc w:val="left"/>
      <w:lvlText w:val="\endash "/>
      <w:numFmt w:val="bullet"/>
      <w:start w:val="1"/>
    </w:lvl>
  </w:abstractNum>
  <w:abstractNum w:abstractNumId="58">
    <w:nsid w:val="326C3C76"/>
    <w:multiLevelType w:val="hybridMultilevel"/>
    <w:lvl w:ilvl="0">
      <w:lvlJc w:val="left"/>
      <w:lvlText w:val="\endash "/>
      <w:numFmt w:val="bullet"/>
      <w:start w:val="1"/>
    </w:lvl>
  </w:abstractNum>
  <w:abstractNum w:abstractNumId="59">
    <w:nsid w:val="58A36FCA"/>
    <w:multiLevelType w:val="hybridMultilevel"/>
    <w:lvl w:ilvl="0">
      <w:lvlJc w:val="left"/>
      <w:lvlText w:val="(%1)"/>
      <w:numFmt w:val="decimal"/>
      <w:start w:val="1"/>
    </w:lvl>
  </w:abstractNum>
  <w:abstractNum w:abstractNumId="60">
    <w:nsid w:val="129B95F2"/>
    <w:multiLevelType w:val="hybridMultilevel"/>
    <w:lvl w:ilvl="0">
      <w:lvlJc w:val="left"/>
      <w:lvlText w:val="(%1)"/>
      <w:numFmt w:val="decimal"/>
      <w:start w:val="3"/>
    </w:lvl>
  </w:abstractNum>
  <w:abstractNum w:abstractNumId="61">
    <w:nsid w:val="309FB9AB"/>
    <w:multiLevelType w:val="hybridMultilevel"/>
    <w:lvl w:ilvl="0">
      <w:lvlJc w:val="left"/>
      <w:lvlText w:val="\emdash "/>
      <w:numFmt w:val="bullet"/>
      <w:start w:val="1"/>
    </w:lvl>
  </w:abstractNum>
  <w:abstractNum w:abstractNumId="62">
    <w:nsid w:val="782FF375"/>
    <w:multiLevelType w:val="hybridMultilevel"/>
    <w:lvl w:ilvl="0">
      <w:lvlJc w:val="left"/>
      <w:lvlText w:val="•"/>
      <w:numFmt w:val="bullet"/>
      <w:start w:val="1"/>
    </w:lvl>
  </w:abstractNum>
  <w:abstractNum w:abstractNumId="63">
    <w:nsid w:val="2B8FA025"/>
    <w:multiLevelType w:val="hybridMultilevel"/>
    <w:lvl w:ilvl="0">
      <w:lvlJc w:val="left"/>
      <w:lvlText w:val="•"/>
      <w:numFmt w:val="bullet"/>
      <w:start w:val="1"/>
    </w:lvl>
  </w:abstractNum>
  <w:abstractNum w:abstractNumId="64">
    <w:nsid w:val="40F9991C"/>
    <w:multiLevelType w:val="hybridMultilevel"/>
    <w:lvl w:ilvl="0">
      <w:lvlJc w:val="left"/>
      <w:lvlText w:val="•"/>
      <w:numFmt w:val="bullet"/>
      <w:start w:val="1"/>
    </w:lvl>
  </w:abstractNum>
  <w:abstractNum w:abstractNumId="65">
    <w:nsid w:val="52192AD"/>
    <w:multiLevelType w:val="hybridMultilevel"/>
    <w:lvl w:ilvl="0">
      <w:lvlJc w:val="left"/>
      <w:lvlText w:val="•"/>
      <w:numFmt w:val="bullet"/>
      <w:start w:val="1"/>
    </w:lvl>
  </w:abstractNum>
  <w:abstractNum w:abstractNumId="66">
    <w:nsid w:val="7670D608"/>
    <w:multiLevelType w:val="hybridMultilevel"/>
    <w:lvl w:ilvl="0">
      <w:lvlJc w:val="left"/>
      <w:lvlText w:val="•"/>
      <w:numFmt w:val="bullet"/>
      <w:start w:val="1"/>
    </w:lvl>
  </w:abstractNum>
  <w:abstractNum w:abstractNumId="67">
    <w:nsid w:val="48B6B6EB"/>
    <w:multiLevelType w:val="hybridMultilevel"/>
    <w:lvl w:ilvl="0">
      <w:lvlJc w:val="left"/>
      <w:lvlText w:val="•"/>
      <w:numFmt w:val="bullet"/>
      <w:start w:val="1"/>
    </w:lvl>
  </w:abstractNum>
  <w:abstractNum w:abstractNumId="68">
    <w:nsid w:val="FB37489"/>
    <w:multiLevelType w:val="hybridMultilevel"/>
    <w:lvl w:ilvl="0">
      <w:lvlJc w:val="left"/>
      <w:lvlText w:val="*"/>
      <w:numFmt w:val="bullet"/>
      <w:start w:val="1"/>
    </w:lvl>
  </w:abstractNum>
  <w:abstractNum w:abstractNumId="69">
    <w:nsid w:val="8A75F95"/>
    <w:multiLevelType w:val="hybridMultilevel"/>
    <w:lvl w:ilvl="0">
      <w:lvlJc w:val="left"/>
      <w:lvlText w:val="(%1)"/>
      <w:numFmt w:val="decimal"/>
      <w:start w:val="1"/>
    </w:lvl>
  </w:abstractNum>
  <w:abstractNum w:abstractNumId="70">
    <w:nsid w:val="2B27BF4D"/>
    <w:multiLevelType w:val="hybridMultilevel"/>
    <w:lvl w:ilvl="0">
      <w:lvlJc w:val="left"/>
      <w:lvlText w:val="(%1)"/>
      <w:numFmt w:val="decimal"/>
      <w:start w:val="1"/>
    </w:lvl>
  </w:abstractNum>
  <w:abstractNum w:abstractNumId="71">
    <w:nsid w:val="E5CBEB4"/>
    <w:multiLevelType w:val="hybridMultilevel"/>
    <w:lvl w:ilvl="0">
      <w:lvlJc w:val="left"/>
      <w:lvlText w:val="•"/>
      <w:numFmt w:val="bullet"/>
      <w:start w:val="1"/>
    </w:lvl>
  </w:abstractNum>
  <w:abstractNum w:abstractNumId="72">
    <w:nsid w:val="297BFD38"/>
    <w:multiLevelType w:val="hybridMultilevel"/>
    <w:lvl w:ilvl="0">
      <w:lvlJc w:val="left"/>
      <w:lvlText w:val="(%1)"/>
      <w:numFmt w:val="lowerRoman"/>
      <w:start w:val="4"/>
    </w:lvl>
  </w:abstractNum>
  <w:abstractNum w:abstractNumId="73">
    <w:nsid w:val="D9A50ED"/>
    <w:multiLevelType w:val="hybridMultilevel"/>
    <w:lvl w:ilvl="0">
      <w:lvlJc w:val="left"/>
      <w:lvlText w:val="(%1)"/>
      <w:numFmt w:val="lowerLetter"/>
      <w:start w:val="2"/>
    </w:lvl>
  </w:abstractNum>
  <w:abstractNum w:abstractNumId="74">
    <w:nsid w:val="20DAABD1"/>
    <w:multiLevelType w:val="hybridMultilevel"/>
    <w:lvl w:ilvl="0">
      <w:lvlJc w:val="left"/>
      <w:lvlText w:val="(%1)"/>
      <w:numFmt w:val="lowerLetter"/>
      <w:start w:val="4"/>
    </w:lvl>
  </w:abstractNum>
  <w:abstractNum w:abstractNumId="75">
    <w:nsid w:val="71B563E3"/>
    <w:multiLevelType w:val="hybridMultilevel"/>
    <w:lvl w:ilvl="0">
      <w:lvlJc w:val="left"/>
      <w:lvlText w:val="(%1)"/>
      <w:numFmt w:val="decimal"/>
      <w:start w:val="2"/>
    </w:lvl>
  </w:abstractNum>
  <w:abstractNum w:abstractNumId="76">
    <w:nsid w:val="741A191E"/>
    <w:multiLevelType w:val="hybridMultilevel"/>
    <w:lvl w:ilvl="0">
      <w:lvlJc w:val="left"/>
      <w:lvlText w:val="•"/>
      <w:numFmt w:val="bullet"/>
      <w:start w:val="1"/>
    </w:lvl>
  </w:abstractNum>
  <w:abstractNum w:abstractNumId="77">
    <w:nsid w:val="55886153"/>
    <w:multiLevelType w:val="hybridMultilevel"/>
    <w:lvl w:ilvl="0">
      <w:lvlJc w:val="left"/>
      <w:lvlText w:val="•"/>
      <w:numFmt w:val="bullet"/>
      <w:start w:val="1"/>
    </w:lvl>
  </w:abstractNum>
  <w:abstractNum w:abstractNumId="78">
    <w:nsid w:val="3E6AF287"/>
    <w:multiLevelType w:val="hybridMultilevel"/>
    <w:lvl w:ilvl="0">
      <w:lvlJc w:val="left"/>
      <w:lvlText w:val="•"/>
      <w:numFmt w:val="bullet"/>
      <w:start w:val="1"/>
    </w:lvl>
  </w:abstractNum>
  <w:abstractNum w:abstractNumId="79">
    <w:nsid w:val="2D7CB919"/>
    <w:multiLevelType w:val="hybridMultilevel"/>
    <w:lvl w:ilvl="0">
      <w:lvlJc w:val="left"/>
      <w:lvlText w:val="•"/>
      <w:numFmt w:val="bullet"/>
      <w:start w:val="1"/>
    </w:lvl>
  </w:abstractNum>
  <w:abstractNum w:abstractNumId="80">
    <w:nsid w:val="4781AC2F"/>
    <w:multiLevelType w:val="hybridMultilevel"/>
    <w:lvl w:ilvl="0">
      <w:lvlJc w:val="left"/>
      <w:lvlText w:val="•"/>
      <w:numFmt w:val="bullet"/>
      <w:start w:val="1"/>
    </w:lvl>
  </w:abstractNum>
  <w:abstractNum w:abstractNumId="81">
    <w:nsid w:val="666AA3E1"/>
    <w:multiLevelType w:val="hybridMultilevel"/>
    <w:lvl w:ilvl="0">
      <w:lvlJc w:val="left"/>
      <w:lvlText w:val="•"/>
      <w:numFmt w:val="bullet"/>
      <w:start w:val="1"/>
    </w:lvl>
  </w:abstractNum>
  <w:abstractNum w:abstractNumId="82">
    <w:nsid w:val="32089E8C"/>
    <w:multiLevelType w:val="hybridMultilevel"/>
    <w:lvl w:ilvl="0">
      <w:lvlJc w:val="left"/>
      <w:lvlText w:val="•"/>
      <w:numFmt w:val="bullet"/>
      <w:start w:val="1"/>
    </w:lvl>
  </w:abstractNum>
  <w:abstractNum w:abstractNumId="83">
    <w:nsid w:val="5BAC6C9C"/>
    <w:multiLevelType w:val="hybridMultilevel"/>
    <w:lvl w:ilvl="0">
      <w:lvlJc w:val="left"/>
      <w:lvlText w:val="•"/>
      <w:numFmt w:val="bullet"/>
      <w:start w:val="1"/>
    </w:lvl>
  </w:abstractNum>
  <w:abstractNum w:abstractNumId="84">
    <w:nsid w:val="460FE42B"/>
    <w:multiLevelType w:val="hybridMultilevel"/>
    <w:lvl w:ilvl="0">
      <w:lvlJc w:val="left"/>
      <w:lvlText w:val="•"/>
      <w:numFmt w:val="bullet"/>
      <w:start w:val="1"/>
    </w:lvl>
  </w:abstractNum>
  <w:abstractNum w:abstractNumId="85">
    <w:nsid w:val="5EC714FC"/>
    <w:multiLevelType w:val="hybridMultilevel"/>
    <w:lvl w:ilvl="0">
      <w:lvlJc w:val="left"/>
      <w:lvlText w:val="•"/>
      <w:numFmt w:val="bullet"/>
      <w:start w:val="1"/>
    </w:lvl>
  </w:abstractNum>
  <w:abstractNum w:abstractNumId="86">
    <w:nsid w:val="39333BAD"/>
    <w:multiLevelType w:val="hybridMultilevel"/>
    <w:lvl w:ilvl="0">
      <w:lvlJc w:val="left"/>
      <w:lvlText w:val="•"/>
      <w:numFmt w:val="bullet"/>
      <w:start w:val="1"/>
    </w:lvl>
  </w:abstractNum>
  <w:abstractNum w:abstractNumId="87">
    <w:nsid w:val="2FFF2A9F"/>
    <w:multiLevelType w:val="hybridMultilevel"/>
    <w:lvl w:ilvl="0">
      <w:lvlJc w:val="left"/>
      <w:lvlText w:val="•"/>
      <w:numFmt w:val="bullet"/>
      <w:start w:val="1"/>
    </w:lvl>
  </w:abstractNum>
  <w:abstractNum w:abstractNumId="88">
    <w:nsid w:val="477304AC"/>
    <w:multiLevelType w:val="hybridMultilevel"/>
    <w:lvl w:ilvl="0">
      <w:lvlJc w:val="left"/>
      <w:lvlText w:val="•"/>
      <w:numFmt w:val="bullet"/>
      <w:start w:val="1"/>
    </w:lvl>
  </w:abstractNum>
  <w:abstractNum w:abstractNumId="89">
    <w:nsid w:val="6B9F7823"/>
    <w:multiLevelType w:val="hybridMultilevel"/>
    <w:lvl w:ilvl="0">
      <w:lvlJc w:val="left"/>
      <w:lvlText w:val="(%1)"/>
      <w:numFmt w:val="decimal"/>
      <w:start w:val="1"/>
    </w:lvl>
  </w:abstractNum>
  <w:abstractNum w:abstractNumId="90">
    <w:nsid w:val="8A29A69"/>
    <w:multiLevelType w:val="hybridMultilevel"/>
    <w:lvl w:ilvl="0">
      <w:lvlJc w:val="left"/>
      <w:lvlText w:val="(%1)"/>
      <w:numFmt w:val="decimal"/>
      <w:start w:val="1"/>
    </w:lvl>
  </w:abstractNum>
  <w:abstractNum w:abstractNumId="91">
    <w:nsid w:val="5A0E9A9F"/>
    <w:multiLevelType w:val="hybridMultilevel"/>
    <w:lvl w:ilvl="0">
      <w:lvlJc w:val="left"/>
      <w:lvlText w:val="*"/>
      <w:numFmt w:val="bullet"/>
      <w:start w:val="1"/>
    </w:lvl>
  </w:abstractNum>
  <w:abstractNum w:abstractNumId="92">
    <w:nsid w:val="1C3F31CE"/>
    <w:multiLevelType w:val="hybridMultilevel"/>
    <w:lvl w:ilvl="0">
      <w:lvlJc w:val="left"/>
      <w:lvlText w:val="†"/>
      <w:numFmt w:val="bullet"/>
      <w:start w:val="1"/>
    </w:lvl>
  </w:abstractNum>
  <w:abstractNum w:abstractNumId="93">
    <w:nsid w:val="D28DDE"/>
    <w:multiLevelType w:val="hybridMultilevel"/>
    <w:lvl w:ilvl="0">
      <w:lvlJc w:val="left"/>
      <w:lvlText w:val="(%1)"/>
      <w:numFmt w:val="decimal"/>
      <w:start w:val="2"/>
    </w:lvl>
  </w:abstractNum>
  <w:abstractNum w:abstractNumId="94">
    <w:nsid w:val="59E3AC4"/>
    <w:multiLevelType w:val="hybridMultilevel"/>
    <w:lvl w:ilvl="0">
      <w:lvlJc w:val="left"/>
      <w:lvlText w:val="%1."/>
      <w:numFmt w:val="decimal"/>
      <w:start w:val="1"/>
    </w:lvl>
    <w:lvl w:ilvl="1">
      <w:lvlJc w:val="left"/>
      <w:lvlText w:val="(%2)"/>
      <w:numFmt w:val="lowerLetter"/>
      <w:start w:val="1"/>
    </w:lvl>
  </w:abstractNum>
  <w:abstractNum w:abstractNumId="95">
    <w:nsid w:val="5D38CAEA"/>
    <w:multiLevelType w:val="hybridMultilevel"/>
    <w:lvl w:ilvl="0">
      <w:lvlJc w:val="left"/>
      <w:lvlText w:val="%1."/>
      <w:numFmt w:val="decimal"/>
      <w:start w:val="1"/>
    </w:lvl>
    <w:lvl w:ilvl="1">
      <w:lvlJc w:val="left"/>
      <w:lvlText w:val="(%2)"/>
      <w:numFmt w:val="lowerLetter"/>
      <w:start w:val="1"/>
    </w:lvl>
  </w:abstractNum>
  <w:abstractNum w:abstractNumId="96">
    <w:nsid w:val="5F4208C"/>
    <w:multiLevelType w:val="hybridMultilevel"/>
    <w:lvl w:ilvl="0">
      <w:lvlJc w:val="left"/>
      <w:lvlText w:val="%1."/>
      <w:numFmt w:val="decimal"/>
      <w:start w:val="1"/>
    </w:lvl>
    <w:lvl w:ilvl="1">
      <w:lvlJc w:val="left"/>
      <w:lvlText w:val="(%2)"/>
      <w:numFmt w:val="lowerLetter"/>
      <w:start w:val="2"/>
    </w:lvl>
  </w:abstractNum>
  <w:abstractNum w:abstractNumId="97">
    <w:nsid w:val="7C0F10CC"/>
    <w:multiLevelType w:val="hybridMultilevel"/>
    <w:lvl w:ilvl="0">
      <w:lvlJc w:val="left"/>
      <w:lvlText w:val="%1."/>
      <w:numFmt w:val="decimal"/>
      <w:start w:val="1"/>
    </w:lvl>
    <w:lvl w:ilvl="1">
      <w:lvlJc w:val="left"/>
      <w:lvlText w:val="(%2)"/>
      <w:numFmt w:val="lowerLetter"/>
      <w:start w:val="2"/>
    </w:lvl>
  </w:abstractNum>
  <w:abstractNum w:abstractNumId="98">
    <w:nsid w:val="25EF81D5"/>
    <w:multiLevelType w:val="hybridMultilevel"/>
    <w:lvl w:ilvl="0">
      <w:lvlJc w:val="left"/>
      <w:lvlText w:val="%1"/>
      <w:numFmt w:val="decimal"/>
      <w:start w:val="1"/>
    </w:lvl>
    <w:lvl w:ilvl="1">
      <w:lvlJc w:val="left"/>
      <w:lvlText w:val="(%2)"/>
      <w:numFmt w:val="lowerLetter"/>
      <w:start w:val="1"/>
    </w:lvl>
  </w:abstractNum>
  <w:abstractNum w:abstractNumId="99">
    <w:nsid w:val="15A79515"/>
    <w:multiLevelType w:val="hybridMultilevel"/>
    <w:lvl w:ilvl="0">
      <w:lvlJc w:val="left"/>
      <w:lvlText w:val="%1."/>
      <w:numFmt w:val="decimal"/>
      <w:start w:val="2"/>
    </w:lvl>
    <w:lvl w:ilvl="1">
      <w:lvlJc w:val="left"/>
      <w:lvlText w:val="(%2)"/>
      <w:numFmt w:val="lowerLetter"/>
      <w:start w:val="2"/>
    </w:lvl>
  </w:abstractNum>
  <w:abstractNum w:abstractNumId="100">
    <w:nsid w:val="4B67062"/>
    <w:multiLevelType w:val="hybridMultilevel"/>
    <w:lvl w:ilvl="0">
      <w:lvlJc w:val="left"/>
      <w:lvlText w:val="%1."/>
      <w:numFmt w:val="decimal"/>
      <w:start w:val="2"/>
    </w:lvl>
    <w:lvl w:ilvl="1">
      <w:lvlJc w:val="left"/>
      <w:lvlText w:val="(%2)"/>
      <w:numFmt w:val="lowerLetter"/>
      <w:start w:val="7"/>
    </w:lvl>
  </w:abstractNum>
  <w:abstractNum w:abstractNumId="101">
    <w:nsid w:val="51174123"/>
    <w:multiLevelType w:val="hybridMultilevel"/>
    <w:lvl w:ilvl="0">
      <w:lvlJc w:val="left"/>
      <w:lvlText w:val="(%1)"/>
      <w:numFmt w:val="lowerRoman"/>
      <w:start w:val="1"/>
    </w:lvl>
  </w:abstractNum>
  <w:abstractNum w:abstractNumId="102">
    <w:nsid w:val="240453CA"/>
    <w:multiLevelType w:val="hybridMultilevel"/>
    <w:lvl w:ilvl="0">
      <w:lvlJc w:val="left"/>
      <w:lvlText w:val="%1."/>
      <w:numFmt w:val="decimal"/>
      <w:start w:val="2"/>
    </w:lvl>
    <w:lvl w:ilvl="1">
      <w:lvlJc w:val="left"/>
      <w:lvlText w:val="(%2)"/>
      <w:numFmt w:val="lowerLetter"/>
      <w:start w:val="10"/>
    </w:lvl>
  </w:abstractNum>
  <w:abstractNum w:abstractNumId="103">
    <w:nsid w:val="2E326D9A"/>
    <w:multiLevelType w:val="hybridMultilevel"/>
    <w:lvl w:ilvl="0">
      <w:lvlJc w:val="left"/>
      <w:lvlText w:val="%1."/>
      <w:numFmt w:val="decimal"/>
      <w:start w:val="2"/>
    </w:lvl>
    <w:lvl w:ilvl="1">
      <w:lvlJc w:val="left"/>
      <w:lvlText w:val="(%2)"/>
      <w:numFmt w:val="lowerLetter"/>
      <w:start w:val="13"/>
    </w:lvl>
  </w:abstractNum>
  <w:abstractNum w:abstractNumId="104">
    <w:nsid w:val="5EB19210"/>
    <w:multiLevelType w:val="hybridMultilevel"/>
    <w:lvl w:ilvl="0">
      <w:lvlJc w:val="left"/>
      <w:lvlText w:val="%1."/>
      <w:numFmt w:val="decimal"/>
      <w:start w:val="2"/>
    </w:lvl>
    <w:lvl w:ilvl="1">
      <w:lvlJc w:val="left"/>
      <w:lvlText w:val="(%2)"/>
      <w:numFmt w:val="lowerLetter"/>
      <w:start w:val="16"/>
    </w:lvl>
  </w:abstractNum>
  <w:abstractNum w:abstractNumId="105">
    <w:nsid w:val="44DEFF9B"/>
    <w:multiLevelType w:val="hybridMultilevel"/>
    <w:lvl w:ilvl="0">
      <w:lvlJc w:val="left"/>
      <w:lvlText w:val="%1."/>
      <w:numFmt w:val="decimal"/>
      <w:start w:val="2"/>
    </w:lvl>
    <w:lvl w:ilvl="1">
      <w:lvlJc w:val="left"/>
      <w:lvlText w:val="(%2)"/>
      <w:numFmt w:val="lowerLetter"/>
      <w:start w:val="16"/>
    </w:lvl>
  </w:abstractNum>
  <w:abstractNum w:abstractNumId="106">
    <w:nsid w:val="1FE7D17D"/>
    <w:multiLevelType w:val="hybridMultilevel"/>
    <w:lvl w:ilvl="0">
      <w:lvlJc w:val="left"/>
      <w:lvlText w:val="%1."/>
      <w:numFmt w:val="decimal"/>
      <w:start w:val="2"/>
    </w:lvl>
    <w:lvl w:ilvl="1">
      <w:lvlJc w:val="left"/>
      <w:lvlText w:val="(%2)"/>
      <w:numFmt w:val="lowerLetter"/>
      <w:start w:val="21"/>
    </w:lvl>
  </w:abstractNum>
  <w:abstractNum w:abstractNumId="107">
    <w:nsid w:val="52CBAB2E"/>
    <w:multiLevelType w:val="hybridMultilevel"/>
    <w:lvl w:ilvl="0">
      <w:lvlJc w:val="left"/>
      <w:lvlText w:val="%1."/>
      <w:numFmt w:val="decimal"/>
      <w:start w:val="2"/>
    </w:lvl>
    <w:lvl w:ilvl="1">
      <w:lvlJc w:val="left"/>
      <w:lvlText w:val="(%2)"/>
      <w:numFmt w:val="lowerRoman"/>
      <w:start w:val="5"/>
    </w:lvl>
  </w:abstractNum>
  <w:abstractNum w:abstractNumId="108">
    <w:nsid w:val="1A6760EF"/>
    <w:multiLevelType w:val="hybridMultilevel"/>
    <w:lvl w:ilvl="0">
      <w:lvlJc w:val="left"/>
      <w:lvlText w:val="(%1)"/>
      <w:numFmt w:val="lowerLetter"/>
      <w:start w:val="23"/>
    </w:lvl>
  </w:abstractNum>
  <w:abstractNum w:abstractNumId="109">
    <w:nsid w:val="5E52C405"/>
    <w:multiLevelType w:val="hybridMultilevel"/>
    <w:lvl w:ilvl="0">
      <w:lvlJc w:val="left"/>
      <w:lvlText w:val="%1."/>
      <w:numFmt w:val="decimal"/>
      <w:start w:val="2"/>
    </w:lvl>
    <w:lvl w:ilvl="1">
      <w:lvlJc w:val="left"/>
      <w:lvlText w:val="(%2)"/>
      <w:numFmt w:val="lowerLetter"/>
      <w:start w:val="23"/>
    </w:lvl>
  </w:abstractNum>
  <w:abstractNum w:abstractNumId="110">
    <w:nsid w:val="486447"/>
    <w:multiLevelType w:val="hybridMultilevel"/>
    <w:lvl w:ilvl="0">
      <w:lvlJc w:val="left"/>
      <w:lvlText w:val="%1."/>
      <w:numFmt w:val="decimal"/>
      <w:start w:val="4"/>
    </w:lvl>
  </w:abstractNum>
  <w:abstractNum w:abstractNumId="111">
    <w:nsid w:val="61E90D1E"/>
    <w:multiLevelType w:val="hybridMultilevel"/>
    <w:lvl w:ilvl="0">
      <w:lvlJc w:val="left"/>
      <w:lvlText w:val="%1."/>
      <w:numFmt w:val="decimal"/>
      <w:start w:val="4"/>
    </w:lvl>
  </w:abstractNum>
  <w:abstractNum w:abstractNumId="112">
    <w:nsid w:val="44BD67E6"/>
    <w:multiLevelType w:val="hybridMultilevel"/>
    <w:lvl w:ilvl="0">
      <w:lvlJc w:val="left"/>
      <w:lvlText w:val="%1."/>
      <w:numFmt w:val="decimal"/>
      <w:start w:val="6"/>
    </w:lvl>
  </w:abstractNum>
  <w:abstractNum w:abstractNumId="113">
    <w:nsid w:val="325102D3"/>
    <w:multiLevelType w:val="hybridMultilevel"/>
    <w:lvl w:ilvl="0">
      <w:lvlJc w:val="left"/>
      <w:lvlText w:val="%1."/>
      <w:numFmt w:val="decimal"/>
      <w:start w:val="7"/>
    </w:lvl>
  </w:abstractNum>
  <w:abstractNum w:abstractNumId="114">
    <w:nsid w:val="3D9579BA"/>
    <w:multiLevelType w:val="hybridMultilevel"/>
    <w:lvl w:ilvl="0">
      <w:lvlJc w:val="left"/>
      <w:lvlText w:val="%1."/>
      <w:numFmt w:val="decimal"/>
      <w:start w:val="9"/>
    </w:lvl>
  </w:abstractNum>
  <w:abstractNum w:abstractNumId="115">
    <w:nsid w:val="ACD4C11"/>
    <w:multiLevelType w:val="hybridMultilevel"/>
    <w:lvl w:ilvl="0">
      <w:lvlJc w:val="left"/>
      <w:lvlText w:val="%1."/>
      <w:numFmt w:val="decimal"/>
      <w:start w:val="10"/>
    </w:lvl>
  </w:abstractNum>
  <w:abstractNum w:abstractNumId="116">
    <w:nsid w:val="111817CF"/>
    <w:multiLevelType w:val="hybridMultilevel"/>
    <w:lvl w:ilvl="0">
      <w:lvlJc w:val="left"/>
      <w:lvlText w:val="(%1)"/>
      <w:numFmt w:val="decimal"/>
      <w:start w:val="1"/>
    </w:lvl>
  </w:abstractNum>
  <w:abstractNum w:abstractNumId="117">
    <w:nsid w:val="76C8B568"/>
    <w:multiLevelType w:val="hybridMultilevel"/>
    <w:lvl w:ilvl="0">
      <w:lvlJc w:val="left"/>
      <w:lvlText w:val="(%1)"/>
      <w:numFmt w:val="lowerLetter"/>
      <w:start w:val="1"/>
    </w:lvl>
  </w:abstractNum>
  <w:abstractNum w:abstractNumId="118">
    <w:nsid w:val="3ACC76B1"/>
    <w:multiLevelType w:val="hybridMultilevel"/>
    <w:lvl w:ilvl="0">
      <w:lvlJc w:val="left"/>
      <w:lvlText w:val="%1."/>
      <w:numFmt w:val="decimal"/>
      <w:start w:val="10"/>
    </w:lvl>
  </w:abstractNum>
  <w:abstractNum w:abstractNumId="119">
    <w:nsid w:val="588B1C7C"/>
    <w:multiLevelType w:val="hybridMultilevel"/>
    <w:lvl w:ilvl="0">
      <w:lvlJc w:val="left"/>
      <w:lvlText w:val="(%1)"/>
      <w:numFmt w:val="lowerLetter"/>
      <w:start w:val="1"/>
    </w:lvl>
  </w:abstractNum>
  <w:abstractNum w:abstractNumId="120">
    <w:nsid w:val="62682D8B"/>
    <w:multiLevelType w:val="hybridMultilevel"/>
    <w:lvl w:ilvl="0">
      <w:lvlJc w:val="left"/>
      <w:lvlText w:val="(%1)"/>
      <w:numFmt w:val="lowerRoman"/>
      <w:start w:val="2"/>
    </w:lvl>
  </w:abstractNum>
  <w:abstractNum w:abstractNumId="121">
    <w:nsid w:val="436F111A"/>
    <w:multiLevelType w:val="hybridMultilevel"/>
    <w:lvl w:ilvl="0">
      <w:lvlJc w:val="left"/>
      <w:lvlText w:val="%1."/>
      <w:numFmt w:val="decimal"/>
      <w:start w:val="10"/>
    </w:lvl>
    <w:lvl w:ilvl="1">
      <w:lvlJc w:val="left"/>
      <w:lvlText w:val="(%2)"/>
      <w:numFmt w:val="lowerLetter"/>
      <w:start w:val="1"/>
    </w:lvl>
  </w:abstractNum>
  <w:abstractNum w:abstractNumId="122">
    <w:nsid w:val="3299B71B"/>
    <w:multiLevelType w:val="hybridMultilevel"/>
    <w:lvl w:ilvl="0">
      <w:lvlJc w:val="left"/>
      <w:lvlText w:val="%1."/>
      <w:numFmt w:val="decimal"/>
      <w:start w:val="10"/>
    </w:lvl>
  </w:abstractNum>
  <w:abstractNum w:abstractNumId="123">
    <w:nsid w:val="7EA75F5A"/>
    <w:multiLevelType w:val="hybridMultilevel"/>
    <w:lvl w:ilvl="0">
      <w:lvlJc w:val="left"/>
      <w:lvlText w:val="(%1)"/>
      <w:numFmt w:val="lowerLetter"/>
      <w:start w:val="1"/>
    </w:lvl>
  </w:abstractNum>
  <w:abstractNum w:abstractNumId="124">
    <w:nsid w:val="44419EF9"/>
    <w:multiLevelType w:val="hybridMultilevel"/>
    <w:lvl w:ilvl="0">
      <w:lvlJc w:val="left"/>
      <w:lvlText w:val="(%1)"/>
      <w:numFmt w:val="lowerRoman"/>
      <w:start w:val="8"/>
    </w:lvl>
  </w:abstractNum>
  <w:abstractNum w:abstractNumId="125">
    <w:nsid w:val="3837F1DF"/>
    <w:multiLevelType w:val="hybridMultilevel"/>
    <w:lvl w:ilvl="0">
      <w:lvlJc w:val="left"/>
      <w:lvlText w:val="(%1)"/>
      <w:numFmt w:val="lowerLetter"/>
      <w:start w:val="2"/>
    </w:lvl>
  </w:abstractNum>
  <w:abstractNum w:abstractNumId="126">
    <w:nsid w:val="5BE02A44"/>
    <w:multiLevelType w:val="hybridMultilevel"/>
    <w:lvl w:ilvl="0">
      <w:lvlJc w:val="left"/>
      <w:lvlText w:val="%1."/>
      <w:numFmt w:val="decimal"/>
      <w:start w:val="10"/>
    </w:lvl>
  </w:abstractNum>
  <w:abstractNum w:abstractNumId="127">
    <w:nsid w:val="4A35BF85"/>
    <w:multiLevelType w:val="hybridMultilevel"/>
    <w:lvl w:ilvl="0">
      <w:lvlJc w:val="left"/>
      <w:lvlText w:val="(%1)"/>
      <w:numFmt w:val="lowerLetter"/>
      <w:start w:val="2"/>
    </w:lvl>
  </w:abstractNum>
  <w:abstractNum w:abstractNumId="128">
    <w:nsid w:val="344702AC"/>
    <w:multiLevelType w:val="hybridMultilevel"/>
    <w:lvl w:ilvl="0">
      <w:lvlJc w:val="left"/>
      <w:lvlText w:val="(%1)"/>
      <w:numFmt w:val="lowerRoman"/>
      <w:start w:val="9"/>
    </w:lvl>
  </w:abstractNum>
  <w:abstractNum w:abstractNumId="129">
    <w:nsid w:val="1CFAC1A"/>
    <w:multiLevelType w:val="hybridMultilevel"/>
    <w:lvl w:ilvl="0">
      <w:lvlJc w:val="left"/>
      <w:lvlText w:val="%1."/>
      <w:numFmt w:val="decimal"/>
      <w:start w:val="10"/>
    </w:lvl>
  </w:abstractNum>
  <w:abstractNum w:abstractNumId="130">
    <w:nsid w:val="5FDD549A"/>
    <w:multiLevelType w:val="hybridMultilevel"/>
    <w:lvl w:ilvl="0">
      <w:lvlJc w:val="left"/>
      <w:lvlText w:val="(%1)"/>
      <w:numFmt w:val="lowerLetter"/>
      <w:start w:val="2"/>
    </w:lvl>
  </w:abstractNum>
  <w:abstractNum w:abstractNumId="131">
    <w:nsid w:val="38FD730E"/>
    <w:multiLevelType w:val="hybridMultilevel"/>
    <w:lvl w:ilvl="0">
      <w:lvlJc w:val="left"/>
      <w:lvlText w:val="(%1)"/>
      <w:numFmt w:val="lowerLetter"/>
      <w:start w:val="3"/>
    </w:lvl>
  </w:abstractNum>
  <w:abstractNum w:abstractNumId="132">
    <w:nsid w:val="52E6ED3D"/>
    <w:multiLevelType w:val="hybridMultilevel"/>
    <w:lvl w:ilvl="0">
      <w:lvlJc w:val="left"/>
      <w:lvlText w:val="%1."/>
      <w:numFmt w:val="decimal"/>
      <w:start w:val="11"/>
    </w:lvl>
  </w:abstractNum>
  <w:abstractNum w:abstractNumId="133">
    <w:nsid w:val="3E1A864"/>
    <w:multiLevelType w:val="hybridMultilevel"/>
    <w:lvl w:ilvl="0">
      <w:lvlJc w:val="left"/>
      <w:lvlText w:val="%1."/>
      <w:numFmt w:val="decimal"/>
      <w:start w:val="11"/>
    </w:lvl>
  </w:abstractNum>
  <w:abstractNum w:abstractNumId="134">
    <w:nsid w:val="672FE0A8"/>
    <w:multiLevelType w:val="hybridMultilevel"/>
    <w:lvl w:ilvl="0">
      <w:lvlJc w:val="left"/>
      <w:lvlText w:val="%1."/>
      <w:numFmt w:val="decimal"/>
      <w:start w:val="11"/>
    </w:lvl>
  </w:abstractNum>
  <w:abstractNum w:abstractNumId="135">
    <w:nsid w:val="31987F4D"/>
    <w:multiLevelType w:val="hybridMultilevel"/>
    <w:lvl w:ilvl="0">
      <w:lvlJc w:val="left"/>
      <w:lvlText w:val="%1."/>
      <w:numFmt w:val="decimal"/>
      <w:start w:val="12"/>
    </w:lvl>
    <w:lvl w:ilvl="1">
      <w:lvlJc w:val="left"/>
      <w:lvlText w:val="•"/>
      <w:numFmt w:val="bullet"/>
      <w:start w:val="1"/>
    </w:lvl>
  </w:abstractNum>
  <w:abstractNum w:abstractNumId="136">
    <w:nsid w:val="48C0A800"/>
    <w:multiLevelType w:val="hybridMultilevel"/>
    <w:lvl w:ilvl="0">
      <w:lvlJc w:val="left"/>
      <w:lvlText w:val="%1."/>
      <w:numFmt w:val="decimal"/>
      <w:start w:val="12"/>
    </w:lvl>
  </w:abstractNum>
  <w:abstractNum w:abstractNumId="137">
    <w:nsid w:val="717B226"/>
    <w:multiLevelType w:val="hybridMultilevel"/>
    <w:lvl w:ilvl="0">
      <w:lvlJc w:val="left"/>
      <w:lvlText w:val="%1."/>
      <w:numFmt w:val="decimal"/>
      <w:start w:val="13"/>
    </w:lvl>
  </w:abstractNum>
  <w:abstractNum w:abstractNumId="138">
    <w:nsid w:val="4642A7B"/>
    <w:multiLevelType w:val="hybridMultilevel"/>
    <w:lvl w:ilvl="0">
      <w:lvlJc w:val="left"/>
      <w:lvlText w:val="%1."/>
      <w:numFmt w:val="decimal"/>
      <w:start w:val="14"/>
    </w:lvl>
  </w:abstractNum>
  <w:abstractNum w:abstractNumId="139">
    <w:nsid w:val="632808EF"/>
    <w:multiLevelType w:val="hybridMultilevel"/>
    <w:lvl w:ilvl="0">
      <w:lvlJc w:val="left"/>
      <w:lvlText w:val="%1."/>
      <w:numFmt w:val="decimal"/>
      <w:start w:val="14"/>
    </w:lvl>
  </w:abstractNum>
  <w:abstractNum w:abstractNumId="140">
    <w:nsid w:val="656A762B"/>
    <w:multiLevelType w:val="hybridMultilevel"/>
    <w:lvl w:ilvl="0">
      <w:lvlJc w:val="left"/>
      <w:lvlText w:val="%1."/>
      <w:numFmt w:val="decimal"/>
      <w:start w:val="14"/>
    </w:lvl>
  </w:abstractNum>
  <w:abstractNum w:abstractNumId="141">
    <w:nsid w:val="4AC8EC3"/>
    <w:multiLevelType w:val="hybridMultilevel"/>
    <w:lvl w:ilvl="0">
      <w:lvlJc w:val="left"/>
      <w:lvlText w:val="%1."/>
      <w:numFmt w:val="decimal"/>
      <w:start w:val="16"/>
    </w:lvl>
  </w:abstractNum>
  <w:abstractNum w:abstractNumId="142">
    <w:nsid w:val="4511160D"/>
    <w:multiLevelType w:val="hybridMultilevel"/>
    <w:lvl w:ilvl="0">
      <w:lvlJc w:val="left"/>
      <w:lvlText w:val="%1."/>
      <w:numFmt w:val="decimal"/>
      <w:start w:val="17"/>
    </w:lvl>
    <w:lvl w:ilvl="1">
      <w:lvlJc w:val="left"/>
      <w:lvlText w:val="(%2)"/>
      <w:numFmt w:val="lowerLetter"/>
      <w:start w:val="1"/>
    </w:lvl>
  </w:abstractNum>
  <w:abstractNum w:abstractNumId="143">
    <w:nsid w:val="2A27DE11"/>
    <w:multiLevelType w:val="hybridMultilevel"/>
    <w:lvl w:ilvl="0">
      <w:lvlJc w:val="left"/>
      <w:lvlText w:val="%1."/>
      <w:numFmt w:val="decimal"/>
      <w:start w:val="19"/>
    </w:lvl>
  </w:abstractNum>
  <w:abstractNum w:abstractNumId="144">
    <w:nsid w:val="36FD9196"/>
    <w:multiLevelType w:val="hybridMultilevel"/>
    <w:lvl w:ilvl="0">
      <w:lvlJc w:val="left"/>
      <w:lvlText w:val="(%1)"/>
      <w:numFmt w:val="decimal"/>
      <w:start w:val="1"/>
    </w:lvl>
  </w:abstractNum>
  <w:abstractNum w:abstractNumId="145">
    <w:nsid w:val="2A68FC8"/>
    <w:multiLevelType w:val="hybridMultilevel"/>
    <w:lvl w:ilvl="0">
      <w:lvlJc w:val="left"/>
      <w:lvlText w:val="%1."/>
      <w:numFmt w:val="decimal"/>
      <w:start w:val="19"/>
    </w:lvl>
    <w:lvl w:ilvl="1">
      <w:lvlJc w:val="left"/>
      <w:lvlText w:val="(%2)"/>
      <w:numFmt w:val="decimal"/>
      <w:start w:val="3"/>
    </w:lvl>
  </w:abstractNum>
  <w:abstractNum w:abstractNumId="146">
    <w:nsid w:val="34F52A23"/>
    <w:multiLevelType w:val="hybridMultilevel"/>
    <w:lvl w:ilvl="0">
      <w:lvlJc w:val="left"/>
      <w:lvlText w:val="%1"/>
      <w:numFmt w:val="decimal"/>
      <w:start w:val="1"/>
    </w:lvl>
    <w:lvl w:ilvl="1">
      <w:lvlJc w:val="left"/>
      <w:lvlText w:val="(%2)"/>
      <w:numFmt w:val="lowerLetter"/>
      <w:start w:val="1"/>
    </w:lvl>
  </w:abstractNum>
  <w:abstractNum w:abstractNumId="147">
    <w:nsid w:val="4815A966"/>
    <w:multiLevelType w:val="hybridMultilevel"/>
    <w:lvl w:ilvl="0">
      <w:lvlJc w:val="left"/>
      <w:lvlText w:val="%1."/>
      <w:numFmt w:val="decimal"/>
      <w:start w:val="20"/>
    </w:lvl>
    <w:lvl w:ilvl="1">
      <w:lvlJc w:val="left"/>
      <w:lvlText w:val="(%2)"/>
      <w:numFmt w:val="lowerLetter"/>
      <w:start w:val="1"/>
    </w:lvl>
  </w:abstractNum>
  <w:abstractNum w:abstractNumId="148">
    <w:nsid w:val="796F4530"/>
    <w:multiLevelType w:val="hybridMultilevel"/>
    <w:lvl w:ilvl="0">
      <w:lvlJc w:val="left"/>
      <w:lvlText w:val="%1."/>
      <w:numFmt w:val="decimal"/>
      <w:start w:val="21"/>
    </w:lvl>
  </w:abstractNum>
  <w:abstractNum w:abstractNumId="149">
    <w:nsid w:val="6FC1A0D4"/>
    <w:multiLevelType w:val="hybridMultilevel"/>
    <w:lvl w:ilvl="0">
      <w:lvlJc w:val="left"/>
      <w:lvlText w:val="(%1)"/>
      <w:numFmt w:val="lowerLetter"/>
      <w:start w:val="4"/>
    </w:lvl>
  </w:abstractNum>
  <w:abstractNum w:abstractNumId="150">
    <w:nsid w:val="20A0C5E2"/>
    <w:multiLevelType w:val="hybridMultilevel"/>
    <w:lvl w:ilvl="0">
      <w:lvlJc w:val="left"/>
      <w:lvlText w:val="%1."/>
      <w:numFmt w:val="decimal"/>
      <w:start w:val="1"/>
    </w:lvl>
  </w:abstractNum>
  <w:abstractNum w:abstractNumId="151">
    <w:nsid w:val="5BD772BB"/>
    <w:multiLevelType w:val="hybridMultilevel"/>
    <w:lvl w:ilvl="0">
      <w:lvlJc w:val="left"/>
      <w:lvlText w:val="(%1)"/>
      <w:numFmt w:val="decimal"/>
      <w:start w:val="1"/>
    </w:lvl>
  </w:abstractNum>
  <w:abstractNum w:abstractNumId="152">
    <w:nsid w:val="3330B1EE"/>
    <w:multiLevelType w:val="hybridMultilevel"/>
    <w:lvl w:ilvl="0">
      <w:lvlJc w:val="left"/>
      <w:lvlText w:val="%1."/>
      <w:numFmt w:val="decimal"/>
      <w:start w:val="1"/>
    </w:lvl>
    <w:lvl w:ilvl="1">
      <w:lvlJc w:val="left"/>
      <w:lvlText w:val="(%2)"/>
      <w:numFmt w:val="lowerLetter"/>
      <w:start w:val="1"/>
    </w:lvl>
  </w:abstractNum>
  <w:abstractNum w:abstractNumId="153">
    <w:nsid w:val="533A7CFD"/>
    <w:multiLevelType w:val="hybridMultilevel"/>
    <w:lvl w:ilvl="0">
      <w:lvlJc w:val="left"/>
      <w:lvlText w:val="(%1)"/>
      <w:numFmt w:val="lowerLetter"/>
      <w:start w:val="2"/>
    </w:lvl>
  </w:abstractNum>
  <w:abstractNum w:abstractNumId="154">
    <w:nsid w:val="5A7ED215"/>
    <w:multiLevelType w:val="hybridMultilevel"/>
    <w:lvl w:ilvl="0">
      <w:lvlJc w:val="left"/>
      <w:lvlText w:val="(%1)"/>
      <w:numFmt w:val="decimal"/>
      <w:start w:val="1"/>
    </w:lvl>
  </w:abstractNum>
  <w:abstractNum w:abstractNumId="155">
    <w:nsid w:val="777250E7"/>
    <w:multiLevelType w:val="hybridMultilevel"/>
    <w:lvl w:ilvl="0">
      <w:lvlJc w:val="left"/>
      <w:lvlText w:val="(%1)"/>
      <w:numFmt w:val="decimal"/>
      <w:start w:val="1"/>
    </w:lvl>
  </w:abstractNum>
  <w:abstractNum w:abstractNumId="156">
    <w:nsid w:val="B726EDC"/>
    <w:multiLevelType w:val="hybridMultilevel"/>
    <w:lvl w:ilvl="0">
      <w:lvlJc w:val="left"/>
      <w:lvlText w:val="(%1)"/>
      <w:numFmt w:val="decimal"/>
      <w:start w:val="9"/>
    </w:lvl>
  </w:abstractNum>
  <w:abstractNum w:abstractNumId="157">
    <w:nsid w:val="365EFC5A"/>
    <w:multiLevelType w:val="hybridMultilevel"/>
    <w:lvl w:ilvl="0">
      <w:lvlJc w:val="left"/>
      <w:lvlText w:val="(%1)"/>
      <w:numFmt w:val="lowerRoman"/>
      <w:start w:val="2"/>
    </w:lvl>
  </w:abstractNum>
  <w:abstractNum w:abstractNumId="158">
    <w:nsid w:val="41A8106C"/>
    <w:multiLevelType w:val="hybridMultilevel"/>
    <w:lvl w:ilvl="0">
      <w:lvlJc w:val="left"/>
      <w:lvlText w:val="(%1)"/>
      <w:numFmt w:val="decimal"/>
      <w:start w:val="1"/>
    </w:lvl>
  </w:abstractNum>
  <w:abstractNum w:abstractNumId="159">
    <w:nsid w:val="3FB97188"/>
    <w:multiLevelType w:val="hybridMultilevel"/>
    <w:lvl w:ilvl="0">
      <w:lvlJc w:val="left"/>
      <w:lvlText w:val="(%1)"/>
      <w:numFmt w:val="decimal"/>
      <w:start w:val="1"/>
    </w:lvl>
  </w:abstractNum>
  <w:abstractNum w:abstractNumId="160">
    <w:nsid w:val="382EA874"/>
    <w:multiLevelType w:val="hybridMultilevel"/>
    <w:lvl w:ilvl="0">
      <w:lvlJc w:val="left"/>
      <w:lvlText w:val="(%1)"/>
      <w:numFmt w:val="decimal"/>
      <w:start w:val="1"/>
    </w:lvl>
  </w:abstractNum>
  <w:abstractNum w:abstractNumId="161">
    <w:nsid w:val="21856507"/>
    <w:multiLevelType w:val="hybridMultilevel"/>
    <w:lvl w:ilvl="0">
      <w:lvlJc w:val="left"/>
      <w:lvlText w:val="%1"/>
      <w:numFmt w:val="decimal"/>
      <w:start w:val="1"/>
    </w:lvl>
    <w:lvl w:ilvl="1">
      <w:lvlJc w:val="left"/>
      <w:lvlText w:val="(%2)"/>
      <w:numFmt w:val="decimal"/>
      <w:start w:val="3"/>
    </w:lvl>
  </w:abstractNum>
  <w:abstractNum w:abstractNumId="162">
    <w:nsid w:val="78B6E496"/>
    <w:multiLevelType w:val="hybridMultilevel"/>
    <w:lvl w:ilvl="0">
      <w:lvlJc w:val="left"/>
      <w:lvlText w:val="(%1)"/>
      <w:numFmt w:val="decimal"/>
      <w:start w:val="1"/>
    </w:lvl>
    <w:lvl w:ilvl="1">
      <w:lvlJc w:val="left"/>
      <w:lvlText w:val="(%2)"/>
      <w:numFmt w:val="decimal"/>
      <w:start w:val="4"/>
    </w:lvl>
  </w:abstractNum>
  <w:abstractNum w:abstractNumId="163">
    <w:nsid w:val="B1595B1"/>
    <w:multiLevelType w:val="hybridMultilevel"/>
    <w:lvl w:ilvl="0">
      <w:lvlJc w:val="left"/>
      <w:lvlText w:val="(%1)"/>
      <w:numFmt w:val="decimal"/>
      <w:start w:val="1"/>
    </w:lvl>
    <w:lvl w:ilvl="1">
      <w:lvlJc w:val="left"/>
      <w:lvlText w:val="(%2)"/>
      <w:numFmt w:val="upperLetter"/>
      <w:start w:val="1"/>
    </w:lvl>
  </w:abstractNum>
  <w:abstractNum w:abstractNumId="164">
    <w:nsid w:val="25670D6B"/>
    <w:multiLevelType w:val="hybridMultilevel"/>
    <w:lvl w:ilvl="0">
      <w:lvlJc w:val="left"/>
      <w:lvlText w:val="(%1)"/>
      <w:numFmt w:val="decimal"/>
      <w:start w:val="1"/>
    </w:lvl>
  </w:abstractNum>
  <w:abstractNum w:abstractNumId="165">
    <w:nsid w:val="5FE6C53F"/>
    <w:multiLevelType w:val="hybridMultilevel"/>
    <w:lvl w:ilvl="0">
      <w:lvlJc w:val="left"/>
      <w:lvlText w:val="(%1)"/>
      <w:numFmt w:val="decimal"/>
      <w:start w:val="1"/>
    </w:lvl>
  </w:abstractNum>
  <w:abstractNum w:abstractNumId="166">
    <w:nsid w:val="3CAE14FE"/>
    <w:multiLevelType w:val="hybridMultilevel"/>
    <w:lvl w:ilvl="0">
      <w:lvlJc w:val="left"/>
      <w:lvlText w:val="(%1)"/>
      <w:numFmt w:val="decimal"/>
      <w:start w:val="8"/>
    </w:lvl>
  </w:abstractNum>
  <w:abstractNum w:abstractNumId="167">
    <w:nsid w:val="6E27B56B"/>
    <w:multiLevelType w:val="hybridMultilevel"/>
    <w:lvl w:ilvl="0">
      <w:lvlJc w:val="left"/>
      <w:lvlText w:val="(%1)"/>
      <w:numFmt w:val="decimal"/>
      <w:start w:val="1"/>
    </w:lvl>
  </w:abstractNum>
  <w:abstractNum w:abstractNumId="168">
    <w:nsid w:val="66FE7765"/>
    <w:multiLevelType w:val="hybridMultilevel"/>
    <w:lvl w:ilvl="0">
      <w:lvlJc w:val="left"/>
      <w:lvlText w:val="(%1)"/>
      <w:numFmt w:val="decimal"/>
      <w:start w:val="1"/>
    </w:lvl>
  </w:abstractNum>
  <w:abstractNum w:abstractNumId="169">
    <w:nsid w:val="41123F79"/>
    <w:multiLevelType w:val="hybridMultilevel"/>
    <w:lvl w:ilvl="0">
      <w:lvlJc w:val="left"/>
      <w:lvlText w:val="%1"/>
      <w:numFmt w:val="lowerRoman"/>
      <w:start w:val="1"/>
    </w:lvl>
    <w:lvl w:ilvl="1">
      <w:lvlJc w:val="left"/>
      <w:lvlText w:val="(%2)"/>
      <w:numFmt w:val="decimal"/>
      <w:start w:val="1"/>
    </w:lvl>
  </w:abstractNum>
  <w:abstractNum w:abstractNumId="170">
    <w:nsid w:val="514FBE5A"/>
    <w:multiLevelType w:val="hybridMultilevel"/>
    <w:lvl w:ilvl="0">
      <w:lvlJc w:val="left"/>
      <w:lvlText w:val="(%1)"/>
      <w:numFmt w:val="lowerRoman"/>
      <w:start w:val="2"/>
    </w:lvl>
    <w:lvl w:ilvl="1">
      <w:lvlJc w:val="left"/>
      <w:lvlText w:val="%2"/>
      <w:numFmt w:val="decimal"/>
      <w:start w:val="1"/>
    </w:lvl>
  </w:abstractNum>
  <w:abstractNum w:abstractNumId="171">
    <w:nsid w:val="4C68ED90"/>
    <w:multiLevelType w:val="hybridMultilevel"/>
    <w:lvl w:ilvl="0">
      <w:lvlJc w:val="left"/>
      <w:lvlText w:val="(%1)"/>
      <w:numFmt w:val="decimal"/>
      <w:start w:val="2"/>
    </w:lvl>
  </w:abstractNum>
  <w:abstractNum w:abstractNumId="172">
    <w:nsid w:val="45BECE3C"/>
    <w:multiLevelType w:val="hybridMultilevel"/>
    <w:lvl w:ilvl="0">
      <w:lvlJc w:val="left"/>
      <w:lvlText w:val="(%1)"/>
      <w:numFmt w:val="lowerLetter"/>
      <w:start w:val="1"/>
    </w:lvl>
  </w:abstractNum>
  <w:abstractNum w:abstractNumId="173">
    <w:nsid w:val="1660D468"/>
    <w:multiLevelType w:val="hybridMultilevel"/>
    <w:lvl w:ilvl="0">
      <w:lvlJc w:val="left"/>
      <w:lvlText w:val="(%1)"/>
      <w:numFmt w:val="decimal"/>
      <w:start w:val="1"/>
    </w:lvl>
  </w:abstractNum>
  <w:abstractNum w:abstractNumId="174">
    <w:nsid w:val="7690CBA1"/>
    <w:multiLevelType w:val="hybridMultilevel"/>
    <w:lvl w:ilvl="0">
      <w:lvlJc w:val="left"/>
      <w:lvlText w:val="(%1)"/>
      <w:numFmt w:val="decimal"/>
      <w:start w:val="1"/>
    </w:lvl>
  </w:abstractNum>
  <w:abstractNum w:abstractNumId="175">
    <w:nsid w:val="7CBC5FD3"/>
    <w:multiLevelType w:val="hybridMultilevel"/>
    <w:lvl w:ilvl="0">
      <w:lvlJc w:val="left"/>
      <w:lvlText w:val="(%1)"/>
      <w:numFmt w:val="upperLetter"/>
      <w:start w:val="1"/>
    </w:lvl>
  </w:abstractNum>
  <w:abstractNum w:abstractNumId="176">
    <w:nsid w:val="19076430"/>
    <w:multiLevelType w:val="hybridMultilevel"/>
    <w:lvl w:ilvl="0">
      <w:lvlJc w:val="left"/>
      <w:lvlText w:val="(%1)"/>
      <w:numFmt w:val="decimal"/>
      <w:start w:val="1"/>
    </w:lvl>
  </w:abstractNum>
  <w:abstractNum w:abstractNumId="177">
    <w:nsid w:val="2B85F5C4"/>
    <w:multiLevelType w:val="hybridMultilevel"/>
    <w:lvl w:ilvl="0">
      <w:lvlJc w:val="left"/>
      <w:lvlText w:val="%1"/>
      <w:numFmt w:val="lowerLetter"/>
      <w:start w:val="1"/>
    </w:lvl>
    <w:lvl w:ilvl="1">
      <w:lvlJc w:val="left"/>
      <w:lvlText w:val="(%2)"/>
      <w:numFmt w:val="decimal"/>
      <w:start w:val="1"/>
    </w:lvl>
  </w:abstractNum>
  <w:abstractNum w:abstractNumId="178">
    <w:nsid w:val="44D20939"/>
    <w:multiLevelType w:val="hybridMultilevel"/>
    <w:lvl w:ilvl="0">
      <w:lvlJc w:val="left"/>
      <w:lvlText w:val="(%1)"/>
      <w:numFmt w:val="lowerLetter"/>
      <w:start w:val="3"/>
    </w:lvl>
    <w:lvl w:ilvl="1">
      <w:lvlJc w:val="left"/>
      <w:lvlText w:val="(%2)"/>
      <w:numFmt w:val="decimal"/>
      <w:start w:val="2"/>
    </w:lvl>
  </w:abstractNum>
  <w:abstractNum w:abstractNumId="179">
    <w:nsid w:val="1276A960"/>
    <w:multiLevelType w:val="hybridMultilevel"/>
    <w:lvl w:ilvl="0">
      <w:lvlJc w:val="left"/>
      <w:lvlText w:val="(%1)"/>
      <w:numFmt w:val="decimal"/>
      <w:start w:val="1"/>
    </w:lvl>
    <w:lvl w:ilvl="1">
      <w:lvlJc w:val="left"/>
      <w:lvlText w:val="(%2)"/>
      <w:numFmt w:val="upperLetter"/>
      <w:start w:val="1"/>
    </w:lvl>
  </w:abstractNum>
  <w:abstractNum w:abstractNumId="180">
    <w:nsid w:val="1B479698"/>
    <w:multiLevelType w:val="hybridMultilevel"/>
    <w:lvl w:ilvl="0">
      <w:lvlJc w:val="left"/>
      <w:lvlText w:val="(%1)"/>
      <w:numFmt w:val="decimal"/>
      <w:start w:val="6"/>
    </w:lvl>
  </w:abstractNum>
  <w:abstractNum w:abstractNumId="181">
    <w:nsid w:val="6572CF1B"/>
    <w:multiLevelType w:val="hybridMultilevel"/>
    <w:lvl w:ilvl="0">
      <w:lvlJc w:val="left"/>
      <w:lvlText w:val="%1"/>
      <w:numFmt w:val="lowerLetter"/>
      <w:start w:val="1"/>
    </w:lvl>
    <w:lvl w:ilvl="1">
      <w:lvlJc w:val="left"/>
      <w:lvlText w:val="(%2)"/>
      <w:numFmt w:val="decimal"/>
      <w:start w:val="19"/>
    </w:lvl>
  </w:abstractNum>
  <w:abstractNum w:abstractNumId="182">
    <w:nsid w:val="6E4E1C1B"/>
    <w:multiLevelType w:val="hybridMultilevel"/>
    <w:lvl w:ilvl="0">
      <w:lvlJc w:val="left"/>
      <w:lvlText w:val="(%1)"/>
      <w:numFmt w:val="lowerLetter"/>
      <w:start w:val="25"/>
    </w:lvl>
    <w:lvl w:ilvl="1">
      <w:lvlJc w:val="left"/>
      <w:lvlText w:val="(%2)"/>
      <w:numFmt w:val="decimal"/>
      <w:start w:val="22"/>
    </w:lvl>
  </w:abstractNum>
  <w:abstractNum w:abstractNumId="183">
    <w:nsid w:val="4E784887"/>
    <w:multiLevelType w:val="hybridMultilevel"/>
    <w:lvl w:ilvl="0">
      <w:lvlJc w:val="left"/>
      <w:lvlText w:val="(%1)"/>
      <w:numFmt w:val="decimal"/>
      <w:start w:val="1"/>
    </w:lvl>
  </w:abstractNum>
  <w:abstractNum w:abstractNumId="184">
    <w:nsid w:val="38AD4C18"/>
    <w:multiLevelType w:val="hybridMultilevel"/>
    <w:lvl w:ilvl="0">
      <w:lvlJc w:val="left"/>
      <w:lvlText w:val="(%1)"/>
      <w:numFmt w:val="decimal"/>
      <w:start w:val="9"/>
    </w:lvl>
    <w:lvl w:ilvl="1">
      <w:lvlJc w:val="left"/>
      <w:lvlText w:val="(%2)"/>
      <w:numFmt w:val="upperLetter"/>
      <w:start w:val="1"/>
    </w:lvl>
  </w:abstractNum>
  <w:abstractNum w:abstractNumId="185">
    <w:nsid w:val="48CCEE31"/>
    <w:multiLevelType w:val="hybridMultilevel"/>
    <w:lvl w:ilvl="0">
      <w:lvlJc w:val="left"/>
      <w:lvlText w:val="(%1)"/>
      <w:numFmt w:val="decimal"/>
      <w:start w:val="19"/>
    </w:lvl>
  </w:abstractNum>
  <w:abstractNum w:abstractNumId="186">
    <w:nsid w:val="45EA996E"/>
    <w:multiLevelType w:val="hybridMultilevel"/>
    <w:lvl w:ilvl="0">
      <w:lvlJc w:val="left"/>
      <w:lvlText w:val="(%1)"/>
      <w:numFmt w:val="decimal"/>
      <w:start w:val="1"/>
    </w:lvl>
  </w:abstractNum>
  <w:abstractNum w:abstractNumId="187">
    <w:nsid w:val="441FBAF4"/>
    <w:multiLevelType w:val="hybridMultilevel"/>
    <w:lvl w:ilvl="0">
      <w:lvlJc w:val="left"/>
      <w:lvlText w:val="(%1)"/>
      <w:numFmt w:val="decimal"/>
      <w:start w:val="4"/>
    </w:lvl>
  </w:abstractNum>
  <w:abstractNum w:abstractNumId="188">
    <w:nsid w:val="7F2BEA8B"/>
    <w:multiLevelType w:val="hybridMultilevel"/>
    <w:lvl w:ilvl="0">
      <w:lvlJc w:val="left"/>
      <w:lvlText w:val="(%1)"/>
      <w:numFmt w:val="decimal"/>
      <w:start w:val="1"/>
    </w:lvl>
  </w:abstractNum>
  <w:abstractNum w:abstractNumId="189">
    <w:nsid w:val="792A9DB"/>
    <w:multiLevelType w:val="hybridMultilevel"/>
    <w:lvl w:ilvl="0">
      <w:lvlJc w:val="left"/>
      <w:lvlText w:val="(%1)"/>
      <w:numFmt w:val="decimal"/>
      <w:start w:val="1"/>
    </w:lvl>
  </w:abstractNum>
  <w:abstractNum w:abstractNumId="190">
    <w:nsid w:val="3D92C7D"/>
    <w:multiLevelType w:val="hybridMultilevel"/>
    <w:lvl w:ilvl="0">
      <w:lvlJc w:val="left"/>
      <w:lvlText w:val="(%1)"/>
      <w:numFmt w:val="decimal"/>
      <w:start w:val="1"/>
    </w:lvl>
  </w:abstractNum>
  <w:abstractNum w:abstractNumId="191">
    <w:nsid w:val="375A92FF"/>
    <w:multiLevelType w:val="hybridMultilevel"/>
    <w:lvl w:ilvl="0">
      <w:lvlJc w:val="left"/>
      <w:lvlText w:val="(%1)"/>
      <w:numFmt w:val="decimal"/>
      <w:start w:val="1"/>
    </w:lvl>
  </w:abstractNum>
  <w:abstractNum w:abstractNumId="192">
    <w:nsid w:val="29180EE2"/>
    <w:multiLevelType w:val="hybridMultilevel"/>
    <w:lvl w:ilvl="0">
      <w:lvlJc w:val="left"/>
      <w:lvlText w:val="%1"/>
      <w:numFmt w:val="lowerLetter"/>
      <w:start w:val="1"/>
    </w:lvl>
    <w:lvl w:ilvl="1">
      <w:lvlJc w:val="left"/>
      <w:lvlText w:val="(%2)"/>
      <w:numFmt w:val="decimal"/>
      <w:start w:val="1"/>
    </w:lvl>
  </w:abstractNum>
  <w:abstractNum w:abstractNumId="193">
    <w:nsid w:val="7C901113"/>
    <w:multiLevelType w:val="hybridMultilevel"/>
    <w:lvl w:ilvl="0">
      <w:lvlJc w:val="left"/>
      <w:lvlText w:val="(%1)"/>
      <w:numFmt w:val="lowerLetter"/>
      <w:start w:val="1"/>
    </w:lvl>
    <w:lvl w:ilvl="1">
      <w:lvlJc w:val="left"/>
      <w:lvlText w:val="(%2)"/>
      <w:numFmt w:val="decimal"/>
      <w:start w:val="4"/>
    </w:lvl>
  </w:abstractNum>
  <w:abstractNum w:abstractNumId="194">
    <w:nsid w:val="427028B0"/>
    <w:multiLevelType w:val="hybridMultilevel"/>
    <w:lvl w:ilvl="0">
      <w:lvlJc w:val="left"/>
      <w:lvlText w:val="(%1)"/>
      <w:numFmt w:val="decimal"/>
      <w:start w:val="1"/>
    </w:lvl>
  </w:abstractNum>
  <w:abstractNum w:abstractNumId="195">
    <w:nsid w:val="4E7F1C4D"/>
    <w:multiLevelType w:val="hybridMultilevel"/>
    <w:lvl w:ilvl="0">
      <w:lvlJc w:val="left"/>
      <w:lvlText w:val="(%1)"/>
      <w:numFmt w:val="decimal"/>
      <w:start w:val="1"/>
    </w:lvl>
  </w:abstractNum>
  <w:abstractNum w:abstractNumId="196">
    <w:nsid w:val="5C76D652"/>
    <w:multiLevelType w:val="hybridMultilevel"/>
    <w:lvl w:ilvl="0">
      <w:lvlJc w:val="left"/>
      <w:lvlText w:val="(%1)"/>
      <w:numFmt w:val="decimal"/>
      <w:start w:val="1"/>
    </w:lvl>
  </w:abstractNum>
  <w:abstractNum w:abstractNumId="197">
    <w:nsid w:val="7F1E3DAE"/>
    <w:multiLevelType w:val="hybridMultilevel"/>
    <w:lvl w:ilvl="0">
      <w:lvlJc w:val="left"/>
      <w:lvlText w:val="(%1)"/>
      <w:numFmt w:val="lowerLetter"/>
      <w:start w:val="1"/>
    </w:lvl>
  </w:abstractNum>
  <w:abstractNum w:abstractNumId="198">
    <w:nsid w:val="3CA6D1B9"/>
    <w:multiLevelType w:val="hybridMultilevel"/>
    <w:lvl w:ilvl="0">
      <w:lvlJc w:val="left"/>
      <w:lvlText w:val="(%1)"/>
      <w:numFmt w:val="lowerLetter"/>
      <w:start w:val="2"/>
    </w:lvl>
  </w:abstractNum>
  <w:abstractNum w:abstractNumId="199">
    <w:nsid w:val="43754DB7"/>
    <w:multiLevelType w:val="hybridMultilevel"/>
    <w:lvl w:ilvl="0">
      <w:lvlJc w:val="left"/>
      <w:lvlText w:val="(%1)"/>
      <w:numFmt w:val="lowerLetter"/>
      <w:start w:val="1"/>
    </w:lvl>
    <w:lvl w:ilvl="1">
      <w:lvlJc w:val="left"/>
      <w:lvlText w:val="(%2)"/>
      <w:numFmt w:val="decimal"/>
      <w:start w:val="1"/>
    </w:lvl>
  </w:abstractNum>
  <w:abstractNum w:abstractNumId="200">
    <w:nsid w:val="40307D27"/>
    <w:multiLevelType w:val="hybridMultilevel"/>
    <w:lvl w:ilvl="0">
      <w:lvlJc w:val="left"/>
      <w:lvlText w:val="(%1)"/>
      <w:numFmt w:val="lowerLetter"/>
      <w:start w:val="3"/>
    </w:lvl>
    <w:lvl w:ilvl="1">
      <w:lvlJc w:val="left"/>
      <w:lvlText w:val="(%2)"/>
      <w:numFmt w:val="lowerLetter"/>
      <w:start w:val="2"/>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201">
    <w:nsid w:val="DF69013"/>
    <w:multiLevelType w:val="hybridMultilevel"/>
    <w:lvl w:ilvl="0">
      <w:lvlJc w:val="left"/>
      <w:lvlText w:val="(%1)"/>
      <w:numFmt w:val="upperLetter"/>
      <w:start w:val="2"/>
    </w:lvl>
    <w:lvl w:ilvl="1">
      <w:lvlJc w:val="left"/>
      <w:lvlText w:val="(%2)"/>
      <w:numFmt w:val="lowerRoman"/>
      <w:start w:val="1"/>
    </w:lvl>
  </w:abstractNum>
  <w:abstractNum w:abstractNumId="202">
    <w:nsid w:val="FDE3B47"/>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203">
    <w:nsid w:val="5EF4B64"/>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204">
    <w:nsid w:val="2457647B"/>
    <w:multiLevelType w:val="hybridMultilevel"/>
    <w:lvl w:ilvl="0">
      <w:lvlJc w:val="left"/>
      <w:lvlText w:val="(%1)"/>
      <w:numFmt w:val="decimal"/>
      <w:start w:val="2"/>
    </w:lvl>
    <w:lvl w:ilvl="1">
      <w:lvlJc w:val="left"/>
      <w:lvlText w:val="(%2)"/>
      <w:numFmt w:val="lowerRoman"/>
      <w:start w:val="1"/>
    </w:lvl>
  </w:abstractNum>
  <w:abstractNum w:abstractNumId="205">
    <w:nsid w:val="66F06E9"/>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06">
    <w:nsid w:val="2ABAB37"/>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207">
    <w:nsid w:val="3D5EC8AB"/>
    <w:multiLevelType w:val="hybridMultilevel"/>
    <w:lvl w:ilvl="0">
      <w:lvlJc w:val="left"/>
      <w:lvlText w:val="(%1)"/>
      <w:numFmt w:val="upperLetter"/>
      <w:start w:val="4"/>
    </w:lvl>
  </w:abstractNum>
  <w:abstractNum w:abstractNumId="208">
    <w:nsid w:val="31F4FCAD"/>
    <w:multiLevelType w:val="hybridMultilevel"/>
    <w:lvl w:ilvl="0">
      <w:lvlJc w:val="left"/>
      <w:lvlText w:val="(%1)"/>
      <w:numFmt w:val="decimal"/>
      <w:start w:val="2"/>
    </w:lvl>
    <w:lvl w:ilvl="1">
      <w:lvlJc w:val="left"/>
      <w:lvlText w:val="(%2)"/>
      <w:numFmt w:val="lowerRoman"/>
      <w:start w:val="1"/>
    </w:lvl>
  </w:abstractNum>
  <w:abstractNum w:abstractNumId="209">
    <w:nsid w:val="477DB470"/>
    <w:multiLevelType w:val="hybridMultilevel"/>
    <w:lvl w:ilvl="0">
      <w:lvlJc w:val="left"/>
      <w:lvlText w:val="(%1)"/>
      <w:numFmt w:val="decimal"/>
      <w:start w:val="3"/>
    </w:lvl>
  </w:abstractNum>
  <w:abstractNum w:abstractNumId="210">
    <w:nsid w:val="4FD5720B"/>
    <w:multiLevelType w:val="hybridMultilevel"/>
    <w:lvl w:ilvl="0">
      <w:lvlJc w:val="left"/>
      <w:lvlText w:val="(%1)"/>
      <w:numFmt w:val="decimal"/>
      <w:start w:val="3"/>
    </w:lvl>
  </w:abstractNum>
  <w:abstractNum w:abstractNumId="211">
    <w:nsid w:val="4D3C9346"/>
    <w:multiLevelType w:val="hybridMultilevel"/>
    <w:lvl w:ilvl="0">
      <w:lvlJc w:val="left"/>
      <w:lvlText w:val="(%1)"/>
      <w:numFmt w:val="lowerLetter"/>
      <w:start w:val="5"/>
    </w:lvl>
    <w:lvl w:ilvl="1">
      <w:lvlJc w:val="left"/>
      <w:lvlText w:val="(%2)"/>
      <w:numFmt w:val="decimal"/>
      <w:start w:val="1"/>
    </w:lvl>
    <w:lvl w:ilvl="2">
      <w:lvlJc w:val="left"/>
      <w:lvlText w:val="(%3)"/>
      <w:numFmt w:val="decimal"/>
      <w:start w:val="2"/>
    </w:lvl>
    <w:lvl w:ilvl="3">
      <w:lvlJc w:val="left"/>
      <w:lvlText w:val="(%4)"/>
      <w:numFmt w:val="upperLetter"/>
      <w:start w:val="1"/>
    </w:lvl>
    <w:lvl w:ilvl="4">
      <w:lvlJc w:val="left"/>
      <w:lvlText w:val="(%5)"/>
      <w:numFmt w:val="lowerRoman"/>
      <w:start w:val="1"/>
    </w:lvl>
  </w:abstractNum>
  <w:abstractNum w:abstractNumId="212">
    <w:nsid w:val="2CF0838B"/>
    <w:multiLevelType w:val="hybridMultilevel"/>
    <w:lvl w:ilvl="0">
      <w:lvlJc w:val="left"/>
      <w:lvlText w:val="(%1)"/>
      <w:numFmt w:val="decimal"/>
      <w:start w:val="3"/>
    </w:lvl>
  </w:abstractNum>
  <w:abstractNum w:abstractNumId="213">
    <w:nsid w:val="3E238E27"/>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214">
    <w:nsid w:val="1BB4DBCD"/>
    <w:multiLevelType w:val="hybridMultilevel"/>
    <w:lvl w:ilvl="0">
      <w:lvlJc w:val="left"/>
      <w:lvlText w:val="(%1)"/>
      <w:numFmt w:val="upperLetter"/>
      <w:start w:val="5"/>
    </w:lvl>
  </w:abstractNum>
  <w:abstractNum w:abstractNumId="215">
    <w:nsid w:val="659DCFA3"/>
    <w:multiLevelType w:val="hybridMultilevel"/>
    <w:lvl w:ilvl="0">
      <w:lvlJc w:val="left"/>
      <w:lvlText w:val="(%1)"/>
      <w:numFmt w:val="upperLetter"/>
      <w:start w:val="9"/>
    </w:lvl>
  </w:abstractNum>
  <w:abstractNum w:abstractNumId="216">
    <w:nsid w:val="6F07C58"/>
    <w:multiLevelType w:val="hybridMultilevel"/>
    <w:lvl w:ilvl="0">
      <w:lvlJc w:val="left"/>
      <w:lvlText w:val="(%1)"/>
      <w:numFmt w:val="upperLetter"/>
      <w:start w:val="2"/>
    </w:lvl>
  </w:abstractNum>
  <w:abstractNum w:abstractNumId="217">
    <w:nsid w:val="619F753B"/>
    <w:multiLevelType w:val="hybridMultilevel"/>
    <w:lvl w:ilvl="0">
      <w:lvlJc w:val="left"/>
      <w:lvlText w:val="(%1)"/>
      <w:numFmt w:val="upperLetter"/>
      <w:start w:val="5"/>
    </w:lvl>
  </w:abstractNum>
  <w:abstractNum w:abstractNumId="218">
    <w:nsid w:val="29BD8A97"/>
    <w:multiLevelType w:val="hybridMultilevel"/>
    <w:lvl w:ilvl="0">
      <w:lvlJc w:val="left"/>
      <w:lvlText w:val="(%1)"/>
      <w:numFmt w:val="upperLetter"/>
      <w:start w:val="9"/>
    </w:lvl>
  </w:abstractNum>
  <w:abstractNum w:abstractNumId="219">
    <w:nsid w:val="61C66E3"/>
    <w:multiLevelType w:val="hybridMultilevel"/>
    <w:lvl w:ilvl="0">
      <w:lvlJc w:val="left"/>
      <w:lvlText w:val="%1"/>
      <w:numFmt w:val="decimal"/>
      <w:start w:val="1"/>
    </w:lvl>
    <w:lvl w:ilvl="1">
      <w:lvlJc w:val="left"/>
      <w:lvlText w:val="(%2)"/>
      <w:numFmt w:val="upperLetter"/>
      <w:start w:val="3"/>
    </w:lvl>
  </w:abstractNum>
  <w:abstractNum w:abstractNumId="220">
    <w:nsid w:val="69321F16"/>
    <w:multiLevelType w:val="hybridMultilevel"/>
    <w:lvl w:ilvl="0">
      <w:lvlJc w:val="left"/>
      <w:lvlText w:val="(%1)"/>
      <w:numFmt w:val="decimal"/>
      <w:start w:val="2"/>
    </w:lvl>
    <w:lvl w:ilvl="1">
      <w:lvlJc w:val="left"/>
      <w:lvlText w:val="%2"/>
      <w:numFmt w:val="upperLetter"/>
      <w:start w:val="1"/>
    </w:lvl>
  </w:abstractNum>
  <w:abstractNum w:abstractNumId="221">
    <w:nsid w:val="2D96B714"/>
    <w:multiLevelType w:val="hybridMultilevel"/>
    <w:lvl w:ilvl="0">
      <w:lvlJc w:val="left"/>
      <w:lvlText w:val="(%1)"/>
      <w:numFmt w:val="lowerLetter"/>
      <w:start w:val="7"/>
    </w:lvl>
  </w:abstractNum>
  <w:abstractNum w:abstractNumId="222">
    <w:nsid w:val="3D76F9E2"/>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223">
    <w:nsid w:val="124A2DF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24">
    <w:nsid w:val="2A26C82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225">
    <w:nsid w:val="7FE72292"/>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226">
    <w:nsid w:val="60C94A46"/>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27">
    <w:nsid w:val="69D9E7A"/>
    <w:multiLevelType w:val="hybridMultilevel"/>
    <w:lvl w:ilvl="0">
      <w:lvlJc w:val="left"/>
      <w:lvlText w:val="(%1)"/>
      <w:numFmt w:val="lowerLetter"/>
      <w:start w:val="3"/>
    </w:lvl>
  </w:abstractNum>
  <w:abstractNum w:abstractNumId="228">
    <w:nsid w:val="7F056040"/>
    <w:multiLevelType w:val="hybridMultilevel"/>
    <w:lvl w:ilvl="0">
      <w:lvlJc w:val="left"/>
      <w:lvlText w:val="(%1)"/>
      <w:numFmt w:val="lowerLetter"/>
      <w:start w:val="1"/>
    </w:lvl>
  </w:abstractNum>
  <w:abstractNum w:abstractNumId="229">
    <w:nsid w:val="1D701BFF"/>
    <w:multiLevelType w:val="hybridMultilevel"/>
    <w:lvl w:ilvl="0">
      <w:lvlJc w:val="left"/>
      <w:lvlText w:val="(%1)"/>
      <w:numFmt w:val="decimal"/>
      <w:start w:val="1"/>
    </w:lvl>
  </w:abstractNum>
  <w:abstractNum w:abstractNumId="230">
    <w:nsid w:val="4A12EC32"/>
    <w:multiLevelType w:val="hybridMultilevel"/>
    <w:lvl w:ilvl="0">
      <w:lvlJc w:val="left"/>
      <w:lvlText w:val="(%1)"/>
      <w:numFmt w:val="decimal"/>
      <w:start w:val="1"/>
    </w:lvl>
  </w:abstractNum>
  <w:abstractNum w:abstractNumId="231">
    <w:nsid w:val="3F35DD67"/>
    <w:multiLevelType w:val="hybridMultilevel"/>
    <w:lvl w:ilvl="0">
      <w:lvlJc w:val="left"/>
      <w:lvlText w:val="(%1)"/>
      <w:numFmt w:val="decimal"/>
      <w:start w:val="2"/>
    </w:lvl>
  </w:abstractNum>
  <w:abstractNum w:abstractNumId="232">
    <w:nsid w:val="2B66AC12"/>
    <w:multiLevelType w:val="hybridMultilevel"/>
    <w:lvl w:ilvl="0">
      <w:lvlJc w:val="left"/>
      <w:lvlText w:val="(%1)"/>
      <w:numFmt w:val="lowerLetter"/>
      <w:start w:val="1"/>
    </w:lvl>
    <w:lvl w:ilvl="1">
      <w:lvlJc w:val="left"/>
      <w:lvlText w:val="(%2)"/>
      <w:numFmt w:val="decimal"/>
      <w:start w:val="1"/>
    </w:lvl>
  </w:abstractNum>
  <w:abstractNum w:abstractNumId="233">
    <w:nsid w:val="59F12779"/>
    <w:multiLevelType w:val="hybridMultilevel"/>
    <w:lvl w:ilvl="0">
      <w:lvlJc w:val="left"/>
      <w:lvlText w:val="(%1)"/>
      <w:numFmt w:val="lowerLetter"/>
      <w:start w:val="2"/>
    </w:lvl>
  </w:abstractNum>
  <w:abstractNum w:abstractNumId="234">
    <w:nsid w:val="452528CB"/>
    <w:multiLevelType w:val="hybridMultilevel"/>
    <w:lvl w:ilvl="0">
      <w:lvlJc w:val="left"/>
      <w:lvlText w:val="(%1)"/>
      <w:numFmt w:val="lowerLetter"/>
      <w:start w:val="5"/>
    </w:lvl>
  </w:abstractNum>
  <w:abstractNum w:abstractNumId="235">
    <w:nsid w:val="4FBE108E"/>
    <w:multiLevelType w:val="hybridMultilevel"/>
    <w:lvl w:ilvl="0">
      <w:lvlJc w:val="left"/>
      <w:lvlText w:val="(%1)"/>
      <w:numFmt w:val="decimal"/>
      <w:start w:val="1"/>
    </w:lvl>
  </w:abstractNum>
  <w:abstractNum w:abstractNumId="236">
    <w:nsid w:val="60602E62"/>
    <w:multiLevelType w:val="hybridMultilevel"/>
    <w:lvl w:ilvl="0">
      <w:lvlJc w:val="left"/>
      <w:lvlText w:val="(%1)"/>
      <w:numFmt w:val="decimal"/>
      <w:start w:val="5"/>
    </w:lvl>
  </w:abstractNum>
  <w:abstractNum w:abstractNumId="237">
    <w:nsid w:val="47D0D402"/>
    <w:multiLevelType w:val="hybridMultilevel"/>
    <w:lvl w:ilvl="0">
      <w:lvlJc w:val="left"/>
      <w:lvlText w:val="(%1)"/>
      <w:numFmt w:val="decimal"/>
      <w:start w:val="1"/>
    </w:lvl>
  </w:abstractNum>
  <w:abstractNum w:abstractNumId="238">
    <w:nsid w:val="D1CD939"/>
    <w:multiLevelType w:val="hybridMultilevel"/>
    <w:lvl w:ilvl="0">
      <w:lvlJc w:val="left"/>
      <w:lvlText w:val="(%1)"/>
      <w:numFmt w:val="decimal"/>
      <w:start w:val="2"/>
    </w:lvl>
  </w:abstractNum>
  <w:abstractNum w:abstractNumId="239">
    <w:nsid w:val="12552B10"/>
    <w:multiLevelType w:val="hybridMultilevel"/>
    <w:lvl w:ilvl="0">
      <w:lvlJc w:val="left"/>
      <w:lvlText w:val="(%1)"/>
      <w:numFmt w:val="decimal"/>
      <w:start w:val="1"/>
    </w:lvl>
  </w:abstractNum>
  <w:abstractNum w:abstractNumId="240">
    <w:nsid w:val="F4E8872"/>
    <w:multiLevelType w:val="hybridMultilevel"/>
    <w:lvl w:ilvl="0">
      <w:lvlJc w:val="left"/>
      <w:lvlText w:val="(%1)"/>
      <w:numFmt w:val="decimal"/>
      <w:start w:val="1"/>
    </w:lvl>
  </w:abstractNum>
  <w:abstractNum w:abstractNumId="241">
    <w:nsid w:val="5CF24B45"/>
    <w:multiLevelType w:val="hybridMultilevel"/>
    <w:lvl w:ilvl="0">
      <w:lvlJc w:val="left"/>
      <w:lvlText w:val="(%1)"/>
      <w:numFmt w:val="upperLetter"/>
      <w:start w:val="1"/>
    </w:lvl>
    <w:lvl w:ilvl="1">
      <w:lvlJc w:val="left"/>
      <w:lvlText w:val="(%2)"/>
      <w:numFmt w:val="decimal"/>
      <w:start w:val="1"/>
    </w:lvl>
  </w:abstractNum>
  <w:abstractNum w:abstractNumId="242">
    <w:nsid w:val="5F91BE56"/>
    <w:multiLevelType w:val="hybridMultilevel"/>
    <w:lvl w:ilvl="0">
      <w:lvlJc w:val="left"/>
      <w:lvlText w:val="(%1)"/>
      <w:numFmt w:val="lowerLetter"/>
      <w:start w:val="1"/>
    </w:lvl>
    <w:lvl w:ilvl="1">
      <w:lvlJc w:val="left"/>
      <w:lvlText w:val="(%2)"/>
      <w:numFmt w:val="decimal"/>
      <w:start w:val="1"/>
    </w:lvl>
  </w:abstractNum>
  <w:abstractNum w:abstractNumId="243">
    <w:nsid w:val="3C3F0BFD"/>
    <w:multiLevelType w:val="hybridMultilevel"/>
    <w:lvl w:ilvl="0">
      <w:lvlJc w:val="left"/>
      <w:lvlText w:val="%1"/>
      <w:numFmt w:val="lowerLetter"/>
      <w:start w:val="1"/>
    </w:lvl>
    <w:lvl w:ilvl="1">
      <w:lvlJc w:val="left"/>
      <w:lvlText w:val="(%2)"/>
      <w:numFmt w:val="decimal"/>
      <w:start w:val="2"/>
    </w:lvl>
  </w:abstractNum>
  <w:abstractNum w:abstractNumId="244">
    <w:nsid w:val="1B15D96C"/>
    <w:multiLevelType w:val="hybridMultilevel"/>
    <w:lvl w:ilvl="0">
      <w:lvlJc w:val="left"/>
      <w:lvlText w:val="(%1)"/>
      <w:numFmt w:val="lowerLetter"/>
      <w:start w:val="4"/>
    </w:lvl>
    <w:lvl w:ilvl="1">
      <w:lvlJc w:val="left"/>
      <w:lvlText w:val="%2"/>
      <w:numFmt w:val="decimal"/>
      <w:start w:val="1"/>
    </w:lvl>
  </w:abstractNum>
  <w:abstractNum w:abstractNumId="245">
    <w:nsid w:val="7B469A23"/>
    <w:multiLevelType w:val="hybridMultilevel"/>
    <w:lvl w:ilvl="0">
      <w:lvlJc w:val="left"/>
      <w:lvlText w:val="%1"/>
      <w:numFmt w:val="decimal"/>
      <w:start w:val="1"/>
    </w:lvl>
    <w:lvl w:ilvl="1">
      <w:lvlJc w:val="left"/>
      <w:lvlText w:val="(%2)"/>
      <w:numFmt w:val="lowerLetter"/>
      <w:start w:val="2"/>
    </w:lvl>
  </w:abstractNum>
  <w:abstractNum w:abstractNumId="246">
    <w:nsid w:val="21DCDBA0"/>
    <w:multiLevelType w:val="hybridMultilevel"/>
    <w:lvl w:ilvl="0">
      <w:lvlJc w:val="left"/>
      <w:lvlText w:val="(%1)"/>
      <w:numFmt w:val="decimal"/>
      <w:start w:val="4"/>
    </w:lvl>
    <w:lvl w:ilvl="1">
      <w:lvlJc w:val="left"/>
      <w:lvlText w:val="(%2)"/>
      <w:numFmt w:val="lowerLetter"/>
      <w:start w:val="4"/>
    </w:lvl>
  </w:abstractNum>
  <w:abstractNum w:abstractNumId="247">
    <w:nsid w:val="220655C4"/>
    <w:multiLevelType w:val="hybridMultilevel"/>
    <w:lvl w:ilvl="0">
      <w:lvlJc w:val="left"/>
      <w:lvlText w:val="(%1)"/>
      <w:numFmt w:val="lowerLetter"/>
      <w:start w:val="5"/>
    </w:lvl>
  </w:abstractNum>
  <w:abstractNum w:abstractNumId="248">
    <w:nsid w:val="5CE60F5E"/>
    <w:multiLevelType w:val="hybridMultilevel"/>
    <w:lvl w:ilvl="0">
      <w:lvlJc w:val="left"/>
      <w:lvlText w:val="%1"/>
      <w:numFmt w:val="decimal"/>
      <w:start w:val="1"/>
    </w:lvl>
    <w:lvl w:ilvl="1">
      <w:lvlJc w:val="left"/>
      <w:lvlText w:val="(%2)"/>
      <w:numFmt w:val="lowerLetter"/>
      <w:start w:val="1"/>
    </w:lvl>
  </w:abstractNum>
  <w:abstractNum w:abstractNumId="249">
    <w:nsid w:val="4B9A6638"/>
    <w:multiLevelType w:val="hybridMultilevel"/>
    <w:lvl w:ilvl="0">
      <w:lvlJc w:val="left"/>
      <w:lvlText w:val="(%1)"/>
      <w:numFmt w:val="decimal"/>
      <w:start w:val="5"/>
    </w:lvl>
    <w:lvl w:ilvl="1">
      <w:lvlJc w:val="left"/>
      <w:lvlText w:val="%2"/>
      <w:numFmt w:val="lowerLetter"/>
      <w:start w:val="1"/>
    </w:lvl>
  </w:abstractNum>
  <w:abstractNum w:abstractNumId="250">
    <w:nsid w:val="2822BCA7"/>
    <w:multiLevelType w:val="hybridMultilevel"/>
    <w:lvl w:ilvl="0">
      <w:lvlJc w:val="left"/>
      <w:lvlText w:val="(%1)"/>
      <w:numFmt w:val="lowerLetter"/>
      <w:start w:val="1"/>
    </w:lvl>
    <w:lvl w:ilvl="1">
      <w:lvlJc w:val="left"/>
      <w:lvlText w:val="(%2)"/>
      <w:numFmt w:val="decimal"/>
      <w:start w:val="1"/>
    </w:lvl>
  </w:abstractNum>
  <w:abstractNum w:abstractNumId="251">
    <w:nsid w:val="46182E75"/>
    <w:multiLevelType w:val="hybridMultilevel"/>
    <w:lvl w:ilvl="0">
      <w:lvlJc w:val="left"/>
      <w:lvlText w:val="(%1)"/>
      <w:numFmt w:val="upperLetter"/>
      <w:start w:val="1"/>
    </w:lvl>
    <w:lvl w:ilvl="1">
      <w:lvlJc w:val="left"/>
      <w:lvlText w:val="(%2)"/>
      <w:numFmt w:val="lowerRoman"/>
      <w:start w:val="1"/>
    </w:lvl>
  </w:abstractNum>
  <w:abstractNum w:abstractNumId="252">
    <w:nsid w:val="79311D4C"/>
    <w:multiLevelType w:val="hybridMultilevel"/>
    <w:lvl w:ilvl="0">
      <w:lvlJc w:val="left"/>
      <w:lvlText w:val="(%1)"/>
      <w:numFmt w:val="lowerRoman"/>
      <w:start w:val="3"/>
    </w:lvl>
  </w:abstractNum>
  <w:abstractNum w:abstractNumId="253">
    <w:nsid w:val="6599B689"/>
    <w:multiLevelType w:val="hybridMultilevel"/>
    <w:lvl w:ilvl="0">
      <w:lvlJc w:val="left"/>
      <w:lvlText w:val="(%1)"/>
      <w:numFmt w:val="lowerRoman"/>
      <w:start w:val="10"/>
    </w:lvl>
  </w:abstractNum>
  <w:abstractNum w:abstractNumId="254">
    <w:nsid w:val="58625C6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255">
    <w:nsid w:val="2357E57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56">
    <w:nsid w:val="6580D91B"/>
    <w:multiLevelType w:val="hybridMultilevel"/>
    <w:lvl w:ilvl="0">
      <w:lvlJc w:val="left"/>
      <w:lvlText w:val="(%1)"/>
      <w:numFmt w:val="decimal"/>
      <w:start w:val="5"/>
    </w:lvl>
    <w:lvl w:ilvl="1">
      <w:lvlJc w:val="left"/>
      <w:lvlText w:val="(%2)"/>
      <w:numFmt w:val="upperLetter"/>
      <w:start w:val="1"/>
    </w:lvl>
  </w:abstractNum>
  <w:abstractNum w:abstractNumId="257">
    <w:nsid w:val="392BA6B3"/>
    <w:multiLevelType w:val="hybridMultilevel"/>
    <w:lvl w:ilvl="0">
      <w:lvlJc w:val="left"/>
      <w:lvlText w:val="(%1)"/>
      <w:numFmt w:val="decimal"/>
      <w:start w:val="13"/>
    </w:lvl>
  </w:abstractNum>
  <w:abstractNum w:abstractNumId="258">
    <w:nsid w:val="29F583EF"/>
    <w:multiLevelType w:val="hybridMultilevel"/>
    <w:lvl w:ilvl="0">
      <w:lvlJc w:val="left"/>
      <w:lvlText w:val="(%1)"/>
      <w:numFmt w:val="lowerLetter"/>
      <w:start w:val="1"/>
    </w:lvl>
    <w:lvl w:ilvl="1">
      <w:lvlJc w:val="left"/>
      <w:lvlText w:val="(%2)"/>
      <w:numFmt w:val="decimal"/>
      <w:start w:val="1"/>
    </w:lvl>
  </w:abstractNum>
  <w:abstractNum w:abstractNumId="259">
    <w:nsid w:val="6486395B"/>
    <w:multiLevelType w:val="hybridMultilevel"/>
    <w:lvl w:ilvl="0">
      <w:lvlJc w:val="left"/>
      <w:lvlText w:val="%1"/>
      <w:numFmt w:val="lowerLetter"/>
      <w:start w:val="1"/>
    </w:lvl>
    <w:lvl w:ilvl="1">
      <w:lvlJc w:val="left"/>
      <w:lvlText w:val="(%2)"/>
      <w:numFmt w:val="decimal"/>
      <w:start w:val="2"/>
    </w:lvl>
  </w:abstractNum>
  <w:abstractNum w:abstractNumId="260">
    <w:nsid w:val="569BC2B2"/>
    <w:multiLevelType w:val="hybridMultilevel"/>
    <w:lvl w:ilvl="0">
      <w:lvlJc w:val="left"/>
      <w:lvlText w:val="(%1)"/>
      <w:numFmt w:val="lowerLetter"/>
      <w:start w:val="2"/>
    </w:lvl>
    <w:lvl w:ilvl="1">
      <w:lvlJc w:val="left"/>
      <w:lvlText w:val="(%2)"/>
      <w:numFmt w:val="decimal"/>
      <w:start w:val="1"/>
    </w:lvl>
  </w:abstractNum>
  <w:abstractNum w:abstractNumId="261">
    <w:nsid w:val="74087021"/>
    <w:multiLevelType w:val="hybridMultilevel"/>
    <w:lvl w:ilvl="0">
      <w:lvlJc w:val="left"/>
      <w:lvlText w:val="(%1)"/>
      <w:numFmt w:val="decimal"/>
      <w:start w:val="10"/>
    </w:lvl>
  </w:abstractNum>
  <w:abstractNum w:abstractNumId="262">
    <w:nsid w:val="23BC16C2"/>
    <w:multiLevelType w:val="hybridMultilevel"/>
    <w:lvl w:ilvl="0">
      <w:lvlJc w:val="left"/>
      <w:lvlText w:val="(%1)"/>
      <w:numFmt w:val="lowerLetter"/>
      <w:start w:val="1"/>
    </w:lvl>
    <w:lvl w:ilvl="1">
      <w:lvlJc w:val="left"/>
      <w:lvlText w:val="(%2)"/>
      <w:numFmt w:val="decimal"/>
      <w:start w:val="1"/>
    </w:lvl>
  </w:abstractNum>
  <w:abstractNum w:abstractNumId="263">
    <w:nsid w:val="2026EC5"/>
    <w:multiLevelType w:val="hybridMultilevel"/>
    <w:lvl w:ilvl="0">
      <w:lvlJc w:val="left"/>
      <w:lvlText w:val="(%1)"/>
      <w:numFmt w:val="decimal"/>
      <w:start w:val="2"/>
    </w:lvl>
    <w:lvl w:ilvl="1">
      <w:lvlJc w:val="left"/>
      <w:lvlText w:val="(%2)"/>
      <w:numFmt w:val="upperLetter"/>
      <w:start w:val="1"/>
    </w:lvl>
  </w:abstractNum>
  <w:abstractNum w:abstractNumId="264">
    <w:nsid w:val="4DF9979A"/>
    <w:multiLevelType w:val="hybridMultilevel"/>
    <w:lvl w:ilvl="0">
      <w:lvlJc w:val="left"/>
      <w:lvlText w:val="%1"/>
      <w:numFmt w:val="decimal"/>
      <w:start w:val="1"/>
    </w:lvl>
    <w:lvl w:ilvl="1">
      <w:lvlJc w:val="left"/>
      <w:lvlText w:val="(%2)"/>
      <w:numFmt w:val="decimal"/>
      <w:start w:val="8"/>
    </w:lvl>
    <w:lvl w:ilvl="2">
      <w:lvlJc w:val="left"/>
      <w:lvlText w:val="(%3)"/>
      <w:numFmt w:val="upperLetter"/>
      <w:start w:val="1"/>
    </w:lvl>
  </w:abstractNum>
  <w:abstractNum w:abstractNumId="265">
    <w:nsid w:val="68E13F8E"/>
    <w:multiLevelType w:val="hybridMultilevel"/>
    <w:lvl w:ilvl="0">
      <w:lvlJc w:val="left"/>
      <w:lvlText w:val="(%1)"/>
      <w:numFmt w:val="decimal"/>
      <w:start w:val="22"/>
    </w:lvl>
    <w:lvl w:ilvl="1">
      <w:lvlJc w:val="left"/>
      <w:lvlText w:val="(%2)"/>
      <w:numFmt w:val="decimal"/>
      <w:start w:val="16"/>
    </w:lvl>
    <w:lvl w:ilvl="2">
      <w:lvlJc w:val="left"/>
      <w:lvlText w:val="%3"/>
      <w:numFmt w:val="upperLetter"/>
      <w:start w:val="1"/>
    </w:lvl>
  </w:abstractNum>
  <w:abstractNum w:abstractNumId="266">
    <w:nsid w:val="51C07F53"/>
    <w:multiLevelType w:val="hybridMultilevel"/>
    <w:lvl w:ilvl="0">
      <w:lvlJc w:val="left"/>
      <w:lvlText w:val="(%1)"/>
      <w:numFmt w:val="decimal"/>
      <w:start w:val="17"/>
    </w:lvl>
  </w:abstractNum>
  <w:abstractNum w:abstractNumId="267">
    <w:nsid w:val="2E59C5FD"/>
    <w:multiLevelType w:val="hybridMultilevel"/>
    <w:lvl w:ilvl="0">
      <w:lvlJc w:val="left"/>
      <w:lvlText w:val="(%1)"/>
      <w:numFmt w:val="decimal"/>
      <w:start w:val="1"/>
    </w:lvl>
  </w:abstractNum>
  <w:abstractNum w:abstractNumId="268">
    <w:nsid w:val="30B21390"/>
    <w:multiLevelType w:val="hybridMultilevel"/>
    <w:lvl w:ilvl="0">
      <w:lvlJc w:val="left"/>
      <w:lvlText w:val="(%1)"/>
      <w:numFmt w:val="decimal"/>
      <w:start w:val="3"/>
    </w:lvl>
    <w:lvl w:ilvl="1">
      <w:lvlJc w:val="left"/>
      <w:lvlText w:val="(%2)"/>
      <w:numFmt w:val="upperLetter"/>
      <w:start w:val="1"/>
    </w:lvl>
  </w:abstractNum>
  <w:abstractNum w:abstractNumId="269">
    <w:nsid w:val="5EDD588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70">
    <w:nsid w:val="40AEF10D"/>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71">
    <w:nsid w:val="40009C03"/>
    <w:multiLevelType w:val="hybridMultilevel"/>
    <w:lvl w:ilvl="0">
      <w:lvlJc w:val="left"/>
      <w:lvlText w:val="%1"/>
      <w:numFmt w:val="decimal"/>
      <w:start w:val="1"/>
    </w:lvl>
    <w:lvl w:ilvl="1">
      <w:lvlJc w:val="left"/>
      <w:lvlText w:val="(%2)"/>
      <w:numFmt w:val="decimal"/>
      <w:start w:val="3"/>
    </w:lvl>
  </w:abstractNum>
  <w:abstractNum w:abstractNumId="272">
    <w:nsid w:val="3BCFA3D1"/>
    <w:multiLevelType w:val="hybridMultilevel"/>
    <w:lvl w:ilvl="0">
      <w:lvlJc w:val="left"/>
      <w:lvlText w:val="(%1)"/>
      <w:numFmt w:val="decimal"/>
      <w:start w:val="3"/>
    </w:lvl>
    <w:lvl w:ilvl="1">
      <w:lvlJc w:val="left"/>
      <w:lvlText w:val="%2"/>
      <w:numFmt w:val="decimal"/>
      <w:start w:val="1"/>
    </w:lvl>
  </w:abstractNum>
  <w:abstractNum w:abstractNumId="273">
    <w:nsid w:val="2040AF63"/>
    <w:multiLevelType w:val="hybridMultilevel"/>
    <w:lvl w:ilvl="0">
      <w:lvlJc w:val="left"/>
      <w:lvlText w:val="(%1)"/>
      <w:numFmt w:val="lowerLetter"/>
      <w:start w:val="3"/>
    </w:lvl>
  </w:abstractNum>
  <w:abstractNum w:abstractNumId="274">
    <w:nsid w:val="7C3FA80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75">
    <w:nsid w:val="56E57D3D"/>
    <w:multiLevelType w:val="hybridMultilevel"/>
    <w:lvl w:ilvl="0">
      <w:lvlJc w:val="left"/>
      <w:lvlText w:val="(%1)"/>
      <w:numFmt w:val="decimal"/>
      <w:start w:val="1"/>
    </w:lvl>
  </w:abstractNum>
  <w:abstractNum w:abstractNumId="276">
    <w:nsid w:val="1B874986"/>
    <w:multiLevelType w:val="hybridMultilevel"/>
    <w:lvl w:ilvl="0">
      <w:lvlJc w:val="left"/>
      <w:lvlText w:val="%1"/>
      <w:numFmt w:val="lowerLetter"/>
      <w:start w:val="1"/>
    </w:lvl>
    <w:lvl w:ilvl="1">
      <w:lvlJc w:val="left"/>
      <w:lvlText w:val="(%2)"/>
      <w:numFmt w:val="decimal"/>
      <w:start w:val="7"/>
    </w:lvl>
  </w:abstractNum>
  <w:abstractNum w:abstractNumId="277">
    <w:nsid w:val="1E1C83A1"/>
    <w:multiLevelType w:val="hybridMultilevel"/>
    <w:lvl w:ilvl="0">
      <w:lvlJc w:val="left"/>
      <w:lvlText w:val="(%1)"/>
      <w:numFmt w:val="lowerLetter"/>
      <w:start w:val="1"/>
    </w:lvl>
    <w:lvl w:ilvl="1">
      <w:lvlJc w:val="left"/>
      <w:lvlText w:val="(%2)"/>
      <w:numFmt w:val="decimal"/>
      <w:start w:val="11"/>
    </w:lvl>
  </w:abstractNum>
  <w:abstractNum w:abstractNumId="278">
    <w:nsid w:val="78EBD301"/>
    <w:multiLevelType w:val="hybridMultilevel"/>
    <w:lvl w:ilvl="0">
      <w:lvlJc w:val="left"/>
      <w:lvlText w:val="(%1)"/>
      <w:numFmt w:val="decimal"/>
      <w:start w:val="14"/>
    </w:lvl>
  </w:abstractNum>
  <w:abstractNum w:abstractNumId="279">
    <w:nsid w:val="786D58E4"/>
    <w:multiLevelType w:val="hybridMultilevel"/>
    <w:lvl w:ilvl="0">
      <w:lvlJc w:val="left"/>
      <w:lvlText w:val="(%1)"/>
      <w:numFmt w:val="decimal"/>
      <w:start w:val="1"/>
    </w:lvl>
  </w:abstractNum>
  <w:abstractNum w:abstractNumId="280">
    <w:nsid w:val="69B6E9D9"/>
    <w:multiLevelType w:val="hybridMultilevel"/>
    <w:lvl w:ilvl="0">
      <w:lvlJc w:val="left"/>
      <w:lvlText w:val="(%1)"/>
      <w:numFmt w:val="lowerLetter"/>
      <w:start w:val="1"/>
    </w:lvl>
    <w:lvl w:ilvl="1">
      <w:lvlJc w:val="left"/>
      <w:lvlText w:val="(%2)"/>
      <w:numFmt w:val="decimal"/>
      <w:start w:val="1"/>
    </w:lvl>
  </w:abstractNum>
  <w:abstractNum w:abstractNumId="281">
    <w:nsid w:val="210E8FA8"/>
    <w:multiLevelType w:val="hybridMultilevel"/>
    <w:lvl w:ilvl="0">
      <w:lvlJc w:val="left"/>
      <w:lvlText w:val="%1"/>
      <w:numFmt w:val="lowerLetter"/>
      <w:start w:val="1"/>
    </w:lvl>
    <w:lvl w:ilvl="1">
      <w:lvlJc w:val="left"/>
      <w:lvlText w:val="(%2)"/>
      <w:numFmt w:val="decimal"/>
      <w:start w:val="2"/>
    </w:lvl>
  </w:abstractNum>
  <w:abstractNum w:abstractNumId="282">
    <w:nsid w:val="3E858759"/>
    <w:multiLevelType w:val="hybridMultilevel"/>
    <w:lvl w:ilvl="0">
      <w:lvlJc w:val="left"/>
      <w:lvlText w:val="(%1)"/>
      <w:numFmt w:val="lowerLetter"/>
      <w:start w:val="2"/>
    </w:lvl>
    <w:lvl w:ilvl="1">
      <w:lvlJc w:val="left"/>
      <w:lvlText w:val="(%2)"/>
      <w:numFmt w:val="decimal"/>
      <w:start w:val="1"/>
    </w:lvl>
  </w:abstractNum>
  <w:abstractNum w:abstractNumId="283">
    <w:nsid w:val="62E80725"/>
    <w:multiLevelType w:val="hybridMultilevel"/>
    <w:lvl w:ilvl="0">
      <w:lvlJc w:val="left"/>
      <w:lvlText w:val="%1"/>
      <w:numFmt w:val="decimal"/>
      <w:start w:val="1"/>
    </w:lvl>
    <w:lvl w:ilvl="1">
      <w:lvlJc w:val="left"/>
      <w:lvlText w:val="(%2)"/>
      <w:numFmt w:val="lowerLetter"/>
      <w:start w:val="3"/>
    </w:lvl>
  </w:abstractNum>
  <w:abstractNum w:abstractNumId="284">
    <w:nsid w:val="6A84631"/>
    <w:multiLevelType w:val="hybridMultilevel"/>
    <w:lvl w:ilvl="0">
      <w:lvlJc w:val="left"/>
      <w:lvlText w:val="(%1)"/>
      <w:numFmt w:val="decimal"/>
      <w:start w:val="2"/>
    </w:lvl>
    <w:lvl w:ilvl="1">
      <w:lvlJc w:val="left"/>
      <w:lvlText w:val="(%2)"/>
      <w:numFmt w:val="lowerLetter"/>
      <w:start w:val="4"/>
    </w:lvl>
  </w:abstractNum>
  <w:abstractNum w:abstractNumId="285">
    <w:nsid w:val="16E7E3C7"/>
    <w:multiLevelType w:val="hybridMultilevel"/>
    <w:lvl w:ilvl="0">
      <w:lvlJc w:val="left"/>
      <w:lvlText w:val="(%1)"/>
      <w:numFmt w:val="lowerLetter"/>
      <w:start w:val="5"/>
    </w:lvl>
  </w:abstractNum>
  <w:abstractNum w:abstractNumId="286">
    <w:nsid w:val="63FEC9A"/>
    <w:multiLevelType w:val="hybridMultilevel"/>
    <w:lvl w:ilvl="0">
      <w:lvlJc w:val="left"/>
      <w:lvlText w:val="(%1)"/>
      <w:numFmt w:val="lowerLetter"/>
      <w:start w:val="1"/>
    </w:lvl>
    <w:lvl w:ilvl="1">
      <w:lvlJc w:val="left"/>
      <w:lvlText w:val="(%2)"/>
      <w:numFmt w:val="decimal"/>
      <w:start w:val="1"/>
    </w:lvl>
  </w:abstractNum>
  <w:abstractNum w:abstractNumId="287">
    <w:nsid w:val="6C291F4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88">
    <w:nsid w:val="50138A7A"/>
    <w:multiLevelType w:val="hybridMultilevel"/>
    <w:lvl w:ilvl="0">
      <w:lvlJc w:val="left"/>
      <w:lvlText w:val="(%1)"/>
      <w:numFmt w:val="lowerLetter"/>
      <w:start w:val="1"/>
    </w:lvl>
    <w:lvl w:ilvl="1">
      <w:lvlJc w:val="left"/>
      <w:lvlText w:val="(%2)"/>
      <w:numFmt w:val="decimal"/>
      <w:start w:val="1"/>
    </w:lvl>
  </w:abstractNum>
  <w:abstractNum w:abstractNumId="289">
    <w:nsid w:val="30357089"/>
    <w:multiLevelType w:val="hybridMultilevel"/>
    <w:lvl w:ilvl="0">
      <w:lvlJc w:val="left"/>
      <w:lvlText w:val="(%1)"/>
      <w:numFmt w:val="lowerLetter"/>
      <w:start w:val="3"/>
    </w:lvl>
    <w:lvl w:ilvl="1">
      <w:lvlJc w:val="left"/>
      <w:lvlText w:val="(%2)"/>
      <w:numFmt w:val="decimal"/>
      <w:start w:val="1"/>
    </w:lvl>
  </w:abstractNum>
  <w:abstractNum w:abstractNumId="290">
    <w:nsid w:val="50AF58A7"/>
    <w:multiLevelType w:val="hybridMultilevel"/>
    <w:lvl w:ilvl="0">
      <w:lvlJc w:val="left"/>
      <w:lvlText w:val="(%1)"/>
      <w:numFmt w:val="decimal"/>
      <w:start w:val="1"/>
    </w:lvl>
  </w:abstractNum>
  <w:abstractNum w:abstractNumId="291">
    <w:nsid w:val="26AF4D2D"/>
    <w:multiLevelType w:val="hybridMultilevel"/>
    <w:lvl w:ilvl="0">
      <w:lvlJc w:val="left"/>
      <w:lvlText w:val="%1"/>
      <w:numFmt w:val="upperLetter"/>
      <w:start w:val="1"/>
    </w:lvl>
    <w:lvl w:ilvl="1">
      <w:lvlJc w:val="left"/>
      <w:lvlText w:val="(%2)"/>
      <w:numFmt w:val="lowerLetter"/>
      <w:start w:val="1"/>
    </w:lvl>
  </w:abstractNum>
  <w:abstractNum w:abstractNumId="292">
    <w:nsid w:val="243DE0AA"/>
    <w:multiLevelType w:val="hybridMultilevel"/>
    <w:lvl w:ilvl="0">
      <w:lvlJc w:val="left"/>
      <w:lvlText w:val="(%1)"/>
      <w:numFmt w:val="upperLetter"/>
      <w:start w:val="3"/>
    </w:lvl>
    <w:lvl w:ilvl="1">
      <w:lvlJc w:val="left"/>
      <w:lvlText w:val="%2"/>
      <w:numFmt w:val="lowerLetter"/>
      <w:start w:val="1"/>
    </w:lvl>
  </w:abstractNum>
  <w:abstractNum w:abstractNumId="293">
    <w:nsid w:val="746B6F6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94">
    <w:nsid w:val="28B1BBF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295">
    <w:nsid w:val="72377844"/>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296">
    <w:nsid w:val="5D4CAEF8"/>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97">
    <w:nsid w:val="7A723B4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98">
    <w:nsid w:val="20913E41"/>
    <w:multiLevelType w:val="hybridMultilevel"/>
    <w:lvl w:ilvl="0">
      <w:lvlJc w:val="left"/>
      <w:lvlText w:val="(%1)"/>
      <w:numFmt w:val="decimal"/>
      <w:start w:val="6"/>
    </w:lvl>
    <w:lvl w:ilvl="1">
      <w:lvlJc w:val="left"/>
      <w:lvlText w:val="(%2)"/>
      <w:numFmt w:val="upperLetter"/>
      <w:start w:val="1"/>
    </w:lvl>
  </w:abstractNum>
  <w:abstractNum w:abstractNumId="299">
    <w:nsid w:val="DFEC288"/>
    <w:multiLevelType w:val="hybridMultilevel"/>
    <w:lvl w:ilvl="0">
      <w:lvlJc w:val="left"/>
      <w:lvlText w:val="(%1)"/>
      <w:numFmt w:val="lowerLetter"/>
      <w:start w:val="1"/>
    </w:lvl>
    <w:lvl w:ilvl="1">
      <w:lvlJc w:val="left"/>
      <w:lvlText w:val="(%2)"/>
      <w:numFmt w:val="decimal"/>
      <w:start w:val="1"/>
    </w:lvl>
  </w:abstractNum>
  <w:abstractNum w:abstractNumId="300">
    <w:nsid w:val="594F93D1"/>
    <w:multiLevelType w:val="hybridMultilevel"/>
    <w:lvl w:ilvl="0">
      <w:lvlJc w:val="left"/>
      <w:lvlText w:val="%1"/>
      <w:numFmt w:val="lowerLetter"/>
      <w:start w:val="1"/>
    </w:lvl>
    <w:lvl w:ilvl="1">
      <w:lvlJc w:val="left"/>
      <w:lvlText w:val="(%2)"/>
      <w:numFmt w:val="decimal"/>
      <w:start w:val="3"/>
    </w:lvl>
  </w:abstractNum>
  <w:abstractNum w:abstractNumId="301">
    <w:nsid w:val="61402F4E"/>
    <w:multiLevelType w:val="hybridMultilevel"/>
    <w:lvl w:ilvl="0">
      <w:lvlJc w:val="left"/>
      <w:lvlText w:val="(%1)"/>
      <w:numFmt w:val="lowerLetter"/>
      <w:start w:val="2"/>
    </w:lvl>
    <w:lvl w:ilvl="1">
      <w:lvlJc w:val="left"/>
      <w:lvlText w:val="%2"/>
      <w:numFmt w:val="decimal"/>
      <w:start w:val="1"/>
    </w:lvl>
  </w:abstractNum>
  <w:abstractNum w:abstractNumId="302">
    <w:nsid w:val="4DFF5E8B"/>
    <w:multiLevelType w:val="hybridMultilevel"/>
    <w:lvl w:ilvl="0">
      <w:lvlJc w:val="left"/>
      <w:lvlText w:val="(%1)"/>
      <w:numFmt w:val="lowerLetter"/>
      <w:start w:val="1"/>
    </w:lvl>
    <w:lvl w:ilvl="1">
      <w:lvlJc w:val="left"/>
      <w:lvlText w:val="(%2)"/>
      <w:numFmt w:val="decimal"/>
      <w:start w:val="1"/>
    </w:lvl>
  </w:abstractNum>
  <w:abstractNum w:abstractNumId="303">
    <w:nsid w:val="151F37A3"/>
    <w:multiLevelType w:val="hybridMultilevel"/>
    <w:lvl w:ilvl="0">
      <w:lvlJc w:val="left"/>
      <w:lvlText w:val="(%1)"/>
      <w:numFmt w:val="lowerLetter"/>
      <w:start w:val="3"/>
    </w:lvl>
    <w:lvl w:ilvl="1">
      <w:lvlJc w:val="left"/>
      <w:lvlText w:val="(%2)"/>
      <w:numFmt w:val="decimal"/>
      <w:start w:val="1"/>
    </w:lvl>
  </w:abstractNum>
  <w:abstractNum w:abstractNumId="304">
    <w:nsid w:val="180DEB1"/>
    <w:multiLevelType w:val="hybridMultilevel"/>
    <w:lvl w:ilvl="0">
      <w:lvlJc w:val="left"/>
      <w:lvlText w:val="(%1)"/>
      <w:numFmt w:val="lowerLetter"/>
      <w:start w:val="1"/>
    </w:lvl>
  </w:abstractNum>
  <w:abstractNum w:abstractNumId="305">
    <w:nsid w:val="4A3F068C"/>
    <w:multiLevelType w:val="hybridMultilevel"/>
    <w:lvl w:ilvl="0">
      <w:lvlJc w:val="left"/>
      <w:lvlText w:val="(%1)"/>
      <w:numFmt w:val="lowerLetter"/>
      <w:start w:val="7"/>
    </w:lvl>
  </w:abstractNum>
  <w:abstractNum w:abstractNumId="306">
    <w:nsid w:val="6C04B4E0"/>
    <w:multiLevelType w:val="hybridMultilevel"/>
    <w:lvl w:ilvl="0">
      <w:lvlJc w:val="left"/>
      <w:lvlText w:val="(%1)"/>
      <w:numFmt w:val="lowerLetter"/>
      <w:start w:val="17"/>
    </w:lvl>
  </w:abstractNum>
  <w:abstractNum w:abstractNumId="307">
    <w:nsid w:val="1D082837"/>
    <w:multiLevelType w:val="hybridMultilevel"/>
    <w:lvl w:ilvl="0">
      <w:lvlJc w:val="left"/>
      <w:lvlText w:val="(%1)"/>
      <w:numFmt w:val="lowerLetter"/>
      <w:start w:val="1"/>
    </w:lvl>
  </w:abstractNum>
  <w:abstractNum w:abstractNumId="308">
    <w:nsid w:val="685B8A2D"/>
    <w:multiLevelType w:val="hybridMultilevel"/>
    <w:lvl w:ilvl="0">
      <w:lvlJc w:val="left"/>
      <w:lvlText w:val="(%1)"/>
      <w:numFmt w:val="lowerLetter"/>
      <w:start w:val="2"/>
    </w:lvl>
  </w:abstractNum>
  <w:abstractNum w:abstractNumId="309">
    <w:nsid w:val="64F087E2"/>
    <w:multiLevelType w:val="hybridMultilevel"/>
    <w:lvl w:ilvl="0">
      <w:lvlJc w:val="left"/>
      <w:lvlText w:val="(%1)"/>
      <w:numFmt w:val="lowerLetter"/>
      <w:start w:val="1"/>
    </w:lvl>
  </w:abstractNum>
  <w:abstractNum w:abstractNumId="310">
    <w:nsid w:val="1575811C"/>
    <w:multiLevelType w:val="hybridMultilevel"/>
    <w:lvl w:ilvl="0">
      <w:lvlJc w:val="left"/>
      <w:lvlText w:val="(%1)"/>
      <w:numFmt w:val="lowerLetter"/>
      <w:start w:val="3"/>
    </w:lvl>
  </w:abstractNum>
  <w:abstractNum w:abstractNumId="311">
    <w:nsid w:val="52127406"/>
    <w:multiLevelType w:val="hybridMultilevel"/>
    <w:lvl w:ilvl="0">
      <w:lvlJc w:val="left"/>
      <w:lvlText w:val="(%1)"/>
      <w:numFmt w:val="lowerLetter"/>
      <w:start w:val="1"/>
    </w:lvl>
    <w:lvl w:ilvl="1">
      <w:lvlJc w:val="left"/>
      <w:lvlText w:val="(%2)"/>
      <w:numFmt w:val="decimal"/>
      <w:start w:val="1"/>
    </w:lvl>
  </w:abstractNum>
  <w:abstractNum w:abstractNumId="312">
    <w:nsid w:val="5FF178A"/>
    <w:multiLevelType w:val="hybridMultilevel"/>
    <w:lvl w:ilvl="0">
      <w:lvlJc w:val="left"/>
      <w:lvlText w:val="(%1)"/>
      <w:numFmt w:val="lowerLetter"/>
      <w:start w:val="1"/>
    </w:lvl>
    <w:lvl w:ilvl="1">
      <w:lvlJc w:val="left"/>
      <w:lvlText w:val="(%2)"/>
      <w:numFmt w:val="decimal"/>
      <w:start w:val="1"/>
    </w:lvl>
  </w:abstractNum>
  <w:abstractNum w:abstractNumId="313">
    <w:nsid w:val="53FB0875"/>
    <w:multiLevelType w:val="hybridMultilevel"/>
    <w:lvl w:ilvl="0">
      <w:lvlJc w:val="left"/>
      <w:lvlText w:val="(%1)"/>
      <w:numFmt w:val="lowerLetter"/>
      <w:start w:val="4"/>
    </w:lvl>
  </w:abstractNum>
  <w:abstractNum w:abstractNumId="314">
    <w:nsid w:val="34FA7B2B"/>
    <w:multiLevelType w:val="hybridMultilevel"/>
    <w:lvl w:ilvl="0">
      <w:lvlJc w:val="left"/>
      <w:lvlText w:val="(%1)"/>
      <w:numFmt w:val="lowerLetter"/>
      <w:start w:val="2"/>
    </w:lvl>
  </w:abstractNum>
  <w:abstractNum w:abstractNumId="315">
    <w:nsid w:val="CA75DBC"/>
    <w:multiLevelType w:val="hybridMultilevel"/>
    <w:lvl w:ilvl="0">
      <w:lvlJc w:val="left"/>
      <w:lvlText w:val="(%1)"/>
      <w:numFmt w:val="decimal"/>
      <w:start w:val="1"/>
    </w:lvl>
  </w:abstractNum>
  <w:abstractNum w:abstractNumId="316">
    <w:nsid w:val="6AE2EC3C"/>
    <w:multiLevelType w:val="hybridMultilevel"/>
    <w:lvl w:ilvl="0">
      <w:lvlJc w:val="left"/>
      <w:lvlText w:val="(%1)"/>
      <w:numFmt w:val="decimal"/>
      <w:start w:val="1"/>
    </w:lvl>
    <w:lvl w:ilvl="1">
      <w:lvlJc w:val="left"/>
      <w:lvlText w:val="(%2)"/>
      <w:numFmt w:val="upperLetter"/>
      <w:start w:val="1"/>
    </w:lvl>
  </w:abstractNum>
  <w:abstractNum w:abstractNumId="317">
    <w:nsid w:val="3B3A67C5"/>
    <w:multiLevelType w:val="hybridMultilevel"/>
    <w:lvl w:ilvl="0">
      <w:lvlJc w:val="left"/>
      <w:lvlText w:val="(%1)"/>
      <w:numFmt w:val="decimal"/>
      <w:start w:val="3"/>
    </w:lvl>
  </w:abstractNum>
  <w:abstractNum w:abstractNumId="318">
    <w:nsid w:val="78D07D08"/>
    <w:multiLevelType w:val="hybridMultilevel"/>
    <w:lvl w:ilvl="0">
      <w:lvlJc w:val="left"/>
      <w:lvlText w:val="(%1)"/>
      <w:numFmt w:val="decimal"/>
      <w:start w:val="7"/>
    </w:lvl>
  </w:abstractNum>
  <w:abstractNum w:abstractNumId="319">
    <w:nsid w:val="3AF676B7"/>
    <w:multiLevelType w:val="hybridMultilevel"/>
    <w:lvl w:ilvl="0">
      <w:lvlJc w:val="left"/>
      <w:lvlText w:val="(%1)"/>
      <w:numFmt w:val="decimal"/>
      <w:start w:val="1"/>
    </w:lvl>
  </w:abstractNum>
  <w:abstractNum w:abstractNumId="320">
    <w:nsid w:val="6B6FD84E"/>
    <w:multiLevelType w:val="hybridMultilevel"/>
    <w:lvl w:ilvl="0">
      <w:lvlJc w:val="left"/>
      <w:lvlText w:val="(%1)"/>
      <w:numFmt w:val="decimal"/>
      <w:start w:val="1"/>
    </w:lvl>
  </w:abstractNum>
  <w:abstractNum w:abstractNumId="321">
    <w:nsid w:val="497FD5B0"/>
    <w:multiLevelType w:val="hybridMultilevel"/>
    <w:lvl w:ilvl="0">
      <w:lvlJc w:val="left"/>
      <w:lvlText w:val="(%1)"/>
      <w:numFmt w:val="decimal"/>
      <w:start w:val="7"/>
    </w:lvl>
  </w:abstractNum>
  <w:abstractNum w:abstractNumId="322">
    <w:nsid w:val="61A5C3E4"/>
    <w:multiLevelType w:val="hybridMultilevel"/>
    <w:lvl w:ilvl="0">
      <w:lvlJc w:val="left"/>
      <w:lvlText w:val="(%1)"/>
      <w:numFmt w:val="lowerLetter"/>
      <w:start w:val="1"/>
    </w:lvl>
  </w:abstractNum>
  <w:abstractNum w:abstractNumId="323">
    <w:nsid w:val="FADB8F8"/>
    <w:multiLevelType w:val="hybridMultilevel"/>
    <w:lvl w:ilvl="0">
      <w:lvlJc w:val="left"/>
      <w:lvlText w:val="(%1)"/>
      <w:numFmt w:val="lowerLetter"/>
      <w:start w:val="6"/>
    </w:lvl>
  </w:abstractNum>
  <w:abstractNum w:abstractNumId="324">
    <w:nsid w:val="3DEB451A"/>
    <w:multiLevelType w:val="hybridMultilevel"/>
    <w:lvl w:ilvl="0">
      <w:lvlJc w:val="left"/>
      <w:lvlText w:val="(%1)"/>
      <w:numFmt w:val="lowerLetter"/>
      <w:start w:val="1"/>
    </w:lvl>
    <w:lvl w:ilvl="1">
      <w:lvlJc w:val="left"/>
      <w:lvlText w:val="(%2)"/>
      <w:numFmt w:val="decimal"/>
      <w:start w:val="1"/>
    </w:lvl>
  </w:abstractNum>
  <w:abstractNum w:abstractNumId="325">
    <w:nsid w:val="A577FD6"/>
    <w:multiLevelType w:val="hybridMultilevel"/>
    <w:lvl w:ilvl="0">
      <w:lvlJc w:val="left"/>
      <w:lvlText w:val="%1"/>
      <w:numFmt w:val="lowerLetter"/>
      <w:start w:val="1"/>
    </w:lvl>
    <w:lvl w:ilvl="1">
      <w:lvlJc w:val="left"/>
      <w:lvlText w:val="(%2)"/>
      <w:numFmt w:val="decimal"/>
      <w:start w:val="3"/>
    </w:lvl>
  </w:abstractNum>
  <w:abstractNum w:abstractNumId="326">
    <w:nsid w:val="1E5313D"/>
    <w:multiLevelType w:val="hybridMultilevel"/>
    <w:lvl w:ilvl="0">
      <w:lvlJc w:val="left"/>
      <w:lvlText w:val="(%1)"/>
      <w:numFmt w:val="lowerLetter"/>
      <w:start w:val="3"/>
    </w:lvl>
    <w:lvl w:ilvl="1">
      <w:lvlJc w:val="left"/>
      <w:lvlText w:val="%2"/>
      <w:numFmt w:val="decimal"/>
      <w:start w:val="1"/>
    </w:lvl>
  </w:abstractNum>
  <w:abstractNum w:abstractNumId="327">
    <w:nsid w:val="1B37F412"/>
    <w:multiLevelType w:val="hybridMultilevel"/>
    <w:lvl w:ilvl="0">
      <w:lvlJc w:val="left"/>
      <w:lvlText w:val="(%1)"/>
      <w:numFmt w:val="decimal"/>
      <w:start w:val="1"/>
    </w:lvl>
    <w:lvl w:ilvl="1">
      <w:lvlJc w:val="left"/>
      <w:lvlText w:val="(%2)"/>
      <w:numFmt w:val="upperLetter"/>
      <w:start w:val="1"/>
    </w:lvl>
  </w:abstractNum>
  <w:abstractNum w:abstractNumId="328">
    <w:nsid w:val="4C9BB1B"/>
    <w:multiLevelType w:val="hybridMultilevel"/>
    <w:lvl w:ilvl="0">
      <w:lvlJc w:val="left"/>
      <w:lvlText w:val="(%1)"/>
      <w:numFmt w:val="decimal"/>
      <w:start w:val="2"/>
    </w:lvl>
  </w:abstractNum>
  <w:abstractNum w:abstractNumId="329">
    <w:nsid w:val="22766F7E"/>
    <w:multiLevelType w:val="hybridMultilevel"/>
    <w:lvl w:ilvl="0">
      <w:lvlJc w:val="left"/>
      <w:lvlText w:val="(%1)"/>
      <w:numFmt w:val="decimal"/>
      <w:start w:val="3"/>
    </w:lvl>
  </w:abstractNum>
  <w:abstractNum w:abstractNumId="330">
    <w:nsid w:val="2936B69A"/>
    <w:multiLevelType w:val="hybridMultilevel"/>
    <w:lvl w:ilvl="0">
      <w:lvlJc w:val="left"/>
      <w:lvlText w:val="(%1)"/>
      <w:numFmt w:val="decimal"/>
      <w:start w:val="1"/>
    </w:lvl>
  </w:abstractNum>
  <w:abstractNum w:abstractNumId="331">
    <w:nsid w:val="5E194EEC"/>
    <w:multiLevelType w:val="hybridMultilevel"/>
    <w:lvl w:ilvl="0">
      <w:lvlJc w:val="left"/>
      <w:lvlText w:val="(%1)"/>
      <w:numFmt w:val="decimal"/>
      <w:start w:val="1"/>
    </w:lvl>
  </w:abstractNum>
  <w:abstractNum w:abstractNumId="332">
    <w:nsid w:val="3B69ECD"/>
    <w:multiLevelType w:val="hybridMultilevel"/>
    <w:lvl w:ilvl="0">
      <w:lvlJc w:val="left"/>
      <w:lvlText w:val="(%1)"/>
      <w:numFmt w:val="decimal"/>
      <w:start w:val="1"/>
    </w:lvl>
  </w:abstractNum>
  <w:abstractNum w:abstractNumId="333">
    <w:nsid w:val="77361526"/>
    <w:multiLevelType w:val="hybridMultilevel"/>
    <w:lvl w:ilvl="0">
      <w:lvlJc w:val="left"/>
      <w:lvlText w:val="(%1)"/>
      <w:numFmt w:val="decimal"/>
      <w:start w:val="5"/>
    </w:lvl>
  </w:abstractNum>
  <w:abstractNum w:abstractNumId="334">
    <w:nsid w:val="7338868F"/>
    <w:multiLevelType w:val="hybridMultilevel"/>
    <w:lvl w:ilvl="0">
      <w:lvlJc w:val="left"/>
      <w:lvlText w:val="(%1)"/>
      <w:numFmt w:val="lowerLetter"/>
      <w:start w:val="1"/>
    </w:lvl>
  </w:abstractNum>
  <w:abstractNum w:abstractNumId="335">
    <w:nsid w:val="5377D7E"/>
    <w:multiLevelType w:val="hybridMultilevel"/>
    <w:lvl w:ilvl="0">
      <w:lvlJc w:val="left"/>
      <w:lvlText w:val="(%1)"/>
      <w:numFmt w:val="lowerLetter"/>
      <w:start w:val="2"/>
    </w:lvl>
  </w:abstractNum>
  <w:abstractNum w:abstractNumId="336">
    <w:nsid w:val="41751BB2"/>
    <w:multiLevelType w:val="hybridMultilevel"/>
    <w:lvl w:ilvl="0">
      <w:lvlJc w:val="left"/>
      <w:lvlText w:val="(%1)"/>
      <w:numFmt w:val="decimal"/>
      <w:start w:val="6"/>
    </w:lvl>
  </w:abstractNum>
  <w:abstractNum w:abstractNumId="337">
    <w:nsid w:val="5F3D3B70"/>
    <w:multiLevelType w:val="hybridMultilevel"/>
    <w:lvl w:ilvl="0">
      <w:lvlJc w:val="left"/>
      <w:lvlText w:val="(%1)"/>
      <w:numFmt w:val="decimal"/>
      <w:start w:val="16"/>
    </w:lvl>
  </w:abstractNum>
  <w:abstractNum w:abstractNumId="338">
    <w:nsid w:val="223FA5B6"/>
    <w:multiLevelType w:val="hybridMultilevel"/>
    <w:lvl w:ilvl="0">
      <w:lvlJc w:val="left"/>
      <w:lvlText w:val="*"/>
      <w:numFmt w:val="bullet"/>
      <w:start w:val="1"/>
    </w:lvl>
  </w:abstractNum>
  <w:abstractNum w:abstractNumId="339">
    <w:nsid w:val="29D0A5DF"/>
    <w:multiLevelType w:val="hybridMultilevel"/>
    <w:lvl w:ilvl="0">
      <w:lvlJc w:val="left"/>
      <w:lvlText w:val="*"/>
      <w:numFmt w:val="bullet"/>
      <w:start w:val="1"/>
    </w:lvl>
  </w:abstractNum>
  <w:abstractNum w:abstractNumId="340">
    <w:nsid w:val="442DC352"/>
    <w:multiLevelType w:val="hybridMultilevel"/>
    <w:lvl w:ilvl="0">
      <w:lvlJc w:val="left"/>
      <w:lvlText w:val="%1."/>
      <w:numFmt w:val="decimal"/>
      <w:start w:val="1"/>
    </w:lvl>
  </w:abstractNum>
  <w:abstractNum w:abstractNumId="341">
    <w:nsid w:val="37B526D2"/>
    <w:multiLevelType w:val="hybridMultilevel"/>
    <w:lvl w:ilvl="0">
      <w:lvlJc w:val="left"/>
      <w:lvlText w:val="%1."/>
      <w:numFmt w:val="decimal"/>
      <w:start w:val="3"/>
    </w:lvl>
    <w:lvl w:ilvl="1">
      <w:lvlJc w:val="left"/>
      <w:lvlText w:val="(%2)"/>
      <w:numFmt w:val="lowerLetter"/>
      <w:start w:val="1"/>
    </w:lvl>
  </w:abstractNum>
  <w:abstractNum w:abstractNumId="342">
    <w:nsid w:val="7BE319E5"/>
    <w:multiLevelType w:val="hybridMultilevel"/>
    <w:lvl w:ilvl="0">
      <w:lvlJc w:val="left"/>
      <w:lvlText w:val="(%1)"/>
      <w:numFmt w:val="lowerLetter"/>
      <w:start w:val="2"/>
    </w:lvl>
  </w:abstractNum>
  <w:abstractNum w:abstractNumId="343">
    <w:nsid w:val="4A2CDADC"/>
    <w:multiLevelType w:val="hybridMultilevel"/>
    <w:lvl w:ilvl="0">
      <w:lvlJc w:val="left"/>
      <w:lvlText w:val="%1."/>
      <w:numFmt w:val="decimal"/>
      <w:start w:val="4"/>
    </w:lvl>
  </w:abstractNum>
  <w:abstractNum w:abstractNumId="344">
    <w:nsid w:val="BB02F47"/>
    <w:multiLevelType w:val="hybridMultilevel"/>
    <w:lvl w:ilvl="0">
      <w:lvlJc w:val="left"/>
      <w:lvlText w:val="(%1)"/>
      <w:numFmt w:val="lowerLetter"/>
      <w:start w:val="1"/>
    </w:lvl>
  </w:abstractNum>
  <w:abstractNum w:abstractNumId="345">
    <w:nsid w:val="30DD9510"/>
    <w:multiLevelType w:val="hybridMultilevel"/>
    <w:lvl w:ilvl="0">
      <w:lvlJc w:val="left"/>
      <w:lvlText w:val="%1."/>
      <w:numFmt w:val="decimal"/>
      <w:start w:val="1"/>
    </w:lvl>
  </w:abstractNum>
  <w:abstractNum w:abstractNumId="346">
    <w:nsid w:val="56D43898"/>
    <w:multiLevelType w:val="hybridMultilevel"/>
    <w:lvl w:ilvl="0">
      <w:lvlJc w:val="left"/>
      <w:lvlText w:val="%1."/>
      <w:numFmt w:val="decimal"/>
      <w:start w:val="1"/>
    </w:lvl>
  </w:abstractNum>
  <w:abstractNum w:abstractNumId="347">
    <w:nsid w:val="76931B84"/>
    <w:multiLevelType w:val="hybridMultilevel"/>
    <w:lvl w:ilvl="0">
      <w:lvlJc w:val="left"/>
      <w:lvlText w:val="%1"/>
      <w:numFmt w:val="lowerLetter"/>
      <w:start w:val="1"/>
    </w:lvl>
    <w:lvl w:ilvl="1">
      <w:lvlJc w:val="left"/>
      <w:lvlText w:val="(%2)"/>
      <w:numFmt w:val="lowerLetter"/>
      <w:start w:val="1"/>
    </w:lvl>
  </w:abstractNum>
  <w:abstractNum w:abstractNumId="348">
    <w:nsid w:val="6C17FCD6"/>
    <w:multiLevelType w:val="hybridMultilevel"/>
    <w:lvl w:ilvl="0">
      <w:lvlJc w:val="left"/>
      <w:lvlText w:val="(%1)"/>
      <w:numFmt w:val="lowerLetter"/>
      <w:start w:val="35"/>
    </w:lvl>
    <w:lvl w:ilvl="1">
      <w:lvlJc w:val="left"/>
      <w:lvlText w:val="(%2)"/>
      <w:numFmt w:val="lowerLetter"/>
      <w:start w:val="2"/>
    </w:lvl>
  </w:abstractNum>
  <w:abstractNum w:abstractNumId="349">
    <w:nsid w:val="4FA4B5A1"/>
    <w:multiLevelType w:val="hybridMultilevel"/>
    <w:lvl w:ilvl="0">
      <w:lvlJc w:val="left"/>
      <w:lvlText w:val="(%1)"/>
      <w:numFmt w:val="lowerLetter"/>
      <w:start w:val="4"/>
    </w:lvl>
  </w:abstractNum>
  <w:abstractNum w:abstractNumId="350">
    <w:nsid w:val="3189923B"/>
    <w:multiLevelType w:val="hybridMultilevel"/>
    <w:lvl w:ilvl="0">
      <w:lvlJc w:val="left"/>
      <w:lvlText w:val="%1."/>
      <w:numFmt w:val="decimal"/>
      <w:start w:val="2"/>
    </w:lvl>
  </w:abstractNum>
  <w:abstractNum w:abstractNumId="351">
    <w:nsid w:val="5787D524"/>
    <w:multiLevelType w:val="hybridMultilevel"/>
    <w:lvl w:ilvl="0">
      <w:lvlJc w:val="left"/>
      <w:lvlText w:val="(%1)"/>
      <w:numFmt w:val="lowerLetter"/>
      <w:start w:val="1"/>
    </w:lvl>
  </w:abstractNum>
  <w:abstractNum w:abstractNumId="352">
    <w:nsid w:val="19248B51"/>
    <w:multiLevelType w:val="hybridMultilevel"/>
    <w:lvl w:ilvl="0">
      <w:lvlJc w:val="left"/>
      <w:lvlText w:val="%1."/>
      <w:numFmt w:val="decimal"/>
      <w:start w:val="1"/>
    </w:lvl>
  </w:abstractNum>
  <w:abstractNum w:abstractNumId="353">
    <w:nsid w:val="132F561F"/>
    <w:multiLevelType w:val="hybridMultilevel"/>
    <w:lvl w:ilvl="0">
      <w:lvlJc w:val="left"/>
      <w:lvlText w:val="%1."/>
      <w:numFmt w:val="decimal"/>
      <w:start w:val="3"/>
    </w:lvl>
  </w:abstractNum>
  <w:abstractNum w:abstractNumId="354">
    <w:nsid w:val="67358E1D"/>
    <w:multiLevelType w:val="hybridMultilevel"/>
    <w:lvl w:ilvl="0">
      <w:lvlJc w:val="left"/>
      <w:lvlText w:val="(%1)"/>
      <w:numFmt w:val="decimal"/>
      <w:start w:val="1"/>
    </w:lvl>
  </w:abstractNum>
  <w:abstractNum w:abstractNumId="355">
    <w:nsid w:val="570FD06B"/>
    <w:multiLevelType w:val="hybridMultilevel"/>
    <w:lvl w:ilvl="0">
      <w:lvlJc w:val="left"/>
      <w:lvlText w:val="%1."/>
      <w:numFmt w:val="decimal"/>
      <w:start w:val="1"/>
    </w:lvl>
    <w:lvl w:ilvl="1">
      <w:lvlJc w:val="left"/>
      <w:lvlText w:val="(%2)"/>
      <w:numFmt w:val="lowerLetter"/>
      <w:start w:val="1"/>
    </w:lvl>
  </w:abstractNum>
  <w:abstractNum w:abstractNumId="356">
    <w:nsid w:val="1D86D5F5"/>
    <w:multiLevelType w:val="hybridMultilevel"/>
    <w:lvl w:ilvl="0">
      <w:lvlJc w:val="left"/>
      <w:lvlText w:val="(%1)"/>
      <w:numFmt w:val="lowerLetter"/>
      <w:start w:val="2"/>
    </w:lvl>
  </w:abstractNum>
  <w:abstractNum w:abstractNumId="357">
    <w:nsid w:val="691ABF5A"/>
    <w:multiLevelType w:val="hybridMultilevel"/>
    <w:lvl w:ilvl="0">
      <w:lvlJc w:val="left"/>
      <w:lvlText w:val="(%1)"/>
      <w:numFmt w:val="decimal"/>
      <w:start w:val="1"/>
    </w:lvl>
  </w:abstractNum>
  <w:abstractNum w:abstractNumId="358">
    <w:nsid w:val="7247C47D"/>
    <w:multiLevelType w:val="hybridMultilevel"/>
    <w:lvl w:ilvl="0">
      <w:lvlJc w:val="left"/>
      <w:lvlText w:val="(%1)"/>
      <w:numFmt w:val="decimal"/>
      <w:start w:val="1"/>
    </w:lvl>
  </w:abstractNum>
  <w:abstractNum w:abstractNumId="359">
    <w:nsid w:val="22509110"/>
    <w:multiLevelType w:val="hybridMultilevel"/>
    <w:lvl w:ilvl="0">
      <w:lvlJc w:val="left"/>
      <w:lvlText w:val="(%1)"/>
      <w:numFmt w:val="decimal"/>
      <w:start w:val="9"/>
    </w:lvl>
  </w:abstractNum>
  <w:abstractNum w:abstractNumId="360">
    <w:nsid w:val="B912ED8"/>
    <w:multiLevelType w:val="hybridMultilevel"/>
    <w:lvl w:ilvl="0">
      <w:lvlJc w:val="left"/>
      <w:lvlText w:val="(%1)"/>
      <w:numFmt w:val="lowerRoman"/>
      <w:start w:val="2"/>
    </w:lvl>
  </w:abstractNum>
  <w:abstractNum w:abstractNumId="361">
    <w:nsid w:val="1B7E7B17"/>
    <w:multiLevelType w:val="hybridMultilevel"/>
    <w:lvl w:ilvl="0">
      <w:lvlJc w:val="left"/>
      <w:lvlText w:val="(%1)"/>
      <w:numFmt w:val="decimal"/>
      <w:start w:val="1"/>
    </w:lvl>
  </w:abstractNum>
  <w:abstractNum w:abstractNumId="362">
    <w:nsid w:val="69DFFC"/>
    <w:multiLevelType w:val="hybridMultilevel"/>
    <w:lvl w:ilvl="0">
      <w:lvlJc w:val="left"/>
      <w:lvlText w:val="(%1)"/>
      <w:numFmt w:val="decimal"/>
      <w:start w:val="1"/>
    </w:lvl>
  </w:abstractNum>
  <w:abstractNum w:abstractNumId="363">
    <w:nsid w:val="F47CDA5"/>
    <w:multiLevelType w:val="hybridMultilevel"/>
    <w:lvl w:ilvl="0">
      <w:lvlJc w:val="left"/>
      <w:lvlText w:val="(%1)"/>
      <w:numFmt w:val="decimal"/>
      <w:start w:val="1"/>
    </w:lvl>
  </w:abstractNum>
  <w:abstractNum w:abstractNumId="364">
    <w:nsid w:val="12B4903D"/>
    <w:multiLevelType w:val="hybridMultilevel"/>
    <w:lvl w:ilvl="0">
      <w:lvlJc w:val="left"/>
      <w:lvlText w:val="%1"/>
      <w:numFmt w:val="decimal"/>
      <w:start w:val="1"/>
    </w:lvl>
    <w:lvl w:ilvl="1">
      <w:lvlJc w:val="left"/>
      <w:lvlText w:val="(%2)"/>
      <w:numFmt w:val="decimal"/>
      <w:start w:val="3"/>
    </w:lvl>
  </w:abstractNum>
  <w:abstractNum w:abstractNumId="365">
    <w:nsid w:val="73A2668C"/>
    <w:multiLevelType w:val="hybridMultilevel"/>
    <w:lvl w:ilvl="0">
      <w:lvlJc w:val="left"/>
      <w:lvlText w:val="(%1)"/>
      <w:numFmt w:val="decimal"/>
      <w:start w:val="1"/>
    </w:lvl>
    <w:lvl w:ilvl="1">
      <w:lvlJc w:val="left"/>
      <w:lvlText w:val="(%2)"/>
      <w:numFmt w:val="decimal"/>
      <w:start w:val="4"/>
    </w:lvl>
  </w:abstractNum>
  <w:abstractNum w:abstractNumId="366">
    <w:nsid w:val="147F4B24"/>
    <w:multiLevelType w:val="hybridMultilevel"/>
    <w:lvl w:ilvl="0">
      <w:lvlJc w:val="left"/>
      <w:lvlText w:val="(%1)"/>
      <w:numFmt w:val="decimal"/>
      <w:start w:val="1"/>
    </w:lvl>
    <w:lvl w:ilvl="1">
      <w:lvlJc w:val="left"/>
      <w:lvlText w:val="(%2)"/>
      <w:numFmt w:val="upperLetter"/>
      <w:start w:val="1"/>
    </w:lvl>
  </w:abstractNum>
  <w:abstractNum w:abstractNumId="367">
    <w:nsid w:val="5429ABEF"/>
    <w:multiLevelType w:val="hybridMultilevel"/>
    <w:lvl w:ilvl="0">
      <w:lvlJc w:val="left"/>
      <w:lvlText w:val="(%1)"/>
      <w:numFmt w:val="decimal"/>
      <w:start w:val="1"/>
    </w:lvl>
  </w:abstractNum>
  <w:abstractNum w:abstractNumId="368">
    <w:nsid w:val="52DFA1FC"/>
    <w:multiLevelType w:val="hybridMultilevel"/>
    <w:lvl w:ilvl="0">
      <w:lvlJc w:val="left"/>
      <w:lvlText w:val="(%1)"/>
      <w:numFmt w:val="decimal"/>
      <w:start w:val="1"/>
    </w:lvl>
  </w:abstractNum>
  <w:abstractNum w:abstractNumId="369">
    <w:nsid w:val="36BEF0DA"/>
    <w:multiLevelType w:val="hybridMultilevel"/>
    <w:lvl w:ilvl="0">
      <w:lvlJc w:val="left"/>
      <w:lvlText w:val="(%1)"/>
      <w:numFmt w:val="decimal"/>
      <w:start w:val="8"/>
    </w:lvl>
  </w:abstractNum>
  <w:abstractNum w:abstractNumId="370">
    <w:nsid w:val="7DFA51CE"/>
    <w:multiLevelType w:val="hybridMultilevel"/>
    <w:lvl w:ilvl="0">
      <w:lvlJc w:val="left"/>
      <w:lvlText w:val="(%1)"/>
      <w:numFmt w:val="decimal"/>
      <w:start w:val="1"/>
    </w:lvl>
  </w:abstractNum>
  <w:abstractNum w:abstractNumId="371">
    <w:nsid w:val="170D654E"/>
    <w:multiLevelType w:val="hybridMultilevel"/>
    <w:lvl w:ilvl="0">
      <w:lvlJc w:val="left"/>
      <w:lvlText w:val="(%1)"/>
      <w:numFmt w:val="decimal"/>
      <w:start w:val="1"/>
    </w:lvl>
  </w:abstractNum>
  <w:abstractNum w:abstractNumId="372">
    <w:nsid w:val="6E7417AC"/>
    <w:multiLevelType w:val="hybridMultilevel"/>
    <w:lvl w:ilvl="0">
      <w:lvlJc w:val="left"/>
      <w:lvlText w:val="%1"/>
      <w:numFmt w:val="lowerRoman"/>
      <w:start w:val="1"/>
    </w:lvl>
    <w:lvl w:ilvl="1">
      <w:lvlJc w:val="left"/>
      <w:lvlText w:val="(%2)"/>
      <w:numFmt w:val="decimal"/>
      <w:start w:val="1"/>
    </w:lvl>
  </w:abstractNum>
  <w:abstractNum w:abstractNumId="373">
    <w:nsid w:val="79DD6BB3"/>
    <w:multiLevelType w:val="hybridMultilevel"/>
    <w:lvl w:ilvl="0">
      <w:lvlJc w:val="left"/>
      <w:lvlText w:val="(%1)"/>
      <w:numFmt w:val="lowerRoman"/>
      <w:start w:val="2"/>
    </w:lvl>
    <w:lvl w:ilvl="1">
      <w:lvlJc w:val="left"/>
      <w:lvlText w:val="%2"/>
      <w:numFmt w:val="decimal"/>
      <w:start w:val="1"/>
    </w:lvl>
  </w:abstractNum>
  <w:abstractNum w:abstractNumId="374">
    <w:nsid w:val="613A402A"/>
    <w:multiLevelType w:val="hybridMultilevel"/>
    <w:lvl w:ilvl="0">
      <w:lvlJc w:val="left"/>
      <w:lvlText w:val="(%1)"/>
      <w:numFmt w:val="decimal"/>
      <w:start w:val="2"/>
    </w:lvl>
  </w:abstractNum>
  <w:abstractNum w:abstractNumId="375">
    <w:nsid w:val="7A2446F3"/>
    <w:multiLevelType w:val="hybridMultilevel"/>
    <w:lvl w:ilvl="0">
      <w:lvlJc w:val="left"/>
      <w:lvlText w:val="(%1)"/>
      <w:numFmt w:val="lowerLetter"/>
      <w:start w:val="1"/>
    </w:lvl>
  </w:abstractNum>
  <w:abstractNum w:abstractNumId="376">
    <w:nsid w:val="2ABB00C4"/>
    <w:multiLevelType w:val="hybridMultilevel"/>
    <w:lvl w:ilvl="0">
      <w:lvlJc w:val="left"/>
      <w:lvlText w:val="(%1)"/>
      <w:numFmt w:val="decimal"/>
      <w:start w:val="1"/>
    </w:lvl>
  </w:abstractNum>
  <w:abstractNum w:abstractNumId="377">
    <w:nsid w:val="380E78C3"/>
    <w:multiLevelType w:val="hybridMultilevel"/>
    <w:lvl w:ilvl="0">
      <w:lvlJc w:val="left"/>
      <w:lvlText w:val="(%1)"/>
      <w:numFmt w:val="decimal"/>
      <w:start w:val="1"/>
    </w:lvl>
  </w:abstractNum>
  <w:abstractNum w:abstractNumId="378">
    <w:nsid w:val="70B76277"/>
    <w:multiLevelType w:val="hybridMultilevel"/>
    <w:lvl w:ilvl="0">
      <w:lvlJc w:val="left"/>
      <w:lvlText w:val="(%1)"/>
      <w:numFmt w:val="upperLetter"/>
      <w:start w:val="1"/>
    </w:lvl>
  </w:abstractNum>
  <w:abstractNum w:abstractNumId="379">
    <w:nsid w:val="16D2FD9A"/>
    <w:multiLevelType w:val="hybridMultilevel"/>
    <w:lvl w:ilvl="0">
      <w:lvlJc w:val="left"/>
      <w:lvlText w:val="(%1)"/>
      <w:numFmt w:val="decimal"/>
      <w:start w:val="1"/>
    </w:lvl>
  </w:abstractNum>
  <w:abstractNum w:abstractNumId="380">
    <w:nsid w:val="7B32E64"/>
    <w:multiLevelType w:val="hybridMultilevel"/>
    <w:lvl w:ilvl="0">
      <w:lvlJc w:val="left"/>
      <w:lvlText w:val="%1"/>
      <w:numFmt w:val="lowerLetter"/>
      <w:start w:val="1"/>
    </w:lvl>
    <w:lvl w:ilvl="1">
      <w:lvlJc w:val="left"/>
      <w:lvlText w:val="(%2)"/>
      <w:numFmt w:val="decimal"/>
      <w:start w:val="1"/>
    </w:lvl>
  </w:abstractNum>
  <w:abstractNum w:abstractNumId="381">
    <w:nsid w:val="2240F4B2"/>
    <w:multiLevelType w:val="hybridMultilevel"/>
    <w:lvl w:ilvl="0">
      <w:lvlJc w:val="left"/>
      <w:lvlText w:val="(%1)"/>
      <w:numFmt w:val="lowerLetter"/>
      <w:start w:val="3"/>
    </w:lvl>
    <w:lvl w:ilvl="1">
      <w:lvlJc w:val="left"/>
      <w:lvlText w:val="(%2)"/>
      <w:numFmt w:val="decimal"/>
      <w:start w:val="2"/>
    </w:lvl>
  </w:abstractNum>
  <w:abstractNum w:abstractNumId="382">
    <w:nsid w:val="6E5AD2BE"/>
    <w:multiLevelType w:val="hybridMultilevel"/>
    <w:lvl w:ilvl="0">
      <w:lvlJc w:val="left"/>
      <w:lvlText w:val="(%1)"/>
      <w:numFmt w:val="decimal"/>
      <w:start w:val="1"/>
    </w:lvl>
    <w:lvl w:ilvl="1">
      <w:lvlJc w:val="left"/>
      <w:lvlText w:val="(%2)"/>
      <w:numFmt w:val="upperLetter"/>
      <w:start w:val="1"/>
    </w:lvl>
  </w:abstractNum>
  <w:abstractNum w:abstractNumId="383">
    <w:nsid w:val="20D7B9B5"/>
    <w:multiLevelType w:val="hybridMultilevel"/>
    <w:lvl w:ilvl="0">
      <w:lvlJc w:val="left"/>
      <w:lvlText w:val="(%1)"/>
      <w:numFmt w:val="decimal"/>
      <w:start w:val="6"/>
    </w:lvl>
  </w:abstractNum>
  <w:abstractNum w:abstractNumId="384">
    <w:nsid w:val="35704AD1"/>
    <w:multiLevelType w:val="hybridMultilevel"/>
    <w:lvl w:ilvl="0">
      <w:lvlJc w:val="left"/>
      <w:lvlText w:val="%1"/>
      <w:numFmt w:val="lowerLetter"/>
      <w:start w:val="1"/>
    </w:lvl>
    <w:lvl w:ilvl="1">
      <w:lvlJc w:val="left"/>
      <w:lvlText w:val="(%2)"/>
      <w:numFmt w:val="decimal"/>
      <w:start w:val="19"/>
    </w:lvl>
  </w:abstractNum>
  <w:abstractNum w:abstractNumId="385">
    <w:nsid w:val="559060DB"/>
    <w:multiLevelType w:val="hybridMultilevel"/>
    <w:lvl w:ilvl="0">
      <w:lvlJc w:val="left"/>
      <w:lvlText w:val="(%1)"/>
      <w:numFmt w:val="lowerLetter"/>
      <w:start w:val="25"/>
    </w:lvl>
    <w:lvl w:ilvl="1">
      <w:lvlJc w:val="left"/>
      <w:lvlText w:val="(%2)"/>
      <w:numFmt w:val="decimal"/>
      <w:start w:val="22"/>
    </w:lvl>
  </w:abstractNum>
  <w:abstractNum w:abstractNumId="386">
    <w:nsid w:val="77E78A20"/>
    <w:multiLevelType w:val="hybridMultilevel"/>
    <w:lvl w:ilvl="0">
      <w:lvlJc w:val="left"/>
      <w:lvlText w:val="(%1)"/>
      <w:numFmt w:val="decimal"/>
      <w:start w:val="1"/>
    </w:lvl>
  </w:abstractNum>
  <w:abstractNum w:abstractNumId="387">
    <w:nsid w:val="52F720C6"/>
    <w:multiLevelType w:val="hybridMultilevel"/>
    <w:lvl w:ilvl="0">
      <w:lvlJc w:val="left"/>
      <w:lvlText w:val="(%1)"/>
      <w:numFmt w:val="decimal"/>
      <w:start w:val="9"/>
    </w:lvl>
    <w:lvl w:ilvl="1">
      <w:lvlJc w:val="left"/>
      <w:lvlText w:val="(%2)"/>
      <w:numFmt w:val="upperLetter"/>
      <w:start w:val="1"/>
    </w:lvl>
  </w:abstractNum>
  <w:abstractNum w:abstractNumId="388">
    <w:nsid w:val="3EAB2035"/>
    <w:multiLevelType w:val="hybridMultilevel"/>
    <w:lvl w:ilvl="0">
      <w:lvlJc w:val="left"/>
      <w:lvlText w:val="(%1)"/>
      <w:numFmt w:val="decimal"/>
      <w:start w:val="19"/>
    </w:lvl>
  </w:abstractNum>
  <w:abstractNum w:abstractNumId="389">
    <w:nsid w:val="6A2F4E9D"/>
    <w:multiLevelType w:val="hybridMultilevel"/>
    <w:lvl w:ilvl="0">
      <w:lvlJc w:val="left"/>
      <w:lvlText w:val="(%1)"/>
      <w:numFmt w:val="decimal"/>
      <w:start w:val="1"/>
    </w:lvl>
  </w:abstractNum>
  <w:abstractNum w:abstractNumId="390">
    <w:nsid w:val="7547B1D6"/>
    <w:multiLevelType w:val="hybridMultilevel"/>
    <w:lvl w:ilvl="0">
      <w:lvlJc w:val="left"/>
      <w:lvlText w:val="(%1)"/>
      <w:numFmt w:val="decimal"/>
      <w:start w:val="4"/>
    </w:lvl>
  </w:abstractNum>
  <w:abstractNum w:abstractNumId="391">
    <w:nsid w:val="4A3C4F0E"/>
    <w:multiLevelType w:val="hybridMultilevel"/>
    <w:lvl w:ilvl="0">
      <w:lvlJc w:val="left"/>
      <w:lvlText w:val="(%1)"/>
      <w:numFmt w:val="decimal"/>
      <w:start w:val="1"/>
    </w:lvl>
  </w:abstractNum>
  <w:abstractNum w:abstractNumId="392">
    <w:nsid w:val="5ADC9B4"/>
    <w:multiLevelType w:val="hybridMultilevel"/>
    <w:lvl w:ilvl="0">
      <w:lvlJc w:val="left"/>
      <w:lvlText w:val="(%1)"/>
      <w:numFmt w:val="decimal"/>
      <w:start w:val="1"/>
    </w:lvl>
  </w:abstractNum>
  <w:abstractNum w:abstractNumId="393">
    <w:nsid w:val="75B191D3"/>
    <w:multiLevelType w:val="hybridMultilevel"/>
    <w:lvl w:ilvl="0">
      <w:lvlJc w:val="left"/>
      <w:lvlText w:val="(%1)"/>
      <w:numFmt w:val="decimal"/>
      <w:start w:val="1"/>
    </w:lvl>
  </w:abstractNum>
  <w:abstractNum w:abstractNumId="394">
    <w:nsid w:val="59841CB3"/>
    <w:multiLevelType w:val="hybridMultilevel"/>
    <w:lvl w:ilvl="0">
      <w:lvlJc w:val="left"/>
      <w:lvlText w:val="(%1)"/>
      <w:numFmt w:val="decimal"/>
      <w:start w:val="1"/>
    </w:lvl>
  </w:abstractNum>
  <w:abstractNum w:abstractNumId="395">
    <w:nsid w:val="186259F2"/>
    <w:multiLevelType w:val="hybridMultilevel"/>
    <w:lvl w:ilvl="0">
      <w:lvlJc w:val="left"/>
      <w:lvlText w:val="%1"/>
      <w:numFmt w:val="lowerLetter"/>
      <w:start w:val="1"/>
    </w:lvl>
    <w:lvl w:ilvl="1">
      <w:lvlJc w:val="left"/>
      <w:lvlText w:val="(%2)"/>
      <w:numFmt w:val="decimal"/>
      <w:start w:val="1"/>
    </w:lvl>
  </w:abstractNum>
  <w:abstractNum w:abstractNumId="396">
    <w:nsid w:val="6953F85F"/>
    <w:multiLevelType w:val="hybridMultilevel"/>
    <w:lvl w:ilvl="0">
      <w:lvlJc w:val="left"/>
      <w:lvlText w:val="(%1)"/>
      <w:numFmt w:val="lowerLetter"/>
      <w:start w:val="1"/>
    </w:lvl>
    <w:lvl w:ilvl="1">
      <w:lvlJc w:val="left"/>
      <w:lvlText w:val="(%2)"/>
      <w:numFmt w:val="decimal"/>
      <w:start w:val="4"/>
    </w:lvl>
  </w:abstractNum>
  <w:abstractNum w:abstractNumId="397">
    <w:nsid w:val="6E0367D7"/>
    <w:multiLevelType w:val="hybridMultilevel"/>
    <w:lvl w:ilvl="0">
      <w:lvlJc w:val="left"/>
      <w:lvlText w:val="(%1)"/>
      <w:numFmt w:val="decimal"/>
      <w:start w:val="1"/>
    </w:lvl>
  </w:abstractNum>
  <w:abstractNum w:abstractNumId="398">
    <w:nsid w:val="6C8C05E1"/>
    <w:multiLevelType w:val="hybridMultilevel"/>
    <w:lvl w:ilvl="0">
      <w:lvlJc w:val="left"/>
      <w:lvlText w:val="(%1)"/>
      <w:numFmt w:val="decimal"/>
      <w:start w:val="1"/>
    </w:lvl>
  </w:abstractNum>
  <w:abstractNum w:abstractNumId="399">
    <w:nsid w:val="3C339A5B"/>
    <w:multiLevelType w:val="hybridMultilevel"/>
    <w:lvl w:ilvl="0">
      <w:lvlJc w:val="left"/>
      <w:lvlText w:val="(%1)"/>
      <w:numFmt w:val="decimal"/>
      <w:start w:val="1"/>
    </w:lvl>
  </w:abstractNum>
  <w:abstractNum w:abstractNumId="400">
    <w:nsid w:val="24C258B1"/>
    <w:multiLevelType w:val="hybridMultilevel"/>
    <w:lvl w:ilvl="0">
      <w:lvlJc w:val="left"/>
      <w:lvlText w:val="(%1)"/>
      <w:numFmt w:val="lowerLetter"/>
      <w:start w:val="1"/>
    </w:lvl>
  </w:abstractNum>
  <w:abstractNum w:abstractNumId="401">
    <w:nsid w:val="6A8657B0"/>
    <w:multiLevelType w:val="hybridMultilevel"/>
    <w:lvl w:ilvl="0">
      <w:lvlJc w:val="left"/>
      <w:lvlText w:val="(%1)"/>
      <w:numFmt w:val="lowerLetter"/>
      <w:start w:val="2"/>
    </w:lvl>
  </w:abstractNum>
  <w:abstractNum w:abstractNumId="402">
    <w:nsid w:val="5340FFA9"/>
    <w:multiLevelType w:val="hybridMultilevel"/>
    <w:lvl w:ilvl="0">
      <w:lvlJc w:val="left"/>
      <w:lvlText w:val="(%1)"/>
      <w:numFmt w:val="lowerLetter"/>
      <w:start w:val="1"/>
    </w:lvl>
    <w:lvl w:ilvl="1">
      <w:lvlJc w:val="left"/>
      <w:lvlText w:val="(%2)"/>
      <w:numFmt w:val="decimal"/>
      <w:start w:val="1"/>
    </w:lvl>
  </w:abstractNum>
  <w:abstractNum w:abstractNumId="403">
    <w:nsid w:val="1336705D"/>
    <w:multiLevelType w:val="hybridMultilevel"/>
    <w:lvl w:ilvl="0">
      <w:lvlJc w:val="left"/>
      <w:lvlText w:val="(%1)"/>
      <w:numFmt w:val="lowerLetter"/>
      <w:start w:val="3"/>
    </w:lvl>
    <w:lvl w:ilvl="1">
      <w:lvlJc w:val="left"/>
      <w:lvlText w:val="(%2)"/>
      <w:numFmt w:val="lowerLetter"/>
      <w:start w:val="2"/>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404">
    <w:nsid w:val="6463C363"/>
    <w:multiLevelType w:val="hybridMultilevel"/>
    <w:lvl w:ilvl="0">
      <w:lvlJc w:val="left"/>
      <w:lvlText w:val="(%1)"/>
      <w:numFmt w:val="upperLetter"/>
      <w:start w:val="2"/>
    </w:lvl>
    <w:lvl w:ilvl="1">
      <w:lvlJc w:val="left"/>
      <w:lvlText w:val="(%2)"/>
      <w:numFmt w:val="lowerRoman"/>
      <w:start w:val="1"/>
    </w:lvl>
  </w:abstractNum>
  <w:abstractNum w:abstractNumId="405">
    <w:nsid w:val="347B3FD3"/>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406">
    <w:nsid w:val="D5AB751"/>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407">
    <w:nsid w:val="F1EC427"/>
    <w:multiLevelType w:val="hybridMultilevel"/>
    <w:lvl w:ilvl="0">
      <w:lvlJc w:val="left"/>
      <w:lvlText w:val="(%1)"/>
      <w:numFmt w:val="decimal"/>
      <w:start w:val="2"/>
    </w:lvl>
    <w:lvl w:ilvl="1">
      <w:lvlJc w:val="left"/>
      <w:lvlText w:val="(%2)"/>
      <w:numFmt w:val="lowerRoman"/>
      <w:start w:val="1"/>
    </w:lvl>
  </w:abstractNum>
  <w:abstractNum w:abstractNumId="408">
    <w:nsid w:val="6C89B896"/>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409">
    <w:nsid w:val="7E1219C8"/>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410">
    <w:nsid w:val="25F1C1C1"/>
    <w:multiLevelType w:val="hybridMultilevel"/>
    <w:lvl w:ilvl="0">
      <w:lvlJc w:val="left"/>
      <w:lvlText w:val="(%1)"/>
      <w:numFmt w:val="upperLetter"/>
      <w:start w:val="4"/>
    </w:lvl>
  </w:abstractNum>
  <w:abstractNum w:abstractNumId="411">
    <w:nsid w:val="743CE6FA"/>
    <w:multiLevelType w:val="hybridMultilevel"/>
    <w:lvl w:ilvl="0">
      <w:lvlJc w:val="left"/>
      <w:lvlText w:val="(%1)"/>
      <w:numFmt w:val="decimal"/>
      <w:start w:val="2"/>
    </w:lvl>
    <w:lvl w:ilvl="1">
      <w:lvlJc w:val="left"/>
      <w:lvlText w:val="(%2)"/>
      <w:numFmt w:val="lowerRoman"/>
      <w:start w:val="1"/>
    </w:lvl>
  </w:abstractNum>
  <w:abstractNum w:abstractNumId="412">
    <w:nsid w:val="20530E7B"/>
    <w:multiLevelType w:val="hybridMultilevel"/>
    <w:lvl w:ilvl="0">
      <w:lvlJc w:val="left"/>
      <w:lvlText w:val="(%1)"/>
      <w:numFmt w:val="decimal"/>
      <w:start w:val="3"/>
    </w:lvl>
  </w:abstractNum>
  <w:abstractNum w:abstractNumId="413">
    <w:nsid w:val="144C9480"/>
    <w:multiLevelType w:val="hybridMultilevel"/>
    <w:lvl w:ilvl="0">
      <w:lvlJc w:val="left"/>
      <w:lvlText w:val="(%1)"/>
      <w:numFmt w:val="decimal"/>
      <w:start w:val="3"/>
    </w:lvl>
  </w:abstractNum>
  <w:abstractNum w:abstractNumId="414">
    <w:nsid w:val="1514A0AF"/>
    <w:multiLevelType w:val="hybridMultilevel"/>
    <w:lvl w:ilvl="0">
      <w:lvlJc w:val="left"/>
      <w:lvlText w:val="(%1)"/>
      <w:numFmt w:val="lowerLetter"/>
      <w:start w:val="5"/>
    </w:lvl>
    <w:lvl w:ilvl="1">
      <w:lvlJc w:val="left"/>
      <w:lvlText w:val="(%2)"/>
      <w:numFmt w:val="decimal"/>
      <w:start w:val="1"/>
    </w:lvl>
    <w:lvl w:ilvl="2">
      <w:lvlJc w:val="left"/>
      <w:lvlText w:val="(%3)"/>
      <w:numFmt w:val="decimal"/>
      <w:start w:val="2"/>
    </w:lvl>
    <w:lvl w:ilvl="3">
      <w:lvlJc w:val="left"/>
      <w:lvlText w:val="(%4)"/>
      <w:numFmt w:val="upperLetter"/>
      <w:start w:val="1"/>
    </w:lvl>
    <w:lvl w:ilvl="4">
      <w:lvlJc w:val="left"/>
      <w:lvlText w:val="(%5)"/>
      <w:numFmt w:val="lowerRoman"/>
      <w:start w:val="1"/>
    </w:lvl>
  </w:abstractNum>
  <w:abstractNum w:abstractNumId="415">
    <w:nsid w:val="55C3594C"/>
    <w:multiLevelType w:val="hybridMultilevel"/>
    <w:lvl w:ilvl="0">
      <w:lvlJc w:val="left"/>
      <w:lvlText w:val="(%1)"/>
      <w:numFmt w:val="decimal"/>
      <w:start w:val="3"/>
    </w:lvl>
  </w:abstractNum>
  <w:abstractNum w:abstractNumId="416">
    <w:nsid w:val="69DCF55B"/>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417">
    <w:nsid w:val="CFC2ACF"/>
    <w:multiLevelType w:val="hybridMultilevel"/>
    <w:lvl w:ilvl="0">
      <w:lvlJc w:val="left"/>
      <w:lvlText w:val="(%1)"/>
      <w:numFmt w:val="upperLetter"/>
      <w:start w:val="5"/>
    </w:lvl>
  </w:abstractNum>
  <w:abstractNum w:abstractNumId="418">
    <w:nsid w:val="28BA7A13"/>
    <w:multiLevelType w:val="hybridMultilevel"/>
    <w:lvl w:ilvl="0">
      <w:lvlJc w:val="left"/>
      <w:lvlText w:val="(%1)"/>
      <w:numFmt w:val="upperLetter"/>
      <w:start w:val="9"/>
    </w:lvl>
  </w:abstractNum>
  <w:abstractNum w:abstractNumId="419">
    <w:nsid w:val="28881591"/>
    <w:multiLevelType w:val="hybridMultilevel"/>
    <w:lvl w:ilvl="0">
      <w:lvlJc w:val="left"/>
      <w:lvlText w:val="(%1)"/>
      <w:numFmt w:val="upperLetter"/>
      <w:start w:val="2"/>
    </w:lvl>
  </w:abstractNum>
  <w:abstractNum w:abstractNumId="420">
    <w:nsid w:val="772B796C"/>
    <w:multiLevelType w:val="hybridMultilevel"/>
    <w:lvl w:ilvl="0">
      <w:lvlJc w:val="left"/>
      <w:lvlText w:val="(%1)"/>
      <w:numFmt w:val="upperLetter"/>
      <w:start w:val="5"/>
    </w:lvl>
  </w:abstractNum>
  <w:abstractNum w:abstractNumId="421">
    <w:nsid w:val="1E022BE9"/>
    <w:multiLevelType w:val="hybridMultilevel"/>
    <w:lvl w:ilvl="0">
      <w:lvlJc w:val="left"/>
      <w:lvlText w:val="(%1)"/>
      <w:numFmt w:val="upperLetter"/>
      <w:start w:val="9"/>
    </w:lvl>
  </w:abstractNum>
  <w:abstractNum w:abstractNumId="422">
    <w:nsid w:val="72C4649F"/>
    <w:multiLevelType w:val="hybridMultilevel"/>
    <w:lvl w:ilvl="0">
      <w:lvlJc w:val="left"/>
      <w:lvlText w:val="%1"/>
      <w:numFmt w:val="decimal"/>
      <w:start w:val="1"/>
    </w:lvl>
    <w:lvl w:ilvl="1">
      <w:lvlJc w:val="left"/>
      <w:lvlText w:val="(%2)"/>
      <w:numFmt w:val="upperLetter"/>
      <w:start w:val="3"/>
    </w:lvl>
  </w:abstractNum>
  <w:abstractNum w:abstractNumId="423">
    <w:nsid w:val="7CD94321"/>
    <w:multiLevelType w:val="hybridMultilevel"/>
    <w:lvl w:ilvl="0">
      <w:lvlJc w:val="left"/>
      <w:lvlText w:val="(%1)"/>
      <w:numFmt w:val="decimal"/>
      <w:start w:val="2"/>
    </w:lvl>
    <w:lvl w:ilvl="1">
      <w:lvlJc w:val="left"/>
      <w:lvlText w:val="%2"/>
      <w:numFmt w:val="upperLetter"/>
      <w:start w:val="1"/>
    </w:lvl>
  </w:abstractNum>
  <w:abstractNum w:abstractNumId="424">
    <w:nsid w:val="13B3BDBC"/>
    <w:multiLevelType w:val="hybridMultilevel"/>
    <w:lvl w:ilvl="0">
      <w:lvlJc w:val="left"/>
      <w:lvlText w:val="(%1)"/>
      <w:numFmt w:val="lowerLetter"/>
      <w:start w:val="7"/>
    </w:lvl>
  </w:abstractNum>
  <w:abstractNum w:abstractNumId="425">
    <w:nsid w:val="4C488152"/>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426">
    <w:nsid w:val="153B9D13"/>
    <w:multiLevelType w:val="hybridMultilevel"/>
    <w:lvl w:ilvl="0">
      <w:lvlJc w:val="left"/>
      <w:lvlText w:val="(%1)"/>
      <w:numFmt w:val="decimal"/>
      <w:start w:val="6"/>
    </w:lvl>
  </w:abstractNum>
  <w:abstractNum w:abstractNumId="427">
    <w:nsid w:val="7D07B61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28">
    <w:nsid w:val="3A4BE92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429">
    <w:nsid w:val="1C7A2F4"/>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430">
    <w:nsid w:val="393B5076"/>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431">
    <w:nsid w:val="5F0E41DB"/>
    <w:multiLevelType w:val="hybridMultilevel"/>
    <w:lvl w:ilvl="0">
      <w:lvlJc w:val="left"/>
      <w:lvlText w:val="(%1)"/>
      <w:numFmt w:val="lowerLetter"/>
      <w:start w:val="3"/>
    </w:lvl>
  </w:abstractNum>
  <w:abstractNum w:abstractNumId="432">
    <w:nsid w:val="6C4DFAA4"/>
    <w:multiLevelType w:val="hybridMultilevel"/>
    <w:lvl w:ilvl="0">
      <w:lvlJc w:val="left"/>
      <w:lvlText w:val="(%1)"/>
      <w:numFmt w:val="lowerLetter"/>
      <w:start w:val="1"/>
    </w:lvl>
  </w:abstractNum>
  <w:abstractNum w:abstractNumId="433">
    <w:nsid w:val="C7C501F"/>
    <w:multiLevelType w:val="hybridMultilevel"/>
    <w:lvl w:ilvl="0">
      <w:lvlJc w:val="left"/>
      <w:lvlText w:val="(%1)"/>
      <w:numFmt w:val="decimal"/>
      <w:start w:val="1"/>
    </w:lvl>
  </w:abstractNum>
  <w:abstractNum w:abstractNumId="434">
    <w:nsid w:val="7244B239"/>
    <w:multiLevelType w:val="hybridMultilevel"/>
    <w:lvl w:ilvl="0">
      <w:lvlJc w:val="left"/>
      <w:lvlText w:val="(%1)"/>
      <w:numFmt w:val="decimal"/>
      <w:start w:val="1"/>
    </w:lvl>
  </w:abstractNum>
  <w:abstractNum w:abstractNumId="435">
    <w:nsid w:val="50B1BE08"/>
    <w:multiLevelType w:val="hybridMultilevel"/>
    <w:lvl w:ilvl="0">
      <w:lvlJc w:val="left"/>
      <w:lvlText w:val="(%1)"/>
      <w:numFmt w:val="decimal"/>
      <w:start w:val="2"/>
    </w:lvl>
  </w:abstractNum>
  <w:abstractNum w:abstractNumId="436">
    <w:nsid w:val="40F78FF3"/>
    <w:multiLevelType w:val="hybridMultilevel"/>
    <w:lvl w:ilvl="0">
      <w:lvlJc w:val="left"/>
      <w:lvlText w:val="(%1)"/>
      <w:numFmt w:val="lowerLetter"/>
      <w:start w:val="1"/>
    </w:lvl>
    <w:lvl w:ilvl="1">
      <w:lvlJc w:val="left"/>
      <w:lvlText w:val="(%2)"/>
      <w:numFmt w:val="decimal"/>
      <w:start w:val="1"/>
    </w:lvl>
  </w:abstractNum>
  <w:abstractNum w:abstractNumId="437">
    <w:nsid w:val="7F9F698A"/>
    <w:multiLevelType w:val="hybridMultilevel"/>
    <w:lvl w:ilvl="0">
      <w:lvlJc w:val="left"/>
      <w:lvlText w:val="(%1)"/>
      <w:numFmt w:val="lowerLetter"/>
      <w:start w:val="2"/>
    </w:lvl>
  </w:abstractNum>
  <w:abstractNum w:abstractNumId="438">
    <w:nsid w:val="5FD0822F"/>
    <w:multiLevelType w:val="hybridMultilevel"/>
    <w:lvl w:ilvl="0">
      <w:lvlJc w:val="left"/>
      <w:lvlText w:val="(%1)"/>
      <w:numFmt w:val="lowerLetter"/>
      <w:start w:val="5"/>
    </w:lvl>
  </w:abstractNum>
  <w:abstractNum w:abstractNumId="439">
    <w:nsid w:val="2D814889"/>
    <w:multiLevelType w:val="hybridMultilevel"/>
    <w:lvl w:ilvl="0">
      <w:lvlJc w:val="left"/>
      <w:lvlText w:val="(%1)"/>
      <w:numFmt w:val="decimal"/>
      <w:start w:val="1"/>
    </w:lvl>
  </w:abstractNum>
  <w:abstractNum w:abstractNumId="440">
    <w:nsid w:val="7DB18352"/>
    <w:multiLevelType w:val="hybridMultilevel"/>
    <w:lvl w:ilvl="0">
      <w:lvlJc w:val="left"/>
      <w:lvlText w:val="(%1)"/>
      <w:numFmt w:val="decimal"/>
      <w:start w:val="5"/>
    </w:lvl>
  </w:abstractNum>
  <w:abstractNum w:abstractNumId="441">
    <w:nsid w:val="5C243F1"/>
    <w:multiLevelType w:val="hybridMultilevel"/>
    <w:lvl w:ilvl="0">
      <w:lvlJc w:val="left"/>
      <w:lvlText w:val="(%1)"/>
      <w:numFmt w:val="decimal"/>
      <w:start w:val="1"/>
    </w:lvl>
  </w:abstractNum>
  <w:abstractNum w:abstractNumId="442">
    <w:nsid w:val="21BE2F84"/>
    <w:multiLevelType w:val="hybridMultilevel"/>
    <w:lvl w:ilvl="0">
      <w:lvlJc w:val="left"/>
      <w:lvlText w:val="(%1)"/>
      <w:numFmt w:val="decimal"/>
      <w:start w:val="1"/>
    </w:lvl>
  </w:abstractNum>
  <w:abstractNum w:abstractNumId="443">
    <w:nsid w:val="1E0491CD"/>
    <w:multiLevelType w:val="hybridMultilevel"/>
    <w:lvl w:ilvl="0">
      <w:lvlJc w:val="left"/>
      <w:lvlText w:val="(%1)"/>
      <w:numFmt w:val="decimal"/>
      <w:start w:val="1"/>
    </w:lvl>
  </w:abstractNum>
  <w:abstractNum w:abstractNumId="444">
    <w:nsid w:val="1A0ED871"/>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445">
    <w:nsid w:val="36D2D033"/>
    <w:multiLevelType w:val="hybridMultilevel"/>
    <w:lvl w:ilvl="0">
      <w:lvlJc w:val="left"/>
      <w:lvlText w:val="(%1)"/>
      <w:numFmt w:val="lowerLetter"/>
      <w:start w:val="1"/>
    </w:lvl>
    <w:lvl w:ilvl="1">
      <w:lvlJc w:val="left"/>
      <w:lvlText w:val="(%2)"/>
      <w:numFmt w:val="decimal"/>
      <w:start w:val="1"/>
    </w:lvl>
  </w:abstractNum>
  <w:abstractNum w:abstractNumId="446">
    <w:nsid w:val="73C7EB1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447">
    <w:nsid w:val="3EBCDCC"/>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48">
    <w:nsid w:val="43CEFB03"/>
    <w:multiLevelType w:val="hybridMultilevel"/>
    <w:lvl w:ilvl="0">
      <w:lvlJc w:val="left"/>
      <w:lvlText w:val="(%1)"/>
      <w:numFmt w:val="decimal"/>
      <w:start w:val="4"/>
    </w:lvl>
    <w:lvl w:ilvl="1">
      <w:lvlJc w:val="left"/>
      <w:lvlText w:val="(%2)"/>
      <w:numFmt w:val="lowerLetter"/>
      <w:start w:val="4"/>
    </w:lvl>
    <w:lvl w:ilvl="2">
      <w:lvlJc w:val="left"/>
      <w:lvlText w:val="%3"/>
      <w:numFmt w:val="decimal"/>
      <w:start w:val="1"/>
    </w:lvl>
  </w:abstractNum>
  <w:abstractNum w:abstractNumId="449">
    <w:nsid w:val="1C82652D"/>
    <w:multiLevelType w:val="hybridMultilevel"/>
    <w:lvl w:ilvl="0">
      <w:lvlJc w:val="left"/>
      <w:lvlText w:val="(%1)"/>
      <w:numFmt w:val="lowerLetter"/>
      <w:start w:val="5"/>
    </w:lvl>
  </w:abstractNum>
  <w:abstractNum w:abstractNumId="450">
    <w:nsid w:val="2C73E35D"/>
    <w:multiLevelType w:val="hybridMultilevel"/>
    <w:lvl w:ilvl="0">
      <w:lvlJc w:val="left"/>
      <w:lvlText w:val="%1"/>
      <w:numFmt w:val="decimal"/>
      <w:start w:val="1"/>
    </w:lvl>
    <w:lvl w:ilvl="1">
      <w:lvlJc w:val="left"/>
      <w:lvlText w:val="(%2)"/>
      <w:numFmt w:val="lowerLetter"/>
      <w:start w:val="1"/>
    </w:lvl>
  </w:abstractNum>
  <w:abstractNum w:abstractNumId="451">
    <w:nsid w:val="3AFA746F"/>
    <w:multiLevelType w:val="hybridMultilevel"/>
    <w:lvl w:ilvl="0">
      <w:lvlJc w:val="left"/>
      <w:lvlText w:val="(%1)"/>
      <w:numFmt w:val="decimal"/>
      <w:start w:val="5"/>
    </w:lvl>
    <w:lvl w:ilvl="1">
      <w:lvlJc w:val="left"/>
      <w:lvlText w:val="%2"/>
      <w:numFmt w:val="lowerLetter"/>
      <w:start w:val="1"/>
    </w:lvl>
  </w:abstractNum>
  <w:abstractNum w:abstractNumId="452">
    <w:nsid w:val="3A849116"/>
    <w:multiLevelType w:val="hybridMultilevel"/>
    <w:lvl w:ilvl="0">
      <w:lvlJc w:val="left"/>
      <w:lvlText w:val="(%1)"/>
      <w:numFmt w:val="lowerLetter"/>
      <w:start w:val="1"/>
    </w:lvl>
    <w:lvl w:ilvl="1">
      <w:lvlJc w:val="left"/>
      <w:lvlText w:val="(%2)"/>
      <w:numFmt w:val="decimal"/>
      <w:start w:val="1"/>
    </w:lvl>
  </w:abstractNum>
  <w:abstractNum w:abstractNumId="453">
    <w:nsid w:val="1F3847FC"/>
    <w:multiLevelType w:val="hybridMultilevel"/>
    <w:lvl w:ilvl="0">
      <w:lvlJc w:val="left"/>
      <w:lvlText w:val="(%1)"/>
      <w:numFmt w:val="upperLetter"/>
      <w:start w:val="1"/>
    </w:lvl>
    <w:lvl w:ilvl="1">
      <w:lvlJc w:val="left"/>
      <w:lvlText w:val="(%2)"/>
      <w:numFmt w:val="lowerRoman"/>
      <w:start w:val="1"/>
    </w:lvl>
  </w:abstractNum>
  <w:abstractNum w:abstractNumId="454">
    <w:nsid w:val="37D3B790"/>
    <w:multiLevelType w:val="hybridMultilevel"/>
    <w:lvl w:ilvl="0">
      <w:lvlJc w:val="left"/>
      <w:lvlText w:val="%1"/>
      <w:numFmt w:val="lowerLetter"/>
      <w:start w:val="1"/>
    </w:lvl>
    <w:lvl w:ilvl="1">
      <w:lvlJc w:val="left"/>
      <w:lvlText w:val="(%2)"/>
      <w:numFmt w:val="lowerLetter"/>
      <w:start w:val="61"/>
    </w:lvl>
  </w:abstractNum>
  <w:abstractNum w:abstractNumId="455">
    <w:nsid w:val="4E384ED3"/>
    <w:multiLevelType w:val="hybridMultilevel"/>
    <w:lvl w:ilvl="0">
      <w:lvlJc w:val="left"/>
      <w:lvlText w:val="(%1)"/>
      <w:numFmt w:val="lowerLetter"/>
      <w:start w:val="26"/>
    </w:lvl>
    <w:lvl w:ilvl="1">
      <w:lvlJc w:val="left"/>
      <w:lvlText w:val="%2"/>
      <w:numFmt w:val="lowerLetter"/>
      <w:start w:val="1"/>
    </w:lvl>
  </w:abstractNum>
  <w:abstractNum w:abstractNumId="456">
    <w:nsid w:val="6B80C94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457">
    <w:nsid w:val="4D0F54A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58">
    <w:nsid w:val="4B4004EE"/>
    <w:multiLevelType w:val="hybridMultilevel"/>
    <w:lvl w:ilvl="0">
      <w:lvlJc w:val="left"/>
      <w:lvlText w:val="(%1)"/>
      <w:numFmt w:val="decimal"/>
      <w:start w:val="5"/>
    </w:lvl>
    <w:lvl w:ilvl="1">
      <w:lvlJc w:val="left"/>
      <w:lvlText w:val="(%2)"/>
      <w:numFmt w:val="upperLetter"/>
      <w:start w:val="1"/>
    </w:lvl>
  </w:abstractNum>
  <w:abstractNum w:abstractNumId="459">
    <w:nsid w:val="25CCB279"/>
    <w:multiLevelType w:val="hybridMultilevel"/>
    <w:lvl w:ilvl="0">
      <w:lvlJc w:val="left"/>
      <w:lvlText w:val="(%1)"/>
      <w:numFmt w:val="decimal"/>
      <w:start w:val="13"/>
    </w:lvl>
  </w:abstractNum>
  <w:abstractNum w:abstractNumId="460">
    <w:nsid w:val="4ED6F798"/>
    <w:multiLevelType w:val="hybridMultilevel"/>
    <w:lvl w:ilvl="0">
      <w:lvlJc w:val="left"/>
      <w:lvlText w:val="(%1)"/>
      <w:numFmt w:val="lowerLetter"/>
      <w:start w:val="1"/>
    </w:lvl>
    <w:lvl w:ilvl="1">
      <w:lvlJc w:val="left"/>
      <w:lvlText w:val="(%2)"/>
      <w:numFmt w:val="decimal"/>
      <w:start w:val="1"/>
    </w:lvl>
  </w:abstractNum>
  <w:abstractNum w:abstractNumId="461">
    <w:nsid w:val="47B5565"/>
    <w:multiLevelType w:val="hybridMultilevel"/>
    <w:lvl w:ilvl="0">
      <w:lvlJc w:val="left"/>
      <w:lvlText w:val="%1"/>
      <w:numFmt w:val="lowerLetter"/>
      <w:start w:val="1"/>
    </w:lvl>
    <w:lvl w:ilvl="1">
      <w:lvlJc w:val="left"/>
      <w:lvlText w:val="(%2)"/>
      <w:numFmt w:val="decimal"/>
      <w:start w:val="2"/>
    </w:lvl>
  </w:abstractNum>
  <w:abstractNum w:abstractNumId="462">
    <w:nsid w:val="4DAF454"/>
    <w:multiLevelType w:val="hybridMultilevel"/>
    <w:lvl w:ilvl="0">
      <w:lvlJc w:val="left"/>
      <w:lvlText w:val="(%1)"/>
      <w:numFmt w:val="lowerLetter"/>
      <w:start w:val="2"/>
    </w:lvl>
    <w:lvl w:ilvl="1">
      <w:lvlJc w:val="left"/>
      <w:lvlText w:val="(%2)"/>
      <w:numFmt w:val="decimal"/>
      <w:start w:val="1"/>
    </w:lvl>
  </w:abstractNum>
  <w:abstractNum w:abstractNumId="463">
    <w:nsid w:val="3B24F23C"/>
    <w:multiLevelType w:val="hybridMultilevel"/>
    <w:lvl w:ilvl="0">
      <w:lvlJc w:val="left"/>
      <w:lvlText w:val="(%1)"/>
      <w:numFmt w:val="decimal"/>
      <w:start w:val="10"/>
    </w:lvl>
  </w:abstractNum>
  <w:abstractNum w:abstractNumId="464">
    <w:nsid w:val="10F7A584"/>
    <w:multiLevelType w:val="hybridMultilevel"/>
    <w:lvl w:ilvl="0">
      <w:lvlJc w:val="left"/>
      <w:lvlText w:val="(%1)"/>
      <w:numFmt w:val="lowerLetter"/>
      <w:start w:val="1"/>
    </w:lvl>
    <w:lvl w:ilvl="1">
      <w:lvlJc w:val="left"/>
      <w:lvlText w:val="(%2)"/>
      <w:numFmt w:val="decimal"/>
      <w:start w:val="1"/>
    </w:lvl>
  </w:abstractNum>
  <w:abstractNum w:abstractNumId="465">
    <w:nsid w:val="771FA68D"/>
    <w:multiLevelType w:val="hybridMultilevel"/>
    <w:lvl w:ilvl="0">
      <w:lvlJc w:val="left"/>
      <w:lvlText w:val="(%1)"/>
      <w:numFmt w:val="decimal"/>
      <w:start w:val="2"/>
    </w:lvl>
    <w:lvl w:ilvl="1">
      <w:lvlJc w:val="left"/>
      <w:lvlText w:val="(%2)"/>
      <w:numFmt w:val="upperLetter"/>
      <w:start w:val="1"/>
    </w:lvl>
  </w:abstractNum>
  <w:abstractNum w:abstractNumId="466">
    <w:nsid w:val="BD6B044"/>
    <w:multiLevelType w:val="hybridMultilevel"/>
    <w:lvl w:ilvl="0">
      <w:lvlJc w:val="left"/>
      <w:lvlText w:val="%1"/>
      <w:numFmt w:val="decimal"/>
      <w:start w:val="1"/>
    </w:lvl>
    <w:lvl w:ilvl="1">
      <w:lvlJc w:val="left"/>
      <w:lvlText w:val="%2"/>
      <w:numFmt w:val="decimal"/>
      <w:start w:val="1"/>
    </w:lvl>
    <w:lvl w:ilvl="2">
      <w:lvlJc w:val="left"/>
      <w:lvlText w:val="(%3)"/>
      <w:numFmt w:val="upperLetter"/>
      <w:start w:val="2"/>
    </w:lvl>
  </w:abstractNum>
  <w:abstractNum w:abstractNumId="467">
    <w:nsid w:val="51EF3577"/>
    <w:multiLevelType w:val="hybridMultilevel"/>
    <w:lvl w:ilvl="0">
      <w:lvlJc w:val="left"/>
      <w:lvlText w:val="%1"/>
      <w:numFmt w:val="decimal"/>
      <w:start w:val="1"/>
    </w:lvl>
    <w:lvl w:ilvl="1">
      <w:lvlJc w:val="left"/>
      <w:lvlText w:val="(%2)"/>
      <w:numFmt w:val="decimal"/>
      <w:start w:val="8"/>
    </w:lvl>
    <w:lvl w:ilvl="2">
      <w:lvlJc w:val="left"/>
      <w:lvlText w:val="(%3)"/>
      <w:numFmt w:val="upperLetter"/>
      <w:start w:val="1"/>
    </w:lvl>
  </w:abstractNum>
  <w:abstractNum w:abstractNumId="468">
    <w:nsid w:val="76BF1017"/>
    <w:multiLevelType w:val="hybridMultilevel"/>
    <w:lvl w:ilvl="0">
      <w:lvlJc w:val="left"/>
      <w:lvlText w:val="(%1)"/>
      <w:numFmt w:val="decimal"/>
      <w:start w:val="22"/>
    </w:lvl>
    <w:lvl w:ilvl="1">
      <w:lvlJc w:val="left"/>
      <w:lvlText w:val="(%2)"/>
      <w:numFmt w:val="decimal"/>
      <w:start w:val="16"/>
    </w:lvl>
    <w:lvl w:ilvl="2">
      <w:lvlJc w:val="left"/>
      <w:lvlText w:val="%3"/>
      <w:numFmt w:val="upperLetter"/>
      <w:start w:val="1"/>
    </w:lvl>
  </w:abstractNum>
  <w:abstractNum w:abstractNumId="469">
    <w:nsid w:val="6BA73274"/>
    <w:multiLevelType w:val="hybridMultilevel"/>
    <w:lvl w:ilvl="0">
      <w:lvlJc w:val="left"/>
      <w:lvlText w:val="(%1)"/>
      <w:numFmt w:val="decimal"/>
      <w:start w:val="17"/>
    </w:lvl>
  </w:abstractNum>
  <w:abstractNum w:abstractNumId="470">
    <w:nsid w:val="7F707E01"/>
    <w:multiLevelType w:val="hybridMultilevel"/>
    <w:lvl w:ilvl="0">
      <w:lvlJc w:val="left"/>
      <w:lvlText w:val="(%1)"/>
      <w:numFmt w:val="decimal"/>
      <w:start w:val="1"/>
    </w:lvl>
  </w:abstractNum>
  <w:abstractNum w:abstractNumId="471">
    <w:nsid w:val="7470936A"/>
    <w:multiLevelType w:val="hybridMultilevel"/>
    <w:lvl w:ilvl="0">
      <w:lvlJc w:val="left"/>
      <w:lvlText w:val="(%1)"/>
      <w:numFmt w:val="decimal"/>
      <w:start w:val="3"/>
    </w:lvl>
    <w:lvl w:ilvl="1">
      <w:lvlJc w:val="left"/>
      <w:lvlText w:val="(%2)"/>
      <w:numFmt w:val="upperLetter"/>
      <w:start w:val="1"/>
    </w:lvl>
  </w:abstractNum>
  <w:abstractNum w:abstractNumId="472">
    <w:nsid w:val="7169766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73">
    <w:nsid w:val="212EAD8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474">
    <w:nsid w:val="12752537"/>
    <w:multiLevelType w:val="hybridMultilevel"/>
    <w:lvl w:ilvl="0">
      <w:lvlJc w:val="left"/>
      <w:lvlText w:val="%1"/>
      <w:numFmt w:val="decimal"/>
      <w:start w:val="1"/>
    </w:lvl>
    <w:lvl w:ilvl="1">
      <w:lvlJc w:val="left"/>
      <w:lvlText w:val="(%2)"/>
      <w:numFmt w:val="decimal"/>
      <w:start w:val="3"/>
    </w:lvl>
  </w:abstractNum>
  <w:abstractNum w:abstractNumId="475">
    <w:nsid w:val="B784ED6"/>
    <w:multiLevelType w:val="hybridMultilevel"/>
    <w:lvl w:ilvl="0">
      <w:lvlJc w:val="left"/>
      <w:lvlText w:val="(%1)"/>
      <w:numFmt w:val="decimal"/>
      <w:start w:val="3"/>
    </w:lvl>
    <w:lvl w:ilvl="1">
      <w:lvlJc w:val="left"/>
      <w:lvlText w:val="%2"/>
      <w:numFmt w:val="decimal"/>
      <w:start w:val="1"/>
    </w:lvl>
  </w:abstractNum>
  <w:abstractNum w:abstractNumId="476">
    <w:nsid w:val="58017DB8"/>
    <w:multiLevelType w:val="hybridMultilevel"/>
    <w:lvl w:ilvl="0">
      <w:lvlJc w:val="left"/>
      <w:lvlText w:val="(%1)"/>
      <w:numFmt w:val="lowerLetter"/>
      <w:start w:val="3"/>
    </w:lvl>
  </w:abstractNum>
  <w:abstractNum w:abstractNumId="477">
    <w:nsid w:val="63D105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78">
    <w:nsid w:val="F641CA2"/>
    <w:multiLevelType w:val="hybridMultilevel"/>
    <w:lvl w:ilvl="0">
      <w:lvlJc w:val="left"/>
      <w:lvlText w:val="(%1)"/>
      <w:numFmt w:val="decimal"/>
      <w:start w:val="1"/>
    </w:lvl>
  </w:abstractNum>
  <w:abstractNum w:abstractNumId="479">
    <w:nsid w:val="1BD078BB"/>
    <w:multiLevelType w:val="hybridMultilevel"/>
    <w:lvl w:ilvl="0">
      <w:lvlJc w:val="left"/>
      <w:lvlText w:val="%1"/>
      <w:numFmt w:val="lowerLetter"/>
      <w:start w:val="1"/>
    </w:lvl>
    <w:lvl w:ilvl="1">
      <w:lvlJc w:val="left"/>
      <w:lvlText w:val="(%2)"/>
      <w:numFmt w:val="decimal"/>
      <w:start w:val="7"/>
    </w:lvl>
  </w:abstractNum>
  <w:abstractNum w:abstractNumId="480">
    <w:nsid w:val="22BF757E"/>
    <w:multiLevelType w:val="hybridMultilevel"/>
    <w:lvl w:ilvl="0">
      <w:lvlJc w:val="left"/>
      <w:lvlText w:val="(%1)"/>
      <w:numFmt w:val="lowerLetter"/>
      <w:start w:val="1"/>
    </w:lvl>
    <w:lvl w:ilvl="1">
      <w:lvlJc w:val="left"/>
      <w:lvlText w:val="(%2)"/>
      <w:numFmt w:val="decimal"/>
      <w:start w:val="11"/>
    </w:lvl>
  </w:abstractNum>
  <w:abstractNum w:abstractNumId="481">
    <w:nsid w:val="3BD80000"/>
    <w:multiLevelType w:val="hybridMultilevel"/>
    <w:lvl w:ilvl="0">
      <w:lvlJc w:val="left"/>
      <w:lvlText w:val="(%1)"/>
      <w:numFmt w:val="decimal"/>
      <w:start w:val="14"/>
    </w:lvl>
  </w:abstractNum>
  <w:abstractNum w:abstractNumId="482">
    <w:nsid w:val="56CAED2B"/>
    <w:multiLevelType w:val="hybridMultilevel"/>
    <w:lvl w:ilvl="0">
      <w:lvlJc w:val="left"/>
      <w:lvlText w:val="(%1)"/>
      <w:numFmt w:val="decimal"/>
      <w:start w:val="1"/>
    </w:lvl>
  </w:abstractNum>
  <w:abstractNum w:abstractNumId="483">
    <w:nsid w:val="5D440695"/>
    <w:multiLevelType w:val="hybridMultilevel"/>
    <w:lvl w:ilvl="0">
      <w:lvlJc w:val="left"/>
      <w:lvlText w:val="(%1)"/>
      <w:numFmt w:val="lowerLetter"/>
      <w:start w:val="1"/>
    </w:lvl>
    <w:lvl w:ilvl="1">
      <w:lvlJc w:val="left"/>
      <w:lvlText w:val="(%2)"/>
      <w:numFmt w:val="decimal"/>
      <w:start w:val="1"/>
    </w:lvl>
  </w:abstractNum>
  <w:abstractNum w:abstractNumId="484">
    <w:nsid w:val="5B1047FC"/>
    <w:multiLevelType w:val="hybridMultilevel"/>
    <w:lvl w:ilvl="0">
      <w:lvlJc w:val="left"/>
      <w:lvlText w:val="%1"/>
      <w:numFmt w:val="lowerLetter"/>
      <w:start w:val="1"/>
    </w:lvl>
    <w:lvl w:ilvl="1">
      <w:lvlJc w:val="left"/>
      <w:lvlText w:val="(%2)"/>
      <w:numFmt w:val="decimal"/>
      <w:start w:val="2"/>
    </w:lvl>
  </w:abstractNum>
  <w:abstractNum w:abstractNumId="485">
    <w:nsid w:val="E9EA4BB"/>
    <w:multiLevelType w:val="hybridMultilevel"/>
    <w:lvl w:ilvl="0">
      <w:lvlJc w:val="left"/>
      <w:lvlText w:val="(%1)"/>
      <w:numFmt w:val="lowerLetter"/>
      <w:start w:val="2"/>
    </w:lvl>
    <w:lvl w:ilvl="1">
      <w:lvlJc w:val="left"/>
      <w:lvlText w:val="(%2)"/>
      <w:numFmt w:val="decimal"/>
      <w:start w:val="1"/>
    </w:lvl>
  </w:abstractNum>
  <w:abstractNum w:abstractNumId="486">
    <w:nsid w:val="2B7C5568"/>
    <w:multiLevelType w:val="hybridMultilevel"/>
    <w:lvl w:ilvl="0">
      <w:lvlJc w:val="left"/>
      <w:lvlText w:val="%1"/>
      <w:numFmt w:val="decimal"/>
      <w:start w:val="1"/>
    </w:lvl>
    <w:lvl w:ilvl="1">
      <w:lvlJc w:val="left"/>
      <w:lvlText w:val="(%2)"/>
      <w:numFmt w:val="lowerLetter"/>
      <w:start w:val="3"/>
    </w:lvl>
  </w:abstractNum>
  <w:abstractNum w:abstractNumId="487">
    <w:nsid w:val="4691114B"/>
    <w:multiLevelType w:val="hybridMultilevel"/>
    <w:lvl w:ilvl="0">
      <w:lvlJc w:val="left"/>
      <w:lvlText w:val="(%1)"/>
      <w:numFmt w:val="decimal"/>
      <w:start w:val="2"/>
    </w:lvl>
    <w:lvl w:ilvl="1">
      <w:lvlJc w:val="left"/>
      <w:lvlText w:val="(%2)"/>
      <w:numFmt w:val="lowerLetter"/>
      <w:start w:val="4"/>
    </w:lvl>
  </w:abstractNum>
  <w:abstractNum w:abstractNumId="488">
    <w:nsid w:val="5BADF95F"/>
    <w:multiLevelType w:val="hybridMultilevel"/>
    <w:lvl w:ilvl="0">
      <w:lvlJc w:val="left"/>
      <w:lvlText w:val="(%1)"/>
      <w:numFmt w:val="lowerLetter"/>
      <w:start w:val="5"/>
    </w:lvl>
  </w:abstractNum>
  <w:abstractNum w:abstractNumId="489">
    <w:nsid w:val="76BC5A56"/>
    <w:multiLevelType w:val="hybridMultilevel"/>
    <w:lvl w:ilvl="0">
      <w:lvlJc w:val="left"/>
      <w:lvlText w:val="(%1)"/>
      <w:numFmt w:val="lowerLetter"/>
      <w:start w:val="1"/>
    </w:lvl>
    <w:lvl w:ilvl="1">
      <w:lvlJc w:val="left"/>
      <w:lvlText w:val="(%2)"/>
      <w:numFmt w:val="decimal"/>
      <w:start w:val="1"/>
    </w:lvl>
  </w:abstractNum>
  <w:abstractNum w:abstractNumId="490">
    <w:nsid w:val="6C5DC3C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491">
    <w:nsid w:val="2A84F0F7"/>
    <w:multiLevelType w:val="hybridMultilevel"/>
    <w:lvl w:ilvl="0">
      <w:lvlJc w:val="left"/>
      <w:lvlText w:val="(%1)"/>
      <w:numFmt w:val="lowerLetter"/>
      <w:start w:val="1"/>
    </w:lvl>
    <w:lvl w:ilvl="1">
      <w:lvlJc w:val="left"/>
      <w:lvlText w:val="(%2)"/>
      <w:numFmt w:val="decimal"/>
      <w:start w:val="1"/>
    </w:lvl>
  </w:abstractNum>
  <w:abstractNum w:abstractNumId="492">
    <w:nsid w:val="7B37AFBB"/>
    <w:multiLevelType w:val="hybridMultilevel"/>
    <w:lvl w:ilvl="0">
      <w:lvlJc w:val="left"/>
      <w:lvlText w:val="(%1)"/>
      <w:numFmt w:val="lowerLetter"/>
      <w:start w:val="3"/>
    </w:lvl>
    <w:lvl w:ilvl="1">
      <w:lvlJc w:val="left"/>
      <w:lvlText w:val="(%2)"/>
      <w:numFmt w:val="decimal"/>
      <w:start w:val="1"/>
    </w:lvl>
  </w:abstractNum>
  <w:abstractNum w:abstractNumId="493">
    <w:nsid w:val="7138B819"/>
    <w:multiLevelType w:val="hybridMultilevel"/>
    <w:lvl w:ilvl="0">
      <w:lvlJc w:val="left"/>
      <w:lvlText w:val="(%1)"/>
      <w:numFmt w:val="decimal"/>
      <w:start w:val="1"/>
    </w:lvl>
  </w:abstractNum>
  <w:abstractNum w:abstractNumId="494">
    <w:nsid w:val="65A9E333"/>
    <w:multiLevelType w:val="hybridMultilevel"/>
    <w:lvl w:ilvl="0">
      <w:lvlJc w:val="left"/>
      <w:lvlText w:val="%1"/>
      <w:numFmt w:val="upperLetter"/>
      <w:start w:val="1"/>
    </w:lvl>
    <w:lvl w:ilvl="1">
      <w:lvlJc w:val="left"/>
      <w:lvlText w:val="(%2)"/>
      <w:numFmt w:val="lowerLetter"/>
      <w:start w:val="1"/>
    </w:lvl>
  </w:abstractNum>
  <w:abstractNum w:abstractNumId="495">
    <w:nsid w:val="C2F5540"/>
    <w:multiLevelType w:val="hybridMultilevel"/>
    <w:lvl w:ilvl="0">
      <w:lvlJc w:val="left"/>
      <w:lvlText w:val="(%1)"/>
      <w:numFmt w:val="upperLetter"/>
      <w:start w:val="3"/>
    </w:lvl>
    <w:lvl w:ilvl="1">
      <w:lvlJc w:val="left"/>
      <w:lvlText w:val="%2"/>
      <w:numFmt w:val="lowerLetter"/>
      <w:start w:val="1"/>
    </w:lvl>
  </w:abstractNum>
  <w:abstractNum w:abstractNumId="496">
    <w:nsid w:val="68585EA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97">
    <w:nsid w:val="7180937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498">
    <w:nsid w:val="5E1E8AB7"/>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499">
    <w:nsid w:val="5F176EB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500">
    <w:nsid w:val="5D27C5E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01">
    <w:nsid w:val="5D8F08B8"/>
    <w:multiLevelType w:val="hybridMultilevel"/>
    <w:lvl w:ilvl="0">
      <w:lvlJc w:val="left"/>
      <w:lvlText w:val="(%1)"/>
      <w:numFmt w:val="decimal"/>
      <w:start w:val="6"/>
    </w:lvl>
  </w:abstractNum>
  <w:abstractNum w:abstractNumId="502">
    <w:nsid w:val="53880228"/>
    <w:multiLevelType w:val="hybridMultilevel"/>
    <w:lvl w:ilvl="0">
      <w:lvlJc w:val="left"/>
      <w:lvlText w:val="(%1)"/>
      <w:numFmt w:val="decimal"/>
      <w:start w:val="7"/>
    </w:lvl>
    <w:lvl w:ilvl="1">
      <w:lvlJc w:val="left"/>
      <w:lvlText w:val="(%2)"/>
      <w:numFmt w:val="upperLetter"/>
      <w:start w:val="1"/>
    </w:lvl>
  </w:abstractNum>
  <w:abstractNum w:abstractNumId="503">
    <w:nsid w:val="4E913C51"/>
    <w:multiLevelType w:val="hybridMultilevel"/>
    <w:lvl w:ilvl="0">
      <w:lvlJc w:val="left"/>
      <w:lvlText w:val="(%1)"/>
      <w:numFmt w:val="lowerLetter"/>
      <w:start w:val="1"/>
    </w:lvl>
    <w:lvl w:ilvl="1">
      <w:lvlJc w:val="left"/>
      <w:lvlText w:val="(%2)"/>
      <w:numFmt w:val="decimal"/>
      <w:start w:val="1"/>
    </w:lvl>
  </w:abstractNum>
  <w:abstractNum w:abstractNumId="504">
    <w:nsid w:val="7EBDB63D"/>
    <w:multiLevelType w:val="hybridMultilevel"/>
    <w:lvl w:ilvl="0">
      <w:lvlJc w:val="left"/>
      <w:lvlText w:val="%1"/>
      <w:numFmt w:val="lowerLetter"/>
      <w:start w:val="1"/>
    </w:lvl>
    <w:lvl w:ilvl="1">
      <w:lvlJc w:val="left"/>
      <w:lvlText w:val="(%2)"/>
      <w:numFmt w:val="decimal"/>
      <w:start w:val="3"/>
    </w:lvl>
  </w:abstractNum>
  <w:abstractNum w:abstractNumId="505">
    <w:nsid w:val="65FD275F"/>
    <w:multiLevelType w:val="hybridMultilevel"/>
    <w:lvl w:ilvl="0">
      <w:lvlJc w:val="left"/>
      <w:lvlText w:val="(%1)"/>
      <w:numFmt w:val="lowerLetter"/>
      <w:start w:val="2"/>
    </w:lvl>
    <w:lvl w:ilvl="1">
      <w:lvlJc w:val="left"/>
      <w:lvlText w:val="%2"/>
      <w:numFmt w:val="decimal"/>
      <w:start w:val="1"/>
    </w:lvl>
  </w:abstractNum>
  <w:abstractNum w:abstractNumId="506">
    <w:nsid w:val="5A098B27"/>
    <w:multiLevelType w:val="hybridMultilevel"/>
    <w:lvl w:ilvl="0">
      <w:lvlJc w:val="left"/>
      <w:lvlText w:val="(%1)"/>
      <w:numFmt w:val="lowerLetter"/>
      <w:start w:val="1"/>
    </w:lvl>
    <w:lvl w:ilvl="1">
      <w:lvlJc w:val="left"/>
      <w:lvlText w:val="(%2)"/>
      <w:numFmt w:val="decimal"/>
      <w:start w:val="1"/>
    </w:lvl>
  </w:abstractNum>
  <w:abstractNum w:abstractNumId="507">
    <w:nsid w:val="56BF33F6"/>
    <w:multiLevelType w:val="hybridMultilevel"/>
    <w:lvl w:ilvl="0">
      <w:lvlJc w:val="left"/>
      <w:lvlText w:val="(%1)"/>
      <w:numFmt w:val="lowerLetter"/>
      <w:start w:val="3"/>
    </w:lvl>
    <w:lvl w:ilvl="1">
      <w:lvlJc w:val="left"/>
      <w:lvlText w:val="(%2)"/>
      <w:numFmt w:val="decimal"/>
      <w:start w:val="1"/>
    </w:lvl>
  </w:abstractNum>
  <w:abstractNum w:abstractNumId="508">
    <w:nsid w:val="6C3A37B1"/>
    <w:multiLevelType w:val="hybridMultilevel"/>
    <w:lvl w:ilvl="0">
      <w:lvlJc w:val="left"/>
      <w:lvlText w:val="(%1)"/>
      <w:numFmt w:val="lowerLetter"/>
      <w:start w:val="1"/>
    </w:lvl>
  </w:abstractNum>
  <w:abstractNum w:abstractNumId="509">
    <w:nsid w:val="696DA7C9"/>
    <w:multiLevelType w:val="hybridMultilevel"/>
    <w:lvl w:ilvl="0">
      <w:lvlJc w:val="left"/>
      <w:lvlText w:val="(%1)"/>
      <w:numFmt w:val="lowerLetter"/>
      <w:start w:val="8"/>
    </w:lvl>
  </w:abstractNum>
  <w:abstractNum w:abstractNumId="510">
    <w:nsid w:val="728FACB1"/>
    <w:multiLevelType w:val="hybridMultilevel"/>
    <w:lvl w:ilvl="0">
      <w:lvlJc w:val="left"/>
      <w:lvlText w:val="(%1)"/>
      <w:numFmt w:val="lowerLetter"/>
      <w:start w:val="17"/>
    </w:lvl>
  </w:abstractNum>
  <w:abstractNum w:abstractNumId="511">
    <w:nsid w:val="EF9AD2F"/>
    <w:multiLevelType w:val="hybridMultilevel"/>
    <w:lvl w:ilvl="0">
      <w:lvlJc w:val="left"/>
      <w:lvlText w:val="(%1)"/>
      <w:numFmt w:val="lowerLetter"/>
      <w:start w:val="1"/>
    </w:lvl>
  </w:abstractNum>
  <w:abstractNum w:abstractNumId="512">
    <w:nsid w:val="2545A7C9"/>
    <w:multiLevelType w:val="hybridMultilevel"/>
    <w:lvl w:ilvl="0">
      <w:lvlJc w:val="left"/>
      <w:lvlText w:val="(%1)"/>
      <w:numFmt w:val="lowerLetter"/>
      <w:start w:val="2"/>
    </w:lvl>
  </w:abstractNum>
  <w:abstractNum w:abstractNumId="513">
    <w:nsid w:val="495A99DC"/>
    <w:multiLevelType w:val="hybridMultilevel"/>
    <w:lvl w:ilvl="0">
      <w:lvlJc w:val="left"/>
      <w:lvlText w:val="(%1)"/>
      <w:numFmt w:val="lowerLetter"/>
      <w:start w:val="1"/>
    </w:lvl>
  </w:abstractNum>
  <w:abstractNum w:abstractNumId="514">
    <w:nsid w:val="6C3DB3C4"/>
    <w:multiLevelType w:val="hybridMultilevel"/>
    <w:lvl w:ilvl="0">
      <w:lvlJc w:val="left"/>
      <w:lvlText w:val="(%1)"/>
      <w:numFmt w:val="lowerLetter"/>
      <w:start w:val="3"/>
    </w:lvl>
  </w:abstractNum>
  <w:abstractNum w:abstractNumId="515">
    <w:nsid w:val="55EFC6"/>
    <w:multiLevelType w:val="hybridMultilevel"/>
    <w:lvl w:ilvl="0">
      <w:lvlJc w:val="left"/>
      <w:lvlText w:val="(%1)"/>
      <w:numFmt w:val="lowerLetter"/>
      <w:start w:val="1"/>
    </w:lvl>
    <w:lvl w:ilvl="1">
      <w:lvlJc w:val="left"/>
      <w:lvlText w:val="(%2)"/>
      <w:numFmt w:val="decimal"/>
      <w:start w:val="1"/>
    </w:lvl>
  </w:abstractNum>
  <w:abstractNum w:abstractNumId="516">
    <w:nsid w:val="57F93E98"/>
    <w:multiLevelType w:val="hybridMultilevel"/>
    <w:lvl w:ilvl="0">
      <w:lvlJc w:val="left"/>
      <w:lvlText w:val="(%1)"/>
      <w:numFmt w:val="lowerLetter"/>
      <w:start w:val="1"/>
    </w:lvl>
    <w:lvl w:ilvl="1">
      <w:lvlJc w:val="left"/>
      <w:lvlText w:val="(%2)"/>
      <w:numFmt w:val="decimal"/>
      <w:start w:val="1"/>
    </w:lvl>
  </w:abstractNum>
  <w:abstractNum w:abstractNumId="517">
    <w:nsid w:val="17BA092C"/>
    <w:multiLevelType w:val="hybridMultilevel"/>
    <w:lvl w:ilvl="0">
      <w:lvlJc w:val="left"/>
      <w:lvlText w:val="(%1)"/>
      <w:numFmt w:val="lowerLetter"/>
      <w:start w:val="4"/>
    </w:lvl>
  </w:abstractNum>
  <w:abstractNum w:abstractNumId="518">
    <w:nsid w:val="46E70111"/>
    <w:multiLevelType w:val="hybridMultilevel"/>
    <w:lvl w:ilvl="0">
      <w:lvlJc w:val="left"/>
      <w:lvlText w:val="(%1)"/>
      <w:numFmt w:val="lowerLetter"/>
      <w:start w:val="2"/>
    </w:lvl>
  </w:abstractNum>
  <w:abstractNum w:abstractNumId="519">
    <w:nsid w:val="33A737F7"/>
    <w:multiLevelType w:val="hybridMultilevel"/>
    <w:lvl w:ilvl="0">
      <w:lvlJc w:val="left"/>
      <w:lvlText w:val="(%1)"/>
      <w:numFmt w:val="decimal"/>
      <w:start w:val="1"/>
    </w:lvl>
  </w:abstractNum>
  <w:abstractNum w:abstractNumId="520">
    <w:nsid w:val="E766383"/>
    <w:multiLevelType w:val="hybridMultilevel"/>
    <w:lvl w:ilvl="0">
      <w:lvlJc w:val="left"/>
      <w:lvlText w:val="(%1)"/>
      <w:numFmt w:val="decimal"/>
      <w:start w:val="1"/>
    </w:lvl>
  </w:abstractNum>
  <w:abstractNum w:abstractNumId="521">
    <w:nsid w:val="3344C4D6"/>
    <w:multiLevelType w:val="hybridMultilevel"/>
    <w:lvl w:ilvl="0">
      <w:lvlJc w:val="left"/>
      <w:lvlText w:val="(%1)"/>
      <w:numFmt w:val="decimal"/>
      <w:start w:val="2"/>
    </w:lvl>
    <w:lvl w:ilvl="1">
      <w:lvlJc w:val="left"/>
      <w:lvlText w:val="(%2)"/>
      <w:numFmt w:val="upperLetter"/>
      <w:start w:val="1"/>
    </w:lvl>
  </w:abstractNum>
  <w:abstractNum w:abstractNumId="522">
    <w:nsid w:val="5E2C28EE"/>
    <w:multiLevelType w:val="hybridMultilevel"/>
    <w:lvl w:ilvl="0">
      <w:lvlJc w:val="left"/>
      <w:lvlText w:val="(%1)"/>
      <w:numFmt w:val="decimal"/>
      <w:start w:val="3"/>
    </w:lvl>
  </w:abstractNum>
  <w:abstractNum w:abstractNumId="523">
    <w:nsid w:val="9AE133E"/>
    <w:multiLevelType w:val="hybridMultilevel"/>
    <w:lvl w:ilvl="0">
      <w:lvlJc w:val="left"/>
      <w:lvlText w:val="(%1)"/>
      <w:numFmt w:val="decimal"/>
      <w:start w:val="7"/>
    </w:lvl>
  </w:abstractNum>
  <w:abstractNum w:abstractNumId="524">
    <w:nsid w:val="247D7CEF"/>
    <w:multiLevelType w:val="hybridMultilevel"/>
    <w:lvl w:ilvl="0">
      <w:lvlJc w:val="left"/>
      <w:lvlText w:val="(%1)"/>
      <w:numFmt w:val="decimal"/>
      <w:start w:val="1"/>
    </w:lvl>
  </w:abstractNum>
  <w:abstractNum w:abstractNumId="525">
    <w:nsid w:val="43D60C21"/>
    <w:multiLevelType w:val="hybridMultilevel"/>
    <w:lvl w:ilvl="0">
      <w:lvlJc w:val="left"/>
      <w:lvlText w:val="(%1)"/>
      <w:numFmt w:val="decimal"/>
      <w:start w:val="1"/>
    </w:lvl>
  </w:abstractNum>
  <w:abstractNum w:abstractNumId="526">
    <w:nsid w:val="15DD687E"/>
    <w:multiLevelType w:val="hybridMultilevel"/>
    <w:lvl w:ilvl="0">
      <w:lvlJc w:val="left"/>
      <w:lvlText w:val="(%1)"/>
      <w:numFmt w:val="decimal"/>
      <w:start w:val="7"/>
    </w:lvl>
  </w:abstractNum>
  <w:abstractNum w:abstractNumId="527">
    <w:nsid w:val="CD5DB95"/>
    <w:multiLevelType w:val="hybridMultilevel"/>
    <w:lvl w:ilvl="0">
      <w:lvlJc w:val="left"/>
      <w:lvlText w:val="(%1)"/>
      <w:numFmt w:val="lowerLetter"/>
      <w:start w:val="1"/>
    </w:lvl>
  </w:abstractNum>
  <w:abstractNum w:abstractNumId="528">
    <w:nsid w:val="35569F99"/>
    <w:multiLevelType w:val="hybridMultilevel"/>
    <w:lvl w:ilvl="0">
      <w:lvlJc w:val="left"/>
      <w:lvlText w:val="%1"/>
      <w:numFmt w:val="decimal"/>
      <w:start w:val="1"/>
    </w:lvl>
    <w:lvl w:ilvl="1">
      <w:lvlJc w:val="left"/>
      <w:lvlText w:val="(%2)"/>
      <w:numFmt w:val="lowerLetter"/>
      <w:start w:val="6"/>
    </w:lvl>
  </w:abstractNum>
  <w:abstractNum w:abstractNumId="529">
    <w:nsid w:val="73FBF336"/>
    <w:multiLevelType w:val="hybridMultilevel"/>
    <w:lvl w:ilvl="0">
      <w:lvlJc w:val="left"/>
      <w:lvlText w:val="(%1)"/>
      <w:numFmt w:val="decimal"/>
      <w:start w:val="2"/>
    </w:lvl>
    <w:lvl w:ilvl="1">
      <w:lvlJc w:val="left"/>
      <w:lvlText w:val="(%2)"/>
      <w:numFmt w:val="lowerLetter"/>
      <w:start w:val="8"/>
    </w:lvl>
  </w:abstractNum>
  <w:abstractNum w:abstractNumId="530">
    <w:nsid w:val="6BED4A53"/>
    <w:multiLevelType w:val="hybridMultilevel"/>
    <w:lvl w:ilvl="0">
      <w:lvlJc w:val="left"/>
      <w:lvlText w:val="(%1)"/>
      <w:numFmt w:val="decimal"/>
      <w:start w:val="1"/>
    </w:lvl>
    <w:lvl w:ilvl="1">
      <w:lvlJc w:val="left"/>
      <w:lvlText w:val="(%2)"/>
      <w:numFmt w:val="lowerLetter"/>
      <w:start w:val="9"/>
    </w:lvl>
  </w:abstractNum>
  <w:abstractNum w:abstractNumId="531">
    <w:nsid w:val="127E6585"/>
    <w:multiLevelType w:val="hybridMultilevel"/>
    <w:lvl w:ilvl="0">
      <w:lvlJc w:val="left"/>
      <w:lvlText w:val="(%1)"/>
      <w:numFmt w:val="lowerLetter"/>
      <w:start w:val="1"/>
    </w:lvl>
    <w:lvl w:ilvl="1">
      <w:lvlJc w:val="left"/>
      <w:lvlText w:val="(%2)"/>
      <w:numFmt w:val="decimal"/>
      <w:start w:val="1"/>
    </w:lvl>
  </w:abstractNum>
  <w:abstractNum w:abstractNumId="532">
    <w:nsid w:val="518AFBEE"/>
    <w:multiLevelType w:val="hybridMultilevel"/>
    <w:lvl w:ilvl="0">
      <w:lvlJc w:val="left"/>
      <w:lvlText w:val="%1"/>
      <w:numFmt w:val="lowerLetter"/>
      <w:start w:val="1"/>
    </w:lvl>
    <w:lvl w:ilvl="1">
      <w:lvlJc w:val="left"/>
      <w:lvlText w:val="(%2)"/>
      <w:numFmt w:val="decimal"/>
      <w:start w:val="3"/>
    </w:lvl>
  </w:abstractNum>
  <w:abstractNum w:abstractNumId="533">
    <w:nsid w:val="3F754C7B"/>
    <w:multiLevelType w:val="hybridMultilevel"/>
    <w:lvl w:ilvl="0">
      <w:lvlJc w:val="left"/>
      <w:lvlText w:val="(%1)"/>
      <w:numFmt w:val="lowerLetter"/>
      <w:start w:val="3"/>
    </w:lvl>
    <w:lvl w:ilvl="1">
      <w:lvlJc w:val="left"/>
      <w:lvlText w:val="%2"/>
      <w:numFmt w:val="decimal"/>
      <w:start w:val="1"/>
    </w:lvl>
  </w:abstractNum>
  <w:abstractNum w:abstractNumId="534">
    <w:nsid w:val="610FA1D6"/>
    <w:multiLevelType w:val="hybridMultilevel"/>
    <w:lvl w:ilvl="0">
      <w:lvlJc w:val="left"/>
      <w:lvlText w:val="(%1)"/>
      <w:numFmt w:val="decimal"/>
      <w:start w:val="1"/>
    </w:lvl>
    <w:lvl w:ilvl="1">
      <w:lvlJc w:val="left"/>
      <w:lvlText w:val="(%2)"/>
      <w:numFmt w:val="upperLetter"/>
      <w:start w:val="1"/>
    </w:lvl>
  </w:abstractNum>
  <w:abstractNum w:abstractNumId="535">
    <w:nsid w:val="5048B22C"/>
    <w:multiLevelType w:val="hybridMultilevel"/>
    <w:lvl w:ilvl="0">
      <w:lvlJc w:val="left"/>
      <w:lvlText w:val="(%1)"/>
      <w:numFmt w:val="decimal"/>
      <w:start w:val="3"/>
    </w:lvl>
  </w:abstractNum>
  <w:abstractNum w:abstractNumId="536">
    <w:nsid w:val="257273DB"/>
    <w:multiLevelType w:val="hybridMultilevel"/>
    <w:lvl w:ilvl="0">
      <w:lvlJc w:val="left"/>
      <w:lvlText w:val="(%1)"/>
      <w:numFmt w:val="decimal"/>
      <w:start w:val="1"/>
    </w:lvl>
  </w:abstractNum>
  <w:abstractNum w:abstractNumId="537">
    <w:nsid w:val="3B192CFD"/>
    <w:multiLevelType w:val="hybridMultilevel"/>
    <w:lvl w:ilvl="0">
      <w:lvlJc w:val="left"/>
      <w:lvlText w:val="(%1)"/>
      <w:numFmt w:val="decimal"/>
      <w:start w:val="1"/>
    </w:lvl>
  </w:abstractNum>
  <w:abstractNum w:abstractNumId="538">
    <w:nsid w:val="2707E622"/>
    <w:multiLevelType w:val="hybridMultilevel"/>
    <w:lvl w:ilvl="0">
      <w:lvlJc w:val="left"/>
      <w:lvlText w:val="(%1)"/>
      <w:numFmt w:val="decimal"/>
      <w:start w:val="1"/>
    </w:lvl>
  </w:abstractNum>
  <w:abstractNum w:abstractNumId="539">
    <w:nsid w:val="11ACAB8C"/>
    <w:multiLevelType w:val="hybridMultilevel"/>
    <w:lvl w:ilvl="0">
      <w:lvlJc w:val="left"/>
      <w:lvlText w:val="(%1)"/>
      <w:numFmt w:val="decimal"/>
      <w:start w:val="5"/>
    </w:lvl>
  </w:abstractNum>
  <w:abstractNum w:abstractNumId="540">
    <w:nsid w:val="2486D4C7"/>
    <w:multiLevelType w:val="hybridMultilevel"/>
    <w:lvl w:ilvl="0">
      <w:lvlJc w:val="left"/>
      <w:lvlText w:val="(%1)"/>
      <w:numFmt w:val="lowerLetter"/>
      <w:start w:val="1"/>
    </w:lvl>
  </w:abstractNum>
  <w:abstractNum w:abstractNumId="541">
    <w:nsid w:val="199792D3"/>
    <w:multiLevelType w:val="hybridMultilevel"/>
    <w:lvl w:ilvl="0">
      <w:lvlJc w:val="left"/>
      <w:lvlText w:val="(%1)"/>
      <w:numFmt w:val="lowerLetter"/>
      <w:start w:val="2"/>
    </w:lvl>
  </w:abstractNum>
  <w:abstractNum w:abstractNumId="542">
    <w:nsid w:val="20A658BB"/>
    <w:multiLevelType w:val="hybridMultilevel"/>
    <w:lvl w:ilvl="0">
      <w:lvlJc w:val="left"/>
      <w:lvlText w:val="(%1)"/>
      <w:numFmt w:val="decimal"/>
      <w:start w:val="6"/>
    </w:lvl>
  </w:abstractNum>
  <w:abstractNum w:abstractNumId="543">
    <w:nsid w:val="49CC7C90"/>
    <w:multiLevelType w:val="hybridMultilevel"/>
    <w:lvl w:ilvl="0">
      <w:lvlJc w:val="left"/>
      <w:lvlText w:val="(%1)"/>
      <w:numFmt w:val="decimal"/>
      <w:start w:val="16"/>
    </w:lvl>
  </w:abstractNum>
  <w:abstractNum w:abstractNumId="544">
    <w:nsid w:val="62F22CB0"/>
    <w:multiLevelType w:val="hybridMultilevel"/>
    <w:lvl w:ilvl="0">
      <w:lvlJc w:val="left"/>
      <w:lvlText w:val="*"/>
      <w:numFmt w:val="bullet"/>
      <w:start w:val="1"/>
    </w:lvl>
  </w:abstractNum>
  <w:abstractNum w:abstractNumId="545">
    <w:nsid w:val="CE40C80"/>
    <w:multiLevelType w:val="hybridMultilevel"/>
    <w:lvl w:ilvl="0">
      <w:lvlJc w:val="left"/>
      <w:lvlText w:val="*"/>
      <w:numFmt w:val="bullet"/>
      <w:start w:val="1"/>
    </w:lvl>
  </w:abstractNum>
  <w:abstractNum w:abstractNumId="546">
    <w:nsid w:val="4A226C56"/>
    <w:multiLevelType w:val="hybridMultilevel"/>
    <w:lvl w:ilvl="0">
      <w:lvlJc w:val="left"/>
      <w:lvlText w:val="%1."/>
      <w:numFmt w:val="decimal"/>
      <w:start w:val="1"/>
    </w:lvl>
  </w:abstractNum>
  <w:abstractNum w:abstractNumId="547">
    <w:nsid w:val="3AEB6B48"/>
    <w:multiLevelType w:val="hybridMultilevel"/>
    <w:lvl w:ilvl="0">
      <w:lvlJc w:val="left"/>
      <w:lvlText w:val="%1."/>
      <w:numFmt w:val="decimal"/>
      <w:start w:val="3"/>
    </w:lvl>
    <w:lvl w:ilvl="1">
      <w:lvlJc w:val="left"/>
      <w:lvlText w:val="(%2)"/>
      <w:numFmt w:val="lowerLetter"/>
      <w:start w:val="1"/>
    </w:lvl>
  </w:abstractNum>
  <w:abstractNum w:abstractNumId="548">
    <w:nsid w:val="249E15AC"/>
    <w:multiLevelType w:val="hybridMultilevel"/>
    <w:lvl w:ilvl="0">
      <w:lvlJc w:val="left"/>
      <w:lvlText w:val="%1"/>
      <w:numFmt w:val="decimal"/>
      <w:start w:val="1"/>
    </w:lvl>
    <w:lvl w:ilvl="1">
      <w:lvlJc w:val="left"/>
      <w:lvlText w:val="(%2)"/>
      <w:numFmt w:val="lowerLetter"/>
      <w:start w:val="3"/>
    </w:lvl>
  </w:abstractNum>
  <w:abstractNum w:abstractNumId="549">
    <w:nsid w:val="11096D68"/>
    <w:multiLevelType w:val="hybridMultilevel"/>
    <w:lvl w:ilvl="0">
      <w:lvlJc w:val="left"/>
      <w:lvlText w:val="%1."/>
      <w:numFmt w:val="decimal"/>
      <w:start w:val="4"/>
    </w:lvl>
    <w:lvl w:ilvl="1">
      <w:lvlJc w:val="left"/>
      <w:lvlText w:val="%2"/>
      <w:numFmt w:val="lowerLetter"/>
      <w:start w:val="1"/>
    </w:lvl>
  </w:abstractNum>
  <w:abstractNum w:abstractNumId="550">
    <w:nsid w:val="6E92A33F"/>
    <w:multiLevelType w:val="hybridMultilevel"/>
    <w:lvl w:ilvl="0">
      <w:lvlJc w:val="left"/>
      <w:lvlText w:val="(%1)"/>
      <w:numFmt w:val="lowerLetter"/>
      <w:start w:val="1"/>
    </w:lvl>
  </w:abstractNum>
  <w:abstractNum w:abstractNumId="551">
    <w:nsid w:val="3314792F"/>
    <w:multiLevelType w:val="hybridMultilevel"/>
    <w:lvl w:ilvl="0">
      <w:lvlJc w:val="left"/>
      <w:lvlText w:val="%1."/>
      <w:numFmt w:val="decimal"/>
      <w:start w:val="1"/>
    </w:lvl>
  </w:abstractNum>
  <w:abstractNum w:abstractNumId="552">
    <w:nsid w:val="444E323E"/>
    <w:multiLevelType w:val="hybridMultilevel"/>
    <w:lvl w:ilvl="0">
      <w:lvlJc w:val="left"/>
      <w:lvlText w:val="(%1)"/>
      <w:numFmt w:val="lowerLetter"/>
      <w:start w:val="1"/>
    </w:lvl>
  </w:abstractNum>
  <w:abstractNum w:abstractNumId="553">
    <w:nsid w:val="4CBECC2D"/>
    <w:multiLevelType w:val="hybridMultilevel"/>
    <w:lvl w:ilvl="0">
      <w:lvlJc w:val="left"/>
      <w:lvlText w:val="%1"/>
      <w:numFmt w:val="decimal"/>
      <w:start w:val="1"/>
    </w:lvl>
    <w:lvl w:ilvl="1">
      <w:lvlJc w:val="left"/>
      <w:lvlText w:val="(%2)"/>
      <w:numFmt w:val="lowerLetter"/>
      <w:start w:val="2"/>
    </w:lvl>
  </w:abstractNum>
  <w:abstractNum w:abstractNumId="554">
    <w:nsid w:val="3CC28C6E"/>
    <w:multiLevelType w:val="hybridMultilevel"/>
    <w:lvl w:ilvl="0">
      <w:lvlJc w:val="left"/>
      <w:lvlText w:val="%1."/>
      <w:numFmt w:val="decimal"/>
      <w:start w:val="2"/>
    </w:lvl>
    <w:lvl w:ilvl="1">
      <w:lvlJc w:val="left"/>
      <w:lvlText w:val="%2"/>
      <w:numFmt w:val="lowerLetter"/>
      <w:start w:val="1"/>
    </w:lvl>
  </w:abstractNum>
  <w:abstractNum w:abstractNumId="555">
    <w:nsid w:val="68CBAF2D"/>
    <w:multiLevelType w:val="hybridMultilevel"/>
    <w:lvl w:ilvl="0">
      <w:lvlJc w:val="left"/>
      <w:lvlText w:val="(%1)"/>
      <w:numFmt w:val="lowerLetter"/>
      <w:start w:val="1"/>
    </w:lvl>
  </w:abstractNum>
  <w:abstractNum w:abstractNumId="556">
    <w:nsid w:val="1094D84E"/>
    <w:multiLevelType w:val="hybridMultilevel"/>
    <w:lvl w:ilvl="0">
      <w:lvlJc w:val="left"/>
      <w:lvlText w:val="(%1)"/>
      <w:numFmt w:val="lowerLetter"/>
      <w:start w:val="2"/>
    </w:lvl>
  </w:abstractNum>
  <w:abstractNum w:abstractNumId="557">
    <w:nsid w:val="529FF4EC"/>
    <w:multiLevelType w:val="hybridMultilevel"/>
    <w:lvl w:ilvl="0">
      <w:lvlJc w:val="left"/>
      <w:lvlText w:val="%1."/>
      <w:numFmt w:val="decimal"/>
    </w:lvl>
    <w:lvl w:ilvl="1">
      <w:lvlJc w:val="left"/>
      <w:lvlText w:val=","/>
      <w:numFmt w:val="bullet"/>
      <w:start w:val="1"/>
    </w:lvl>
  </w:abstractNum>
  <w:abstractNum w:abstractNumId="558">
    <w:nsid w:val="75A18AC2"/>
    <w:multiLevelType w:val="hybridMultilevel"/>
    <w:lvl w:ilvl="0">
      <w:lvlJc w:val="left"/>
      <w:lvlText w:val="(%1)"/>
      <w:numFmt w:val="lowerLetter"/>
      <w:start w:val="1"/>
    </w:lvl>
  </w:abstractNum>
  <w:abstractNum w:abstractNumId="559">
    <w:nsid w:val="45EB77E8"/>
    <w:multiLevelType w:val="hybridMultilevel"/>
    <w:lvl w:ilvl="0">
      <w:lvlJc w:val="left"/>
      <w:lvlText w:val="(%1)"/>
      <w:numFmt w:val="lowerLetter"/>
      <w:start w:val="4"/>
    </w:lvl>
  </w:abstractNum>
  <w:abstractNum w:abstractNumId="560">
    <w:nsid w:val="469BE822"/>
    <w:multiLevelType w:val="hybridMultilevel"/>
    <w:lvl w:ilvl="0">
      <w:lvlJc w:val="left"/>
      <w:lvlText w:val="%1."/>
      <w:numFmt w:val="decimal"/>
      <w:start w:val="2"/>
    </w:lvl>
  </w:abstractNum>
  <w:abstractNum w:abstractNumId="561">
    <w:nsid w:val="618ED516"/>
    <w:multiLevelType w:val="hybridMultilevel"/>
    <w:lvl w:ilvl="0">
      <w:lvlJc w:val="left"/>
      <w:lvlText w:val="%1"/>
      <w:numFmt w:val="lowerLetter"/>
      <w:start w:val="1"/>
    </w:lvl>
    <w:lvl w:ilvl="1">
      <w:lvlJc w:val="left"/>
      <w:lvlText w:val="(%2)"/>
      <w:numFmt w:val="lowerLetter"/>
      <w:start w:val="1"/>
    </w:lvl>
  </w:abstractNum>
  <w:abstractNum w:abstractNumId="562">
    <w:nsid w:val="5869DD6D"/>
    <w:multiLevelType w:val="hybridMultilevel"/>
    <w:lvl w:ilvl="0">
      <w:lvlJc w:val="left"/>
      <w:lvlText w:val="(%1)"/>
      <w:numFmt w:val="lowerLetter"/>
      <w:start w:val="35"/>
    </w:lvl>
    <w:lvl w:ilvl="1">
      <w:lvlJc w:val="left"/>
      <w:lvlText w:val="%2"/>
      <w:numFmt w:val="lowerLetter"/>
      <w:start w:val="1"/>
    </w:lvl>
  </w:abstractNum>
  <w:abstractNum w:abstractNumId="563">
    <w:nsid w:val="1826E411"/>
    <w:multiLevelType w:val="hybridMultilevel"/>
    <w:lvl w:ilvl="0">
      <w:lvlJc w:val="left"/>
      <w:lvlText w:val="%1."/>
      <w:numFmt w:val="decimal"/>
      <w:start w:val="1"/>
    </w:lvl>
  </w:abstractNum>
  <w:abstractNum w:abstractNumId="564">
    <w:nsid w:val="21042191"/>
    <w:multiLevelType w:val="hybridMultilevel"/>
    <w:lvl w:ilvl="0">
      <w:lvlJc w:val="left"/>
      <w:lvlText w:val="["/>
      <w:numFmt w:val="bullet"/>
      <w:start w:val="1"/>
    </w:lvl>
  </w:abstractNum>
  <w:abstractNum w:abstractNumId="565">
    <w:nsid w:val="39797F44"/>
    <w:multiLevelType w:val="hybridMultilevel"/>
    <w:lvl w:ilvl="0">
      <w:lvlJc w:val="left"/>
      <w:lvlText w:val="%1."/>
      <w:numFmt w:val="decimal"/>
      <w:start w:val="3"/>
    </w:lvl>
  </w:abstractNum>
  <w:abstractNum w:abstractNumId="566">
    <w:nsid w:val="686F963D"/>
    <w:multiLevelType w:val="hybridMultilevel"/>
    <w:lvl w:ilvl="0">
      <w:lvlJc w:val="left"/>
      <w:lvlText w:val="(%1)"/>
      <w:numFmt w:val="decimal"/>
      <w:start w:val="1"/>
    </w:lvl>
  </w:abstractNum>
  <w:abstractNum w:abstractNumId="567">
    <w:nsid w:val="4676956C"/>
    <w:multiLevelType w:val="hybridMultilevel"/>
    <w:lvl w:ilvl="0">
      <w:lvlJc w:val="left"/>
      <w:lvlText w:val="%1."/>
      <w:numFmt w:val="decimal"/>
      <w:start w:val="1"/>
    </w:lvl>
    <w:lvl w:ilvl="1">
      <w:lvlJc w:val="left"/>
      <w:lvlText w:val="(%2)"/>
      <w:numFmt w:val="lowerLetter"/>
      <w:start w:val="1"/>
    </w:lvl>
  </w:abstractNum>
  <w:abstractNum w:abstractNumId="568">
    <w:nsid w:val="7492AC41"/>
    <w:multiLevelType w:val="hybridMultilevel"/>
    <w:lvl w:ilvl="0">
      <w:lvlJc w:val="left"/>
      <w:lvlText w:val="(%1)"/>
      <w:numFmt w:val="lowerLetter"/>
      <w:start w:val="2"/>
    </w:lvl>
  </w:abstractNum>
  <w:abstractNum w:abstractNumId="569">
    <w:nsid w:val="F777C5F"/>
    <w:multiLevelType w:val="hybridMultilevel"/>
    <w:lvl w:ilvl="0">
      <w:lvlJc w:val="left"/>
      <w:lvlText w:val="(%1)"/>
      <w:numFmt w:val="decimal"/>
      <w:start w:val="1"/>
    </w:lvl>
  </w:abstractNum>
  <w:abstractNum w:abstractNumId="570">
    <w:nsid w:val="582340F8"/>
    <w:multiLevelType w:val="hybridMultilevel"/>
    <w:lvl w:ilvl="0">
      <w:lvlJc w:val="left"/>
      <w:lvlText w:val="(%1)"/>
      <w:numFmt w:val="decimal"/>
      <w:start w:val="1"/>
    </w:lvl>
  </w:abstractNum>
  <w:abstractNum w:abstractNumId="571">
    <w:nsid w:val="19198108"/>
    <w:multiLevelType w:val="hybridMultilevel"/>
    <w:lvl w:ilvl="0">
      <w:lvlJc w:val="left"/>
      <w:lvlText w:val="(%1)"/>
      <w:numFmt w:val="decimal"/>
      <w:start w:val="9"/>
    </w:lvl>
  </w:abstractNum>
  <w:abstractNum w:abstractNumId="572">
    <w:nsid w:val="290F0F32"/>
    <w:multiLevelType w:val="hybridMultilevel"/>
    <w:lvl w:ilvl="0">
      <w:lvlJc w:val="left"/>
      <w:lvlText w:val="(%1)"/>
      <w:numFmt w:val="lowerRoman"/>
      <w:start w:val="2"/>
    </w:lvl>
  </w:abstractNum>
  <w:abstractNum w:abstractNumId="573">
    <w:nsid w:val="78C999B4"/>
    <w:multiLevelType w:val="hybridMultilevel"/>
    <w:lvl w:ilvl="0">
      <w:lvlJc w:val="left"/>
      <w:lvlText w:val="(%1)"/>
      <w:numFmt w:val="decimal"/>
      <w:start w:val="1"/>
    </w:lvl>
  </w:abstractNum>
  <w:abstractNum w:abstractNumId="574">
    <w:nsid w:val="62E5FD99"/>
    <w:multiLevelType w:val="hybridMultilevel"/>
    <w:lvl w:ilvl="0">
      <w:lvlJc w:val="left"/>
      <w:lvlText w:val="(%1)"/>
      <w:numFmt w:val="decimal"/>
      <w:start w:val="1"/>
    </w:lvl>
  </w:abstractNum>
  <w:abstractNum w:abstractNumId="575">
    <w:nsid w:val="C013BE2"/>
    <w:multiLevelType w:val="hybridMultilevel"/>
    <w:lvl w:ilvl="0">
      <w:lvlJc w:val="left"/>
      <w:lvlText w:val="(%1)"/>
      <w:numFmt w:val="decimal"/>
      <w:start w:val="1"/>
    </w:lvl>
  </w:abstractNum>
  <w:abstractNum w:abstractNumId="576">
    <w:nsid w:val="5ADA634"/>
    <w:multiLevelType w:val="hybridMultilevel"/>
    <w:lvl w:ilvl="0">
      <w:lvlJc w:val="left"/>
      <w:lvlText w:val="%1"/>
      <w:numFmt w:val="decimal"/>
      <w:start w:val="1"/>
    </w:lvl>
    <w:lvl w:ilvl="1">
      <w:lvlJc w:val="left"/>
      <w:lvlText w:val="(%2)"/>
      <w:numFmt w:val="decimal"/>
      <w:start w:val="3"/>
    </w:lvl>
  </w:abstractNum>
  <w:abstractNum w:abstractNumId="577">
    <w:nsid w:val="2D0869EF"/>
    <w:multiLevelType w:val="hybridMultilevel"/>
    <w:lvl w:ilvl="0">
      <w:lvlJc w:val="left"/>
      <w:lvlText w:val="(%1)"/>
      <w:numFmt w:val="decimal"/>
      <w:start w:val="1"/>
    </w:lvl>
    <w:lvl w:ilvl="1">
      <w:lvlJc w:val="left"/>
      <w:lvlText w:val="(%2)"/>
      <w:numFmt w:val="decimal"/>
      <w:start w:val="4"/>
    </w:lvl>
  </w:abstractNum>
  <w:abstractNum w:abstractNumId="578">
    <w:nsid w:val="46ECA72A"/>
    <w:multiLevelType w:val="hybridMultilevel"/>
    <w:lvl w:ilvl="0">
      <w:lvlJc w:val="left"/>
      <w:lvlText w:val="(%1)"/>
      <w:numFmt w:val="decimal"/>
      <w:start w:val="1"/>
    </w:lvl>
    <w:lvl w:ilvl="1">
      <w:lvlJc w:val="left"/>
      <w:lvlText w:val="(%2)"/>
      <w:numFmt w:val="upperLetter"/>
      <w:start w:val="1"/>
    </w:lvl>
  </w:abstractNum>
  <w:abstractNum w:abstractNumId="579">
    <w:nsid w:val="2A4BBBE0"/>
    <w:multiLevelType w:val="hybridMultilevel"/>
    <w:lvl w:ilvl="0">
      <w:lvlJc w:val="left"/>
      <w:lvlText w:val="(%1)"/>
      <w:numFmt w:val="decimal"/>
      <w:start w:val="1"/>
    </w:lvl>
  </w:abstractNum>
  <w:abstractNum w:abstractNumId="580">
    <w:nsid w:val="3E11D757"/>
    <w:multiLevelType w:val="hybridMultilevel"/>
    <w:lvl w:ilvl="0">
      <w:lvlJc w:val="left"/>
      <w:lvlText w:val="(%1)"/>
      <w:numFmt w:val="decimal"/>
      <w:start w:val="1"/>
    </w:lvl>
  </w:abstractNum>
  <w:abstractNum w:abstractNumId="581">
    <w:nsid w:val="357F4A69"/>
    <w:multiLevelType w:val="hybridMultilevel"/>
    <w:lvl w:ilvl="0">
      <w:lvlJc w:val="left"/>
      <w:lvlText w:val="(%1)"/>
      <w:numFmt w:val="decimal"/>
      <w:start w:val="8"/>
    </w:lvl>
  </w:abstractNum>
  <w:abstractNum w:abstractNumId="582">
    <w:nsid w:val="5D603510"/>
    <w:multiLevelType w:val="hybridMultilevel"/>
    <w:lvl w:ilvl="0">
      <w:lvlJc w:val="left"/>
      <w:lvlText w:val="(%1)"/>
      <w:numFmt w:val="decimal"/>
      <w:start w:val="1"/>
    </w:lvl>
  </w:abstractNum>
  <w:abstractNum w:abstractNumId="583">
    <w:nsid w:val="2600995"/>
    <w:multiLevelType w:val="hybridMultilevel"/>
    <w:lvl w:ilvl="0">
      <w:lvlJc w:val="left"/>
      <w:lvlText w:val="(%1)"/>
      <w:numFmt w:val="decimal"/>
      <w:start w:val="1"/>
    </w:lvl>
  </w:abstractNum>
  <w:abstractNum w:abstractNumId="584">
    <w:nsid w:val="23E1696"/>
    <w:multiLevelType w:val="hybridMultilevel"/>
    <w:lvl w:ilvl="0">
      <w:lvlJc w:val="left"/>
      <w:lvlText w:val="%1"/>
      <w:numFmt w:val="lowerRoman"/>
      <w:start w:val="1"/>
    </w:lvl>
    <w:lvl w:ilvl="1">
      <w:lvlJc w:val="left"/>
      <w:lvlText w:val="(%2)"/>
      <w:numFmt w:val="decimal"/>
      <w:start w:val="1"/>
    </w:lvl>
  </w:abstractNum>
  <w:abstractNum w:abstractNumId="585">
    <w:nsid w:val="1A22C17E"/>
    <w:multiLevelType w:val="hybridMultilevel"/>
    <w:lvl w:ilvl="0">
      <w:lvlJc w:val="left"/>
      <w:lvlText w:val="(%1)"/>
      <w:numFmt w:val="lowerRoman"/>
      <w:start w:val="2"/>
    </w:lvl>
    <w:lvl w:ilvl="1">
      <w:lvlJc w:val="left"/>
      <w:lvlText w:val="(%2)"/>
      <w:numFmt w:val="decimal"/>
      <w:start w:val="2"/>
    </w:lvl>
  </w:abstractNum>
  <w:abstractNum w:abstractNumId="586">
    <w:nsid w:val="6B2BB8C2"/>
    <w:multiLevelType w:val="hybridMultilevel"/>
    <w:lvl w:ilvl="0">
      <w:lvlJc w:val="left"/>
      <w:lvlText w:val="(%1)"/>
      <w:numFmt w:val="decimal"/>
      <w:start w:val="3"/>
    </w:lvl>
  </w:abstractNum>
  <w:abstractNum w:abstractNumId="587">
    <w:nsid w:val="12D2EEE5"/>
    <w:multiLevelType w:val="hybridMultilevel"/>
    <w:lvl w:ilvl="0">
      <w:lvlJc w:val="left"/>
      <w:lvlText w:val="(%1)"/>
      <w:numFmt w:val="lowerLetter"/>
      <w:start w:val="1"/>
    </w:lvl>
  </w:abstractNum>
  <w:abstractNum w:abstractNumId="588">
    <w:nsid w:val="6CC2B66A"/>
    <w:multiLevelType w:val="hybridMultilevel"/>
    <w:lvl w:ilvl="0">
      <w:lvlJc w:val="left"/>
      <w:lvlText w:val="(%1)"/>
      <w:numFmt w:val="decimal"/>
      <w:start w:val="1"/>
    </w:lvl>
  </w:abstractNum>
  <w:abstractNum w:abstractNumId="589">
    <w:nsid w:val="60CD4385"/>
    <w:multiLevelType w:val="hybridMultilevel"/>
    <w:lvl w:ilvl="0">
      <w:lvlJc w:val="left"/>
      <w:lvlText w:val="(%1)"/>
      <w:numFmt w:val="decimal"/>
      <w:start w:val="1"/>
    </w:lvl>
  </w:abstractNum>
  <w:abstractNum w:abstractNumId="590">
    <w:nsid w:val="58BE66CD"/>
    <w:multiLevelType w:val="hybridMultilevel"/>
    <w:lvl w:ilvl="0">
      <w:lvlJc w:val="left"/>
      <w:lvlText w:val="(%1)"/>
      <w:numFmt w:val="upperLetter"/>
      <w:start w:val="1"/>
    </w:lvl>
  </w:abstractNum>
  <w:abstractNum w:abstractNumId="591">
    <w:nsid w:val="335E9E8D"/>
    <w:multiLevelType w:val="hybridMultilevel"/>
    <w:lvl w:ilvl="0">
      <w:lvlJc w:val="left"/>
      <w:lvlText w:val="(%1)"/>
      <w:numFmt w:val="decimal"/>
      <w:start w:val="1"/>
    </w:lvl>
  </w:abstractNum>
  <w:abstractNum w:abstractNumId="592">
    <w:nsid w:val="425C189B"/>
    <w:multiLevelType w:val="hybridMultilevel"/>
    <w:lvl w:ilvl="0">
      <w:lvlJc w:val="left"/>
      <w:lvlText w:val="%1"/>
      <w:numFmt w:val="lowerLetter"/>
      <w:start w:val="1"/>
    </w:lvl>
    <w:lvl w:ilvl="1">
      <w:lvlJc w:val="left"/>
      <w:lvlText w:val="(%2)"/>
      <w:numFmt w:val="decimal"/>
      <w:start w:val="1"/>
    </w:lvl>
  </w:abstractNum>
  <w:abstractNum w:abstractNumId="593">
    <w:nsid w:val="3128443A"/>
    <w:multiLevelType w:val="hybridMultilevel"/>
    <w:lvl w:ilvl="0">
      <w:lvlJc w:val="left"/>
      <w:lvlText w:val="(%1)"/>
      <w:numFmt w:val="lowerLetter"/>
      <w:start w:val="3"/>
    </w:lvl>
    <w:lvl w:ilvl="1">
      <w:lvlJc w:val="left"/>
      <w:lvlText w:val="(%2)"/>
      <w:numFmt w:val="decimal"/>
      <w:start w:val="2"/>
    </w:lvl>
  </w:abstractNum>
  <w:abstractNum w:abstractNumId="594">
    <w:nsid w:val="4B85829E"/>
    <w:multiLevelType w:val="hybridMultilevel"/>
    <w:lvl w:ilvl="0">
      <w:lvlJc w:val="left"/>
      <w:lvlText w:val="(%1)"/>
      <w:numFmt w:val="decimal"/>
      <w:start w:val="1"/>
    </w:lvl>
    <w:lvl w:ilvl="1">
      <w:lvlJc w:val="left"/>
      <w:lvlText w:val="(%2)"/>
      <w:numFmt w:val="upperLetter"/>
      <w:start w:val="1"/>
    </w:lvl>
  </w:abstractNum>
  <w:abstractNum w:abstractNumId="595">
    <w:nsid w:val="63603A2C"/>
    <w:multiLevelType w:val="hybridMultilevel"/>
    <w:lvl w:ilvl="0">
      <w:lvlJc w:val="left"/>
      <w:lvlText w:val="(%1)"/>
      <w:numFmt w:val="decimal"/>
      <w:start w:val="8"/>
    </w:lvl>
  </w:abstractNum>
  <w:abstractNum w:abstractNumId="596">
    <w:nsid w:val="6AA1C37E"/>
    <w:multiLevelType w:val="hybridMultilevel"/>
    <w:lvl w:ilvl="0">
      <w:lvlJc w:val="left"/>
      <w:lvlText w:val="%1"/>
      <w:numFmt w:val="lowerLetter"/>
      <w:start w:val="1"/>
    </w:lvl>
    <w:lvl w:ilvl="1">
      <w:lvlJc w:val="left"/>
      <w:lvlText w:val="(%2)"/>
      <w:numFmt w:val="decimal"/>
      <w:start w:val="21"/>
    </w:lvl>
  </w:abstractNum>
  <w:abstractNum w:abstractNumId="597">
    <w:nsid w:val="33F518DB"/>
    <w:multiLevelType w:val="hybridMultilevel"/>
    <w:lvl w:ilvl="0">
      <w:lvlJc w:val="left"/>
      <w:lvlText w:val="(%1)"/>
      <w:numFmt w:val="lowerLetter"/>
      <w:start w:val="25"/>
    </w:lvl>
    <w:lvl w:ilvl="1">
      <w:lvlJc w:val="left"/>
      <w:lvlText w:val="(%2)"/>
      <w:numFmt w:val="decimal"/>
      <w:start w:val="22"/>
    </w:lvl>
  </w:abstractNum>
  <w:abstractNum w:abstractNumId="598">
    <w:nsid w:val="29D6CF99"/>
    <w:multiLevelType w:val="hybridMultilevel"/>
    <w:lvl w:ilvl="0">
      <w:lvlJc w:val="left"/>
      <w:lvlText w:val="(%1)"/>
      <w:numFmt w:val="decimal"/>
      <w:start w:val="1"/>
    </w:lvl>
  </w:abstractNum>
  <w:abstractNum w:abstractNumId="599">
    <w:nsid w:val="5F346FC0"/>
    <w:multiLevelType w:val="hybridMultilevel"/>
    <w:lvl w:ilvl="0">
      <w:lvlJc w:val="left"/>
      <w:lvlText w:val="(%1)"/>
      <w:numFmt w:val="decimal"/>
      <w:start w:val="11"/>
    </w:lvl>
    <w:lvl w:ilvl="1">
      <w:lvlJc w:val="left"/>
      <w:lvlText w:val="(%2)"/>
      <w:numFmt w:val="upperLetter"/>
      <w:start w:val="1"/>
    </w:lvl>
  </w:abstractNum>
  <w:abstractNum w:abstractNumId="600">
    <w:nsid w:val="436C953A"/>
    <w:multiLevelType w:val="hybridMultilevel"/>
    <w:lvl w:ilvl="0">
      <w:lvlJc w:val="left"/>
      <w:lvlText w:val="(%1)"/>
      <w:numFmt w:val="decimal"/>
      <w:start w:val="21"/>
    </w:lvl>
  </w:abstractNum>
  <w:abstractNum w:abstractNumId="601">
    <w:nsid w:val="1FA1091"/>
    <w:multiLevelType w:val="hybridMultilevel"/>
    <w:lvl w:ilvl="0">
      <w:lvlJc w:val="left"/>
      <w:lvlText w:val="(%1)"/>
      <w:numFmt w:val="decimal"/>
      <w:start w:val="1"/>
    </w:lvl>
  </w:abstractNum>
  <w:abstractNum w:abstractNumId="602">
    <w:nsid w:val="784DF0C8"/>
    <w:multiLevelType w:val="hybridMultilevel"/>
    <w:lvl w:ilvl="0">
      <w:lvlJc w:val="left"/>
      <w:lvlText w:val="(%1)"/>
      <w:numFmt w:val="decimal"/>
      <w:start w:val="1"/>
    </w:lvl>
  </w:abstractNum>
  <w:abstractNum w:abstractNumId="603">
    <w:nsid w:val="6C7BA46C"/>
    <w:multiLevelType w:val="hybridMultilevel"/>
    <w:lvl w:ilvl="0">
      <w:lvlJc w:val="left"/>
      <w:lvlText w:val="(%1)"/>
      <w:numFmt w:val="decimal"/>
      <w:start w:val="1"/>
    </w:lvl>
  </w:abstractNum>
  <w:abstractNum w:abstractNumId="604">
    <w:nsid w:val="7AC3AA45"/>
    <w:multiLevelType w:val="hybridMultilevel"/>
    <w:lvl w:ilvl="0">
      <w:lvlJc w:val="left"/>
      <w:lvlText w:val="(%1)"/>
      <w:numFmt w:val="decimal"/>
      <w:start w:val="2"/>
    </w:lvl>
  </w:abstractNum>
  <w:abstractNum w:abstractNumId="605">
    <w:nsid w:val="5B33EE61"/>
    <w:multiLevelType w:val="hybridMultilevel"/>
    <w:lvl w:ilvl="0">
      <w:lvlJc w:val="left"/>
      <w:lvlText w:val="(%1)"/>
      <w:numFmt w:val="decimal"/>
      <w:start w:val="1"/>
    </w:lvl>
  </w:abstractNum>
  <w:abstractNum w:abstractNumId="606">
    <w:nsid w:val="787CE04F"/>
    <w:multiLevelType w:val="hybridMultilevel"/>
    <w:lvl w:ilvl="0">
      <w:lvlJc w:val="left"/>
      <w:lvlText w:val="(%1)"/>
      <w:numFmt w:val="decimal"/>
      <w:start w:val="1"/>
    </w:lvl>
  </w:abstractNum>
  <w:abstractNum w:abstractNumId="607">
    <w:nsid w:val="715079"/>
    <w:multiLevelType w:val="hybridMultilevel"/>
    <w:lvl w:ilvl="0">
      <w:lvlJc w:val="left"/>
      <w:lvlText w:val="%1"/>
      <w:numFmt w:val="lowerLetter"/>
      <w:start w:val="1"/>
    </w:lvl>
    <w:lvl w:ilvl="1">
      <w:lvlJc w:val="left"/>
      <w:lvlText w:val="(%2)"/>
      <w:numFmt w:val="decimal"/>
      <w:start w:val="1"/>
    </w:lvl>
  </w:abstractNum>
  <w:abstractNum w:abstractNumId="608">
    <w:nsid w:val="83C5851"/>
    <w:multiLevelType w:val="hybridMultilevel"/>
    <w:lvl w:ilvl="0">
      <w:lvlJc w:val="left"/>
      <w:lvlText w:val="(%1)"/>
      <w:numFmt w:val="lowerLetter"/>
      <w:start w:val="1"/>
    </w:lvl>
    <w:lvl w:ilvl="1">
      <w:lvlJc w:val="left"/>
      <w:lvlText w:val="(%2)"/>
      <w:numFmt w:val="decimal"/>
      <w:start w:val="4"/>
    </w:lvl>
  </w:abstractNum>
  <w:abstractNum w:abstractNumId="609">
    <w:nsid w:val="3F698779"/>
    <w:multiLevelType w:val="hybridMultilevel"/>
    <w:lvl w:ilvl="0">
      <w:lvlJc w:val="left"/>
      <w:lvlText w:val="(%1)"/>
      <w:numFmt w:val="decimal"/>
      <w:start w:val="1"/>
    </w:lvl>
  </w:abstractNum>
  <w:abstractNum w:abstractNumId="610">
    <w:nsid w:val="2ABD0C5A"/>
    <w:multiLevelType w:val="hybridMultilevel"/>
    <w:lvl w:ilvl="0">
      <w:lvlJc w:val="left"/>
      <w:lvlText w:val="(%1)"/>
      <w:numFmt w:val="decimal"/>
      <w:start w:val="1"/>
    </w:lvl>
  </w:abstractNum>
  <w:abstractNum w:abstractNumId="611">
    <w:nsid w:val="464E2FA8"/>
    <w:multiLevelType w:val="hybridMultilevel"/>
    <w:lvl w:ilvl="0">
      <w:lvlJc w:val="left"/>
      <w:lvlText w:val="(%1)"/>
      <w:numFmt w:val="decimal"/>
      <w:start w:val="1"/>
    </w:lvl>
  </w:abstractNum>
  <w:abstractNum w:abstractNumId="612">
    <w:nsid w:val="74E8D1E3"/>
    <w:multiLevelType w:val="hybridMultilevel"/>
    <w:lvl w:ilvl="0">
      <w:lvlJc w:val="left"/>
      <w:lvlText w:val="(%1)"/>
      <w:numFmt w:val="lowerLetter"/>
      <w:start w:val="1"/>
    </w:lvl>
  </w:abstractNum>
  <w:abstractNum w:abstractNumId="613">
    <w:nsid w:val="81D416A"/>
    <w:multiLevelType w:val="hybridMultilevel"/>
    <w:lvl w:ilvl="0">
      <w:lvlJc w:val="left"/>
      <w:lvlText w:val="(%1)"/>
      <w:numFmt w:val="lowerLetter"/>
      <w:start w:val="2"/>
    </w:lvl>
  </w:abstractNum>
  <w:abstractNum w:abstractNumId="614">
    <w:nsid w:val="48AE393E"/>
    <w:multiLevelType w:val="hybridMultilevel"/>
    <w:lvl w:ilvl="0">
      <w:lvlJc w:val="left"/>
      <w:lvlText w:val="(%1)"/>
      <w:numFmt w:val="lowerLetter"/>
      <w:start w:val="1"/>
    </w:lvl>
    <w:lvl w:ilvl="1">
      <w:lvlJc w:val="left"/>
      <w:lvlText w:val="(%2)"/>
      <w:numFmt w:val="decimal"/>
      <w:start w:val="1"/>
    </w:lvl>
  </w:abstractNum>
  <w:abstractNum w:abstractNumId="615">
    <w:nsid w:val="7726E879"/>
    <w:multiLevelType w:val="hybridMultilevel"/>
    <w:lvl w:ilvl="0">
      <w:lvlJc w:val="left"/>
      <w:lvlText w:val="(%1)"/>
      <w:numFmt w:val="lowerLetter"/>
      <w:start w:val="3"/>
    </w:lvl>
    <w:lvl w:ilvl="1">
      <w:lvlJc w:val="left"/>
      <w:lvlText w:val="(%2)"/>
      <w:numFmt w:val="lowerLetter"/>
      <w:start w:val="2"/>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616">
    <w:nsid w:val="224002E8"/>
    <w:multiLevelType w:val="hybridMultilevel"/>
    <w:lvl w:ilvl="0">
      <w:lvlJc w:val="left"/>
      <w:lvlText w:val="(%1)"/>
      <w:numFmt w:val="upperLetter"/>
      <w:start w:val="2"/>
    </w:lvl>
    <w:lvl w:ilvl="1">
      <w:lvlJc w:val="left"/>
      <w:lvlText w:val="(%2)"/>
      <w:numFmt w:val="lowerRoman"/>
      <w:start w:val="1"/>
    </w:lvl>
  </w:abstractNum>
  <w:abstractNum w:abstractNumId="617">
    <w:nsid w:val="33D9F200"/>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618">
    <w:nsid w:val="9F9D75E"/>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619">
    <w:nsid w:val="F02B952"/>
    <w:multiLevelType w:val="hybridMultilevel"/>
    <w:lvl w:ilvl="0">
      <w:lvlJc w:val="left"/>
      <w:lvlText w:val="(%1)"/>
      <w:numFmt w:val="decimal"/>
      <w:start w:val="2"/>
    </w:lvl>
    <w:lvl w:ilvl="1">
      <w:lvlJc w:val="left"/>
      <w:lvlText w:val="(%2)"/>
      <w:numFmt w:val="lowerRoman"/>
      <w:start w:val="1"/>
    </w:lvl>
  </w:abstractNum>
  <w:abstractNum w:abstractNumId="620">
    <w:nsid w:val="14A73585"/>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621">
    <w:nsid w:val="62B83E2B"/>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622">
    <w:nsid w:val="426157DF"/>
    <w:multiLevelType w:val="hybridMultilevel"/>
    <w:lvl w:ilvl="0">
      <w:lvlJc w:val="left"/>
      <w:lvlText w:val="(%1)"/>
      <w:numFmt w:val="upperLetter"/>
      <w:start w:val="4"/>
    </w:lvl>
  </w:abstractNum>
  <w:abstractNum w:abstractNumId="623">
    <w:nsid w:val="57034E20"/>
    <w:multiLevelType w:val="hybridMultilevel"/>
    <w:lvl w:ilvl="0">
      <w:lvlJc w:val="left"/>
      <w:lvlText w:val="(%1)"/>
      <w:numFmt w:val="decimal"/>
      <w:start w:val="2"/>
    </w:lvl>
    <w:lvl w:ilvl="1">
      <w:lvlJc w:val="left"/>
      <w:lvlText w:val="(%2)"/>
      <w:numFmt w:val="lowerRoman"/>
      <w:start w:val="1"/>
    </w:lvl>
  </w:abstractNum>
  <w:abstractNum w:abstractNumId="624">
    <w:nsid w:val="13E08266"/>
    <w:multiLevelType w:val="hybridMultilevel"/>
    <w:lvl w:ilvl="0">
      <w:lvlJc w:val="left"/>
      <w:lvlText w:val="(%1)"/>
      <w:numFmt w:val="decimal"/>
      <w:start w:val="3"/>
    </w:lvl>
  </w:abstractNum>
  <w:abstractNum w:abstractNumId="625">
    <w:nsid w:val="DE6DA7D"/>
    <w:multiLevelType w:val="hybridMultilevel"/>
    <w:lvl w:ilvl="0">
      <w:lvlJc w:val="left"/>
      <w:lvlText w:val="(%1)"/>
      <w:numFmt w:val="decimal"/>
      <w:start w:val="3"/>
    </w:lvl>
  </w:abstractNum>
  <w:abstractNum w:abstractNumId="626">
    <w:nsid w:val="3A63884D"/>
    <w:multiLevelType w:val="hybridMultilevel"/>
    <w:lvl w:ilvl="0">
      <w:lvlJc w:val="left"/>
      <w:lvlText w:val="(%1)"/>
      <w:numFmt w:val="lowerLetter"/>
      <w:start w:val="5"/>
    </w:lvl>
    <w:lvl w:ilvl="1">
      <w:lvlJc w:val="left"/>
      <w:lvlText w:val="(%2)"/>
      <w:numFmt w:val="decimal"/>
      <w:start w:val="1"/>
    </w:lvl>
    <w:lvl w:ilvl="2">
      <w:lvlJc w:val="left"/>
      <w:lvlText w:val="(%3)"/>
      <w:numFmt w:val="decimal"/>
      <w:start w:val="2"/>
    </w:lvl>
    <w:lvl w:ilvl="3">
      <w:lvlJc w:val="left"/>
      <w:lvlText w:val="(%4)"/>
      <w:numFmt w:val="upperLetter"/>
      <w:start w:val="1"/>
    </w:lvl>
    <w:lvl w:ilvl="4">
      <w:lvlJc w:val="left"/>
      <w:lvlText w:val="(%5)"/>
      <w:numFmt w:val="lowerRoman"/>
      <w:start w:val="1"/>
    </w:lvl>
  </w:abstractNum>
  <w:abstractNum w:abstractNumId="627">
    <w:nsid w:val="7E8245E4"/>
    <w:multiLevelType w:val="hybridMultilevel"/>
    <w:lvl w:ilvl="0">
      <w:lvlJc w:val="left"/>
      <w:lvlText w:val="(%1)"/>
      <w:numFmt w:val="decimal"/>
      <w:start w:val="3"/>
    </w:lvl>
  </w:abstractNum>
  <w:abstractNum w:abstractNumId="628">
    <w:nsid w:val="41DBF358"/>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629">
    <w:nsid w:val="643A57E6"/>
    <w:multiLevelType w:val="hybridMultilevel"/>
    <w:lvl w:ilvl="0">
      <w:lvlJc w:val="left"/>
      <w:lvlText w:val="(%1)"/>
      <w:numFmt w:val="upperLetter"/>
      <w:start w:val="5"/>
    </w:lvl>
  </w:abstractNum>
  <w:abstractNum w:abstractNumId="630">
    <w:nsid w:val="5DB6B5A4"/>
    <w:multiLevelType w:val="hybridMultilevel"/>
    <w:lvl w:ilvl="0">
      <w:lvlJc w:val="left"/>
      <w:lvlText w:val="(%1)"/>
      <w:numFmt w:val="upperLetter"/>
      <w:start w:val="9"/>
    </w:lvl>
  </w:abstractNum>
  <w:abstractNum w:abstractNumId="631">
    <w:nsid w:val="5488892"/>
    <w:multiLevelType w:val="hybridMultilevel"/>
    <w:lvl w:ilvl="0">
      <w:lvlJc w:val="left"/>
      <w:lvlText w:val="(%1)"/>
      <w:numFmt w:val="upperLetter"/>
      <w:start w:val="2"/>
    </w:lvl>
  </w:abstractNum>
  <w:abstractNum w:abstractNumId="632">
    <w:nsid w:val="66346877"/>
    <w:multiLevelType w:val="hybridMultilevel"/>
    <w:lvl w:ilvl="0">
      <w:lvlJc w:val="left"/>
      <w:lvlText w:val="(%1)"/>
      <w:numFmt w:val="upperLetter"/>
      <w:start w:val="5"/>
    </w:lvl>
  </w:abstractNum>
  <w:abstractNum w:abstractNumId="633">
    <w:nsid w:val="5604A66D"/>
    <w:multiLevelType w:val="hybridMultilevel"/>
    <w:lvl w:ilvl="0">
      <w:lvlJc w:val="left"/>
      <w:lvlText w:val="(%1)"/>
      <w:numFmt w:val="upperLetter"/>
      <w:start w:val="9"/>
    </w:lvl>
  </w:abstractNum>
  <w:abstractNum w:abstractNumId="634">
    <w:nsid w:val="71C42CFF"/>
    <w:multiLevelType w:val="hybridMultilevel"/>
    <w:lvl w:ilvl="0">
      <w:lvlJc w:val="left"/>
      <w:lvlText w:val="%1"/>
      <w:numFmt w:val="decimal"/>
      <w:start w:val="1"/>
    </w:lvl>
    <w:lvl w:ilvl="1">
      <w:lvlJc w:val="left"/>
      <w:lvlText w:val="(%2)"/>
      <w:numFmt w:val="upperLetter"/>
      <w:start w:val="3"/>
    </w:lvl>
  </w:abstractNum>
  <w:abstractNum w:abstractNumId="635">
    <w:nsid w:val="60F812BD"/>
    <w:multiLevelType w:val="hybridMultilevel"/>
    <w:lvl w:ilvl="0">
      <w:lvlJc w:val="left"/>
      <w:lvlText w:val="(%1)"/>
      <w:numFmt w:val="decimal"/>
      <w:start w:val="2"/>
    </w:lvl>
    <w:lvl w:ilvl="1">
      <w:lvlJc w:val="left"/>
      <w:lvlText w:val="%2"/>
      <w:numFmt w:val="upperLetter"/>
      <w:start w:val="1"/>
    </w:lvl>
  </w:abstractNum>
  <w:abstractNum w:abstractNumId="636">
    <w:nsid w:val="313894CE"/>
    <w:multiLevelType w:val="hybridMultilevel"/>
    <w:lvl w:ilvl="0">
      <w:lvlJc w:val="left"/>
      <w:lvlText w:val="(%1)"/>
      <w:numFmt w:val="lowerLetter"/>
      <w:start w:val="7"/>
    </w:lvl>
  </w:abstractNum>
  <w:abstractNum w:abstractNumId="637">
    <w:nsid w:val="6A410D4E"/>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638">
    <w:nsid w:val="6169633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639">
    <w:nsid w:val="3974ED1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640">
    <w:nsid w:val="29AA94C7"/>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641">
    <w:nsid w:val="C266F90"/>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642">
    <w:nsid w:val="7FC31CC8"/>
    <w:multiLevelType w:val="hybridMultilevel"/>
    <w:lvl w:ilvl="0">
      <w:lvlJc w:val="left"/>
      <w:lvlText w:val="(%1)"/>
      <w:numFmt w:val="lowerLetter"/>
      <w:start w:val="3"/>
    </w:lvl>
  </w:abstractNum>
  <w:abstractNum w:abstractNumId="643">
    <w:nsid w:val="1E9366AA"/>
    <w:multiLevelType w:val="hybridMultilevel"/>
    <w:lvl w:ilvl="0">
      <w:lvlJc w:val="left"/>
      <w:lvlText w:val="(%1)"/>
      <w:numFmt w:val="lowerLetter"/>
      <w:start w:val="1"/>
    </w:lvl>
  </w:abstractNum>
  <w:abstractNum w:abstractNumId="644">
    <w:nsid w:val="1443B0FA"/>
    <w:multiLevelType w:val="hybridMultilevel"/>
    <w:lvl w:ilvl="0">
      <w:lvlJc w:val="left"/>
      <w:lvlText w:val="(%1)"/>
      <w:numFmt w:val="decimal"/>
      <w:start w:val="1"/>
    </w:lvl>
  </w:abstractNum>
  <w:abstractNum w:abstractNumId="645">
    <w:nsid w:val="48715606"/>
    <w:multiLevelType w:val="hybridMultilevel"/>
    <w:lvl w:ilvl="0">
      <w:lvlJc w:val="left"/>
      <w:lvlText w:val="(%1)"/>
      <w:numFmt w:val="decimal"/>
      <w:start w:val="1"/>
    </w:lvl>
  </w:abstractNum>
  <w:abstractNum w:abstractNumId="646">
    <w:nsid w:val="15BA4F24"/>
    <w:multiLevelType w:val="hybridMultilevel"/>
    <w:lvl w:ilvl="0">
      <w:lvlJc w:val="left"/>
      <w:lvlText w:val="(%1)"/>
      <w:numFmt w:val="decimal"/>
      <w:start w:val="2"/>
    </w:lvl>
  </w:abstractNum>
  <w:abstractNum w:abstractNumId="647">
    <w:nsid w:val="3683B3E2"/>
    <w:multiLevelType w:val="hybridMultilevel"/>
    <w:lvl w:ilvl="0">
      <w:lvlJc w:val="left"/>
      <w:lvlText w:val="(%1)"/>
      <w:numFmt w:val="lowerLetter"/>
      <w:start w:val="1"/>
    </w:lvl>
    <w:lvl w:ilvl="1">
      <w:lvlJc w:val="left"/>
      <w:lvlText w:val="(%2)"/>
      <w:numFmt w:val="decimal"/>
      <w:start w:val="1"/>
    </w:lvl>
  </w:abstractNum>
  <w:abstractNum w:abstractNumId="648">
    <w:nsid w:val="7C4B4806"/>
    <w:multiLevelType w:val="hybridMultilevel"/>
    <w:lvl w:ilvl="0">
      <w:lvlJc w:val="left"/>
      <w:lvlText w:val="(%1)"/>
      <w:numFmt w:val="lowerLetter"/>
      <w:start w:val="2"/>
    </w:lvl>
  </w:abstractNum>
  <w:abstractNum w:abstractNumId="649">
    <w:nsid w:val="1FB42682"/>
    <w:multiLevelType w:val="hybridMultilevel"/>
    <w:lvl w:ilvl="0">
      <w:lvlJc w:val="left"/>
      <w:lvlText w:val="(%1)"/>
      <w:numFmt w:val="lowerLetter"/>
      <w:start w:val="5"/>
    </w:lvl>
  </w:abstractNum>
  <w:abstractNum w:abstractNumId="650">
    <w:nsid w:val="45866D35"/>
    <w:multiLevelType w:val="hybridMultilevel"/>
    <w:lvl w:ilvl="0">
      <w:lvlJc w:val="left"/>
      <w:lvlText w:val="(%1)"/>
      <w:numFmt w:val="decimal"/>
      <w:start w:val="1"/>
    </w:lvl>
  </w:abstractNum>
  <w:abstractNum w:abstractNumId="651">
    <w:nsid w:val="10F27D8C"/>
    <w:multiLevelType w:val="hybridMultilevel"/>
    <w:lvl w:ilvl="0">
      <w:lvlJc w:val="left"/>
      <w:lvlText w:val="(%1)"/>
      <w:numFmt w:val="decimal"/>
      <w:start w:val="4"/>
    </w:lvl>
  </w:abstractNum>
  <w:abstractNum w:abstractNumId="652">
    <w:nsid w:val="26C64AE"/>
    <w:multiLevelType w:val="hybridMultilevel"/>
    <w:lvl w:ilvl="0">
      <w:lvlJc w:val="left"/>
      <w:lvlText w:val="(%1)"/>
      <w:numFmt w:val="decimal"/>
      <w:start w:val="5"/>
    </w:lvl>
  </w:abstractNum>
  <w:abstractNum w:abstractNumId="653">
    <w:nsid w:val="7E7C514"/>
    <w:multiLevelType w:val="hybridMultilevel"/>
    <w:lvl w:ilvl="0">
      <w:lvlJc w:val="left"/>
      <w:lvlText w:val="(%1)"/>
      <w:numFmt w:val="decimal"/>
      <w:start w:val="1"/>
    </w:lvl>
  </w:abstractNum>
  <w:abstractNum w:abstractNumId="654">
    <w:nsid w:val="67F5CBAC"/>
    <w:multiLevelType w:val="hybridMultilevel"/>
    <w:lvl w:ilvl="0">
      <w:lvlJc w:val="left"/>
      <w:lvlText w:val="(%1)"/>
      <w:numFmt w:val="decimal"/>
      <w:start w:val="1"/>
    </w:lvl>
  </w:abstractNum>
  <w:abstractNum w:abstractNumId="655">
    <w:nsid w:val="164CE714"/>
    <w:multiLevelType w:val="hybridMultilevel"/>
    <w:lvl w:ilvl="0">
      <w:lvlJc w:val="left"/>
      <w:lvlText w:val="(%1)"/>
      <w:numFmt w:val="decimal"/>
      <w:start w:val="1"/>
    </w:lvl>
  </w:abstractNum>
  <w:abstractNum w:abstractNumId="656">
    <w:nsid w:val="15CE9F92"/>
    <w:multiLevelType w:val="hybridMultilevel"/>
    <w:lvl w:ilvl="0">
      <w:lvlJc w:val="left"/>
      <w:lvlText w:val="(%1)"/>
      <w:numFmt w:val="upperLetter"/>
      <w:start w:val="1"/>
    </w:lvl>
    <w:lvl w:ilvl="1">
      <w:lvlJc w:val="left"/>
      <w:lvlText w:val="(%2)"/>
      <w:numFmt w:val="decimal"/>
      <w:start w:val="1"/>
    </w:lvl>
  </w:abstractNum>
  <w:abstractNum w:abstractNumId="657">
    <w:nsid w:val="225953F9"/>
    <w:multiLevelType w:val="hybridMultilevel"/>
    <w:lvl w:ilvl="0">
      <w:lvlJc w:val="left"/>
      <w:lvlText w:val="(%1)"/>
      <w:numFmt w:val="lowerLetter"/>
      <w:start w:val="1"/>
    </w:lvl>
    <w:lvl w:ilvl="1">
      <w:lvlJc w:val="left"/>
      <w:lvlText w:val="(%2)"/>
      <w:numFmt w:val="decimal"/>
      <w:start w:val="1"/>
    </w:lvl>
  </w:abstractNum>
  <w:abstractNum w:abstractNumId="658">
    <w:nsid w:val="14CF2CF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659">
    <w:nsid w:val="57AA92EA"/>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660">
    <w:nsid w:val="693ABDF"/>
    <w:multiLevelType w:val="hybridMultilevel"/>
    <w:lvl w:ilvl="0">
      <w:lvlJc w:val="left"/>
      <w:lvlText w:val="(%1)"/>
      <w:numFmt w:val="decimal"/>
      <w:start w:val="4"/>
    </w:lvl>
    <w:lvl w:ilvl="1">
      <w:lvlJc w:val="left"/>
      <w:lvlText w:val="(%2)"/>
      <w:numFmt w:val="lowerLetter"/>
      <w:start w:val="4"/>
    </w:lvl>
    <w:lvl w:ilvl="2">
      <w:lvlJc w:val="left"/>
      <w:lvlText w:val="%3"/>
      <w:numFmt w:val="decimal"/>
      <w:start w:val="1"/>
    </w:lvl>
  </w:abstractNum>
  <w:abstractNum w:abstractNumId="661">
    <w:nsid w:val="7285E29D"/>
    <w:multiLevelType w:val="hybridMultilevel"/>
    <w:lvl w:ilvl="0">
      <w:lvlJc w:val="left"/>
      <w:lvlText w:val="(%1)"/>
      <w:numFmt w:val="lowerLetter"/>
      <w:start w:val="5"/>
    </w:lvl>
  </w:abstractNum>
  <w:abstractNum w:abstractNumId="662">
    <w:nsid w:val="5CF31B7D"/>
    <w:multiLevelType w:val="hybridMultilevel"/>
    <w:lvl w:ilvl="0">
      <w:lvlJc w:val="left"/>
      <w:lvlText w:val="%1"/>
      <w:numFmt w:val="decimal"/>
      <w:start w:val="1"/>
    </w:lvl>
    <w:lvl w:ilvl="1">
      <w:lvlJc w:val="left"/>
      <w:lvlText w:val="(%2)"/>
      <w:numFmt w:val="lowerLetter"/>
      <w:start w:val="1"/>
    </w:lvl>
  </w:abstractNum>
  <w:abstractNum w:abstractNumId="663">
    <w:nsid w:val="6CC81457"/>
    <w:multiLevelType w:val="hybridMultilevel"/>
    <w:lvl w:ilvl="0">
      <w:lvlJc w:val="left"/>
      <w:lvlText w:val="(%1)"/>
      <w:numFmt w:val="decimal"/>
      <w:start w:val="5"/>
    </w:lvl>
    <w:lvl w:ilvl="1">
      <w:lvlJc w:val="left"/>
      <w:lvlText w:val="%2"/>
      <w:numFmt w:val="lowerLetter"/>
      <w:start w:val="1"/>
    </w:lvl>
  </w:abstractNum>
  <w:abstractNum w:abstractNumId="664">
    <w:nsid w:val="488A890A"/>
    <w:multiLevelType w:val="hybridMultilevel"/>
    <w:lvl w:ilvl="0">
      <w:lvlJc w:val="left"/>
      <w:lvlText w:val="(%1)"/>
      <w:numFmt w:val="lowerLetter"/>
      <w:start w:val="1"/>
    </w:lvl>
    <w:lvl w:ilvl="1">
      <w:lvlJc w:val="left"/>
      <w:lvlText w:val="(%2)"/>
      <w:numFmt w:val="decimal"/>
      <w:start w:val="1"/>
    </w:lvl>
  </w:abstractNum>
  <w:abstractNum w:abstractNumId="665">
    <w:nsid w:val="4EB7487C"/>
    <w:multiLevelType w:val="hybridMultilevel"/>
    <w:lvl w:ilvl="0">
      <w:lvlJc w:val="left"/>
      <w:lvlText w:val="(%1)"/>
      <w:numFmt w:val="upperLetter"/>
      <w:start w:val="1"/>
    </w:lvl>
    <w:lvl w:ilvl="1">
      <w:lvlJc w:val="left"/>
      <w:lvlText w:val="(%2)"/>
      <w:numFmt w:val="lowerRoman"/>
      <w:start w:val="1"/>
    </w:lvl>
  </w:abstractNum>
  <w:abstractNum w:abstractNumId="666">
    <w:nsid w:val="4DC02714"/>
    <w:multiLevelType w:val="hybridMultilevel"/>
    <w:lvl w:ilvl="0">
      <w:lvlJc w:val="left"/>
      <w:lvlText w:val="%1"/>
      <w:numFmt w:val="lowerLetter"/>
      <w:start w:val="1"/>
    </w:lvl>
    <w:lvl w:ilvl="1">
      <w:lvlJc w:val="left"/>
      <w:lvlText w:val="(%2)"/>
      <w:numFmt w:val="lowerLetter"/>
      <w:start w:val="61"/>
    </w:lvl>
  </w:abstractNum>
  <w:abstractNum w:abstractNumId="667">
    <w:nsid w:val="79C31DD8"/>
    <w:multiLevelType w:val="hybridMultilevel"/>
    <w:lvl w:ilvl="0">
      <w:lvlJc w:val="left"/>
      <w:lvlText w:val="(%1)"/>
      <w:numFmt w:val="lowerLetter"/>
      <w:start w:val="26"/>
    </w:lvl>
    <w:lvl w:ilvl="1">
      <w:lvlJc w:val="left"/>
      <w:lvlText w:val="%2"/>
      <w:numFmt w:val="lowerLetter"/>
      <w:start w:val="1"/>
    </w:lvl>
  </w:abstractNum>
  <w:abstractNum w:abstractNumId="668">
    <w:nsid w:val="38F855C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669">
    <w:nsid w:val="2F298A4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670">
    <w:nsid w:val="33380AF8"/>
    <w:multiLevelType w:val="hybridMultilevel"/>
    <w:lvl w:ilvl="0">
      <w:lvlJc w:val="left"/>
      <w:lvlText w:val="(%1)"/>
      <w:numFmt w:val="decimal"/>
      <w:start w:val="5"/>
    </w:lvl>
    <w:lvl w:ilvl="1">
      <w:lvlJc w:val="left"/>
      <w:lvlText w:val="(%2)"/>
      <w:numFmt w:val="upperLetter"/>
      <w:start w:val="1"/>
    </w:lvl>
  </w:abstractNum>
  <w:abstractNum w:abstractNumId="671">
    <w:nsid w:val="62A2EA91"/>
    <w:multiLevelType w:val="hybridMultilevel"/>
    <w:lvl w:ilvl="0">
      <w:lvlJc w:val="left"/>
      <w:lvlText w:val="(%1)"/>
      <w:numFmt w:val="decimal"/>
      <w:start w:val="13"/>
    </w:lvl>
  </w:abstractNum>
  <w:abstractNum w:abstractNumId="672">
    <w:nsid w:val="3B4FF9DB"/>
    <w:multiLevelType w:val="hybridMultilevel"/>
    <w:lvl w:ilvl="0">
      <w:lvlJc w:val="left"/>
      <w:lvlText w:val="(%1)"/>
      <w:numFmt w:val="lowerLetter"/>
      <w:start w:val="1"/>
    </w:lvl>
    <w:lvl w:ilvl="1">
      <w:lvlJc w:val="left"/>
      <w:lvlText w:val="(%2)"/>
      <w:numFmt w:val="decimal"/>
      <w:start w:val="1"/>
    </w:lvl>
  </w:abstractNum>
  <w:abstractNum w:abstractNumId="673">
    <w:nsid w:val="32FB27C0"/>
    <w:multiLevelType w:val="hybridMultilevel"/>
    <w:lvl w:ilvl="0">
      <w:lvlJc w:val="left"/>
      <w:lvlText w:val="%1"/>
      <w:numFmt w:val="lowerLetter"/>
      <w:start w:val="1"/>
    </w:lvl>
    <w:lvl w:ilvl="1">
      <w:lvlJc w:val="left"/>
      <w:lvlText w:val="(%2)"/>
      <w:numFmt w:val="decimal"/>
      <w:start w:val="2"/>
    </w:lvl>
  </w:abstractNum>
  <w:abstractNum w:abstractNumId="674">
    <w:nsid w:val="136513C"/>
    <w:multiLevelType w:val="hybridMultilevel"/>
    <w:lvl w:ilvl="0">
      <w:lvlJc w:val="left"/>
      <w:lvlText w:val="(%1)"/>
      <w:numFmt w:val="lowerLetter"/>
      <w:start w:val="2"/>
    </w:lvl>
    <w:lvl w:ilvl="1">
      <w:lvlJc w:val="left"/>
      <w:lvlText w:val="(%2)"/>
      <w:numFmt w:val="decimal"/>
      <w:start w:val="1"/>
    </w:lvl>
  </w:abstractNum>
  <w:abstractNum w:abstractNumId="675">
    <w:nsid w:val="4F93AAD5"/>
    <w:multiLevelType w:val="hybridMultilevel"/>
    <w:lvl w:ilvl="0">
      <w:lvlJc w:val="left"/>
      <w:lvlText w:val="(%1)"/>
      <w:numFmt w:val="decimal"/>
      <w:start w:val="10"/>
    </w:lvl>
  </w:abstractNum>
  <w:abstractNum w:abstractNumId="676">
    <w:nsid w:val="7B6C7DC6"/>
    <w:multiLevelType w:val="hybridMultilevel"/>
    <w:lvl w:ilvl="0">
      <w:lvlJc w:val="left"/>
      <w:lvlText w:val="(%1)"/>
      <w:numFmt w:val="lowerLetter"/>
      <w:start w:val="1"/>
    </w:lvl>
    <w:lvl w:ilvl="1">
      <w:lvlJc w:val="left"/>
      <w:lvlText w:val="(%2)"/>
      <w:numFmt w:val="decimal"/>
      <w:start w:val="1"/>
    </w:lvl>
  </w:abstractNum>
  <w:abstractNum w:abstractNumId="677">
    <w:nsid w:val="16F0A060"/>
    <w:multiLevelType w:val="hybridMultilevel"/>
    <w:lvl w:ilvl="0">
      <w:lvlJc w:val="left"/>
      <w:lvlText w:val="(%1)"/>
      <w:numFmt w:val="decimal"/>
      <w:start w:val="2"/>
    </w:lvl>
    <w:lvl w:ilvl="1">
      <w:lvlJc w:val="left"/>
      <w:lvlText w:val="(%2)"/>
      <w:numFmt w:val="upperLetter"/>
      <w:start w:val="1"/>
    </w:lvl>
  </w:abstractNum>
  <w:abstractNum w:abstractNumId="678">
    <w:nsid w:val="6175EB8"/>
    <w:multiLevelType w:val="hybridMultilevel"/>
    <w:lvl w:ilvl="0">
      <w:lvlJc w:val="left"/>
      <w:lvlText w:val="%1"/>
      <w:numFmt w:val="decimal"/>
      <w:start w:val="1"/>
    </w:lvl>
    <w:lvl w:ilvl="1">
      <w:lvlJc w:val="left"/>
      <w:lvlText w:val="(%2)"/>
      <w:numFmt w:val="decimal"/>
      <w:start w:val="8"/>
    </w:lvl>
    <w:lvl w:ilvl="2">
      <w:lvlJc w:val="left"/>
      <w:lvlText w:val="(%3)"/>
      <w:numFmt w:val="upperLetter"/>
      <w:start w:val="1"/>
    </w:lvl>
  </w:abstractNum>
  <w:abstractNum w:abstractNumId="679">
    <w:nsid w:val="77B7C5CC"/>
    <w:multiLevelType w:val="hybridMultilevel"/>
    <w:lvl w:ilvl="0">
      <w:lvlJc w:val="left"/>
      <w:lvlText w:val="(%1)"/>
      <w:numFmt w:val="decimal"/>
      <w:start w:val="22"/>
    </w:lvl>
    <w:lvl w:ilvl="1">
      <w:lvlJc w:val="left"/>
      <w:lvlText w:val="(%2)"/>
      <w:numFmt w:val="decimal"/>
      <w:start w:val="16"/>
    </w:lvl>
    <w:lvl w:ilvl="2">
      <w:lvlJc w:val="left"/>
      <w:lvlText w:val="%3"/>
      <w:numFmt w:val="upperLetter"/>
      <w:start w:val="1"/>
    </w:lvl>
  </w:abstractNum>
  <w:abstractNum w:abstractNumId="680">
    <w:nsid w:val="36A4C6E2"/>
    <w:multiLevelType w:val="hybridMultilevel"/>
    <w:lvl w:ilvl="0">
      <w:lvlJc w:val="left"/>
      <w:lvlText w:val="(%1)"/>
      <w:numFmt w:val="decimal"/>
      <w:start w:val="17"/>
    </w:lvl>
  </w:abstractNum>
  <w:abstractNum w:abstractNumId="681">
    <w:nsid w:val="4B9DCBED"/>
    <w:multiLevelType w:val="hybridMultilevel"/>
    <w:lvl w:ilvl="0">
      <w:lvlJc w:val="left"/>
      <w:lvlText w:val="(%1)"/>
      <w:numFmt w:val="decimal"/>
      <w:start w:val="1"/>
    </w:lvl>
    <w:lvl w:ilvl="1">
      <w:lvlJc w:val="left"/>
      <w:lvlText w:val="(%2)"/>
      <w:numFmt w:val="upperLetter"/>
      <w:start w:val="1"/>
    </w:lvl>
  </w:abstractNum>
  <w:abstractNum w:abstractNumId="682">
    <w:nsid w:val="8AA435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683">
    <w:nsid w:val="39112B90"/>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684">
    <w:nsid w:val="53859101"/>
    <w:multiLevelType w:val="hybridMultilevel"/>
    <w:lvl w:ilvl="0">
      <w:lvlJc w:val="left"/>
      <w:lvlText w:val="%1"/>
      <w:numFmt w:val="decimal"/>
      <w:start w:val="1"/>
    </w:lvl>
    <w:lvl w:ilvl="1">
      <w:lvlJc w:val="left"/>
      <w:lvlText w:val="(%2)"/>
      <w:numFmt w:val="decimal"/>
      <w:start w:val="4"/>
    </w:lvl>
  </w:abstractNum>
  <w:abstractNum w:abstractNumId="685">
    <w:nsid w:val="70A00F05"/>
    <w:multiLevelType w:val="hybridMultilevel"/>
    <w:lvl w:ilvl="0">
      <w:lvlJc w:val="left"/>
      <w:lvlText w:val="(%1)"/>
      <w:numFmt w:val="decimal"/>
      <w:start w:val="3"/>
    </w:lvl>
    <w:lvl w:ilvl="1">
      <w:lvlJc w:val="left"/>
      <w:lvlText w:val="%2"/>
      <w:numFmt w:val="decimal"/>
      <w:start w:val="1"/>
    </w:lvl>
  </w:abstractNum>
  <w:abstractNum w:abstractNumId="686">
    <w:nsid w:val="4F5E12A4"/>
    <w:multiLevelType w:val="hybridMultilevel"/>
    <w:lvl w:ilvl="0">
      <w:lvlJc w:val="left"/>
      <w:lvlText w:val="(%1)"/>
      <w:numFmt w:val="lowerLetter"/>
      <w:start w:val="3"/>
    </w:lvl>
  </w:abstractNum>
  <w:abstractNum w:abstractNumId="687">
    <w:nsid w:val="69543093"/>
    <w:multiLevelType w:val="hybridMultilevel"/>
    <w:lvl w:ilvl="0">
      <w:lvlJc w:val="left"/>
      <w:lvlText w:val="(%1)"/>
      <w:numFmt w:val="lowerLetter"/>
      <w:start w:val="1"/>
    </w:lvl>
    <w:lvl w:ilvl="1">
      <w:lvlJc w:val="left"/>
      <w:lvlText w:val="(%2)"/>
      <w:numFmt w:val="decimal"/>
      <w:start w:val="1"/>
    </w:lvl>
  </w:abstractNum>
  <w:abstractNum w:abstractNumId="688">
    <w:nsid w:val="12F962FE"/>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689">
    <w:nsid w:val="642D3F9D"/>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690">
    <w:nsid w:val="40FEC37E"/>
    <w:multiLevelType w:val="hybridMultilevel"/>
    <w:lvl w:ilvl="0">
      <w:lvlJc w:val="left"/>
      <w:lvlText w:val="(%1)"/>
      <w:numFmt w:val="decimal"/>
      <w:start w:val="1"/>
    </w:lvl>
  </w:abstractNum>
  <w:abstractNum w:abstractNumId="691">
    <w:nsid w:val="198D0EDE"/>
    <w:multiLevelType w:val="hybridMultilevel"/>
    <w:lvl w:ilvl="0">
      <w:lvlJc w:val="left"/>
      <w:lvlText w:val="%1"/>
      <w:numFmt w:val="lowerLetter"/>
      <w:start w:val="1"/>
    </w:lvl>
    <w:lvl w:ilvl="1">
      <w:lvlJc w:val="left"/>
      <w:lvlText w:val="(%2)"/>
      <w:numFmt w:val="decimal"/>
      <w:start w:val="8"/>
    </w:lvl>
  </w:abstractNum>
  <w:abstractNum w:abstractNumId="692">
    <w:nsid w:val="56B3223A"/>
    <w:multiLevelType w:val="hybridMultilevel"/>
    <w:lvl w:ilvl="0">
      <w:lvlJc w:val="left"/>
      <w:lvlText w:val="(%1)"/>
      <w:numFmt w:val="lowerLetter"/>
      <w:start w:val="1"/>
    </w:lvl>
    <w:lvl w:ilvl="1">
      <w:lvlJc w:val="left"/>
      <w:lvlText w:val="(%2)"/>
      <w:numFmt w:val="decimal"/>
      <w:start w:val="11"/>
    </w:lvl>
  </w:abstractNum>
  <w:abstractNum w:abstractNumId="693">
    <w:nsid w:val="1DF1DEFB"/>
    <w:multiLevelType w:val="hybridMultilevel"/>
    <w:lvl w:ilvl="0">
      <w:lvlJc w:val="left"/>
      <w:lvlText w:val="(%1)"/>
      <w:numFmt w:val="decimal"/>
      <w:start w:val="1"/>
    </w:lvl>
  </w:abstractNum>
  <w:abstractNum w:abstractNumId="694">
    <w:nsid w:val="6552335"/>
    <w:multiLevelType w:val="hybridMultilevel"/>
    <w:lvl w:ilvl="0">
      <w:lvlJc w:val="left"/>
      <w:lvlText w:val="(%1)"/>
      <w:numFmt w:val="lowerLetter"/>
      <w:start w:val="1"/>
    </w:lvl>
    <w:lvl w:ilvl="1">
      <w:lvlJc w:val="left"/>
      <w:lvlText w:val="(%2)"/>
      <w:numFmt w:val="decimal"/>
      <w:start w:val="1"/>
    </w:lvl>
  </w:abstractNum>
  <w:abstractNum w:abstractNumId="695">
    <w:nsid w:val="1F3DAB44"/>
    <w:multiLevelType w:val="hybridMultilevel"/>
    <w:lvl w:ilvl="0">
      <w:lvlJc w:val="left"/>
      <w:lvlText w:val="(%1)"/>
      <w:numFmt w:val="decimal"/>
      <w:start w:val="4"/>
    </w:lvl>
  </w:abstractNum>
  <w:abstractNum w:abstractNumId="696">
    <w:nsid w:val="6CA92777"/>
    <w:multiLevelType w:val="hybridMultilevel"/>
    <w:lvl w:ilvl="0">
      <w:lvlJc w:val="left"/>
      <w:lvlText w:val="%1"/>
      <w:numFmt w:val="lowerLetter"/>
      <w:start w:val="1"/>
    </w:lvl>
    <w:lvl w:ilvl="1">
      <w:lvlJc w:val="left"/>
      <w:lvlText w:val="(%2)"/>
      <w:numFmt w:val="decimal"/>
      <w:start w:val="5"/>
    </w:lvl>
  </w:abstractNum>
  <w:abstractNum w:abstractNumId="697">
    <w:nsid w:val="54154A49"/>
    <w:multiLevelType w:val="hybridMultilevel"/>
    <w:lvl w:ilvl="0">
      <w:lvlJc w:val="left"/>
      <w:lvlText w:val="(%1)"/>
      <w:numFmt w:val="lowerLetter"/>
      <w:start w:val="2"/>
    </w:lvl>
    <w:lvl w:ilvl="1">
      <w:lvlJc w:val="left"/>
      <w:lvlText w:val="(%2)"/>
      <w:numFmt w:val="decimal"/>
      <w:start w:val="1"/>
    </w:lvl>
  </w:abstractNum>
  <w:abstractNum w:abstractNumId="698">
    <w:nsid w:val="1900C91C"/>
    <w:multiLevelType w:val="hybridMultilevel"/>
    <w:lvl w:ilvl="0">
      <w:lvlJc w:val="left"/>
      <w:lvlText w:val="%1"/>
      <w:numFmt w:val="decimal"/>
      <w:start w:val="1"/>
    </w:lvl>
    <w:lvl w:ilvl="1">
      <w:lvlJc w:val="left"/>
      <w:lvlText w:val="(%2)"/>
      <w:numFmt w:val="lowerLetter"/>
      <w:start w:val="3"/>
    </w:lvl>
  </w:abstractNum>
  <w:abstractNum w:abstractNumId="699">
    <w:nsid w:val="25A17D41"/>
    <w:multiLevelType w:val="hybridMultilevel"/>
    <w:lvl w:ilvl="0">
      <w:lvlJc w:val="left"/>
      <w:lvlText w:val="(%1)"/>
      <w:numFmt w:val="decimal"/>
      <w:start w:val="2"/>
    </w:lvl>
    <w:lvl w:ilvl="1">
      <w:lvlJc w:val="left"/>
      <w:lvlText w:val="(%2)"/>
      <w:numFmt w:val="lowerLetter"/>
      <w:start w:val="4"/>
    </w:lvl>
  </w:abstractNum>
  <w:abstractNum w:abstractNumId="700">
    <w:nsid w:val="33ED493"/>
    <w:multiLevelType w:val="hybridMultilevel"/>
    <w:lvl w:ilvl="0">
      <w:lvlJc w:val="left"/>
      <w:lvlText w:val="(%1)"/>
      <w:numFmt w:val="lowerLetter"/>
      <w:start w:val="1"/>
    </w:lvl>
    <w:lvl w:ilvl="1">
      <w:lvlJc w:val="left"/>
      <w:lvlText w:val="(%2)"/>
      <w:numFmt w:val="decimal"/>
      <w:start w:val="1"/>
    </w:lvl>
  </w:abstractNum>
  <w:abstractNum w:abstractNumId="701">
    <w:nsid w:val="4C38D414"/>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702">
    <w:nsid w:val="84467D2"/>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703">
    <w:nsid w:val="3E8ECE6E"/>
    <w:multiLevelType w:val="hybridMultilevel"/>
    <w:lvl w:ilvl="0">
      <w:lvlJc w:val="left"/>
      <w:lvlText w:val="(%1)"/>
      <w:numFmt w:val="lowerLetter"/>
      <w:start w:val="1"/>
    </w:lvl>
    <w:lvl w:ilvl="1">
      <w:lvlJc w:val="left"/>
      <w:lvlText w:val="(%2)"/>
      <w:numFmt w:val="decimal"/>
      <w:start w:val="1"/>
    </w:lvl>
  </w:abstractNum>
  <w:abstractNum w:abstractNumId="704">
    <w:nsid w:val="7F33FBD4"/>
    <w:multiLevelType w:val="hybridMultilevel"/>
    <w:lvl w:ilvl="0">
      <w:lvlJc w:val="left"/>
      <w:lvlText w:val="(%1)"/>
      <w:numFmt w:val="lowerLetter"/>
      <w:start w:val="4"/>
    </w:lvl>
  </w:abstractNum>
  <w:abstractNum w:abstractNumId="705">
    <w:nsid w:val="97AB90E"/>
    <w:multiLevelType w:val="hybridMultilevel"/>
    <w:lvl w:ilvl="0">
      <w:lvlJc w:val="left"/>
      <w:lvlText w:val="(%1)"/>
      <w:numFmt w:val="decimal"/>
      <w:start w:val="1"/>
    </w:lvl>
  </w:abstractNum>
  <w:abstractNum w:abstractNumId="706">
    <w:nsid w:val="E227944"/>
    <w:multiLevelType w:val="hybridMultilevel"/>
    <w:lvl w:ilvl="0">
      <w:lvlJc w:val="left"/>
      <w:lvlText w:val="(%1)"/>
      <w:numFmt w:val="lowerLetter"/>
      <w:start w:val="1"/>
    </w:lvl>
  </w:abstractNum>
  <w:abstractNum w:abstractNumId="707">
    <w:nsid w:val="7AA0799A"/>
    <w:multiLevelType w:val="hybridMultilevel"/>
    <w:lvl w:ilvl="0">
      <w:lvlJc w:val="left"/>
      <w:lvlText w:val="%1"/>
      <w:numFmt w:val="upperLetter"/>
      <w:start w:val="1"/>
    </w:lvl>
    <w:lvl w:ilvl="1">
      <w:lvlJc w:val="left"/>
      <w:lvlText w:val="(%2)"/>
      <w:numFmt w:val="lowerLetter"/>
      <w:start w:val="2"/>
    </w:lvl>
  </w:abstractNum>
  <w:abstractNum w:abstractNumId="708">
    <w:nsid w:val="206B596E"/>
    <w:multiLevelType w:val="hybridMultilevel"/>
    <w:lvl w:ilvl="0">
      <w:lvlJc w:val="left"/>
      <w:lvlText w:val="(%1)"/>
      <w:numFmt w:val="upperLetter"/>
      <w:start w:val="3"/>
    </w:lvl>
    <w:lvl w:ilvl="1">
      <w:lvlJc w:val="left"/>
      <w:lvlText w:val="%2"/>
      <w:numFmt w:val="lowerLetter"/>
      <w:start w:val="1"/>
    </w:lvl>
  </w:abstractNum>
  <w:abstractNum w:abstractNumId="709">
    <w:nsid w:val="1439D7F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710">
    <w:nsid w:val="72583F67"/>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711">
    <w:nsid w:val="57102051"/>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712">
    <w:nsid w:val="5FD7A3E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713">
    <w:nsid w:val="7B0282BF"/>
    <w:multiLevelType w:val="hybridMultilevel"/>
    <w:lvl w:ilvl="0">
      <w:lvlJc w:val="left"/>
      <w:lvlText w:val="(%1)"/>
      <w:numFmt w:val="decimal"/>
      <w:start w:val="6"/>
    </w:lvl>
    <w:lvl w:ilvl="1">
      <w:lvlJc w:val="left"/>
      <w:lvlText w:val="(%2)"/>
      <w:numFmt w:val="upperLetter"/>
      <w:start w:val="1"/>
    </w:lvl>
  </w:abstractNum>
  <w:abstractNum w:abstractNumId="714">
    <w:nsid w:val="10214BE1"/>
    <w:multiLevelType w:val="hybridMultilevel"/>
    <w:lvl w:ilvl="0">
      <w:lvlJc w:val="left"/>
      <w:lvlText w:val="%1"/>
      <w:numFmt w:val="decimal"/>
      <w:start w:val="1"/>
    </w:lvl>
    <w:lvl w:ilvl="1">
      <w:lvlJc w:val="left"/>
      <w:lvlText w:val="(%2)"/>
      <w:numFmt w:val="upperLetter"/>
      <w:start w:val="2"/>
    </w:lvl>
  </w:abstractNum>
  <w:abstractNum w:abstractNumId="715">
    <w:nsid w:val="335D34EA"/>
    <w:multiLevelType w:val="hybridMultilevel"/>
    <w:lvl w:ilvl="0">
      <w:lvlJc w:val="left"/>
      <w:lvlText w:val="(%1)"/>
      <w:numFmt w:val="decimal"/>
      <w:start w:val="8"/>
    </w:lvl>
    <w:lvl w:ilvl="1">
      <w:lvlJc w:val="left"/>
      <w:lvlText w:val="(%2)"/>
      <w:numFmt w:val="upperLetter"/>
      <w:start w:val="1"/>
    </w:lvl>
  </w:abstractNum>
  <w:abstractNum w:abstractNumId="716">
    <w:nsid w:val="6BA291C4"/>
    <w:multiLevelType w:val="hybridMultilevel"/>
    <w:lvl w:ilvl="0">
      <w:lvlJc w:val="left"/>
      <w:lvlText w:val="(%1)"/>
      <w:numFmt w:val="lowerLetter"/>
      <w:start w:val="1"/>
    </w:lvl>
    <w:lvl w:ilvl="1">
      <w:lvlJc w:val="left"/>
      <w:lvlText w:val="(%2)"/>
      <w:numFmt w:val="decimal"/>
      <w:start w:val="1"/>
    </w:lvl>
  </w:abstractNum>
  <w:abstractNum w:abstractNumId="717">
    <w:nsid w:val="5F7F5E86"/>
    <w:multiLevelType w:val="hybridMultilevel"/>
    <w:lvl w:ilvl="0">
      <w:lvlJc w:val="left"/>
      <w:lvlText w:val="(%1)"/>
      <w:numFmt w:val="lowerLetter"/>
      <w:start w:val="1"/>
    </w:lvl>
    <w:lvl w:ilvl="1">
      <w:lvlJc w:val="left"/>
      <w:lvlText w:val="(%2)"/>
      <w:numFmt w:val="decimal"/>
      <w:start w:val="1"/>
    </w:lvl>
  </w:abstractNum>
  <w:abstractNum w:abstractNumId="718">
    <w:nsid w:val="1CB1657E"/>
    <w:multiLevelType w:val="hybridMultilevel"/>
    <w:lvl w:ilvl="0">
      <w:lvlJc w:val="left"/>
      <w:lvlText w:val="%1"/>
      <w:numFmt w:val="lowerLetter"/>
      <w:start w:val="1"/>
    </w:lvl>
    <w:lvl w:ilvl="1">
      <w:lvlJc w:val="left"/>
      <w:lvlText w:val="(%2)"/>
      <w:numFmt w:val="decimal"/>
      <w:start w:val="3"/>
    </w:lvl>
  </w:abstractNum>
  <w:abstractNum w:abstractNumId="719">
    <w:nsid w:val="7E9BF4C3"/>
    <w:multiLevelType w:val="hybridMultilevel"/>
    <w:lvl w:ilvl="0">
      <w:lvlJc w:val="left"/>
      <w:lvlText w:val="(%1)"/>
      <w:numFmt w:val="lowerLetter"/>
      <w:start w:val="4"/>
    </w:lvl>
    <w:lvl w:ilvl="1">
      <w:lvlJc w:val="left"/>
      <w:lvlText w:val="%2"/>
      <w:numFmt w:val="decimal"/>
      <w:start w:val="1"/>
    </w:lvl>
  </w:abstractNum>
  <w:abstractNum w:abstractNumId="720">
    <w:nsid w:val="43AC9E23"/>
    <w:multiLevelType w:val="hybridMultilevel"/>
    <w:lvl w:ilvl="0">
      <w:lvlJc w:val="left"/>
      <w:lvlText w:val="(%1)"/>
      <w:numFmt w:val="lowerLetter"/>
      <w:start w:val="1"/>
    </w:lvl>
  </w:abstractNum>
  <w:abstractNum w:abstractNumId="721">
    <w:nsid w:val="5DB028FC"/>
    <w:multiLevelType w:val="hybridMultilevel"/>
    <w:lvl w:ilvl="0">
      <w:lvlJc w:val="left"/>
      <w:lvlText w:val="(%1)"/>
      <w:numFmt w:val="lowerLetter"/>
      <w:start w:val="8"/>
    </w:lvl>
  </w:abstractNum>
  <w:abstractNum w:abstractNumId="722">
    <w:nsid w:val="182903A1"/>
    <w:multiLevelType w:val="hybridMultilevel"/>
    <w:lvl w:ilvl="0">
      <w:lvlJc w:val="left"/>
      <w:lvlText w:val="(%1)"/>
      <w:numFmt w:val="lowerLetter"/>
      <w:start w:val="18"/>
    </w:lvl>
  </w:abstractNum>
  <w:abstractNum w:abstractNumId="723">
    <w:nsid w:val="1A5FC05D"/>
    <w:multiLevelType w:val="hybridMultilevel"/>
    <w:lvl w:ilvl="0">
      <w:lvlJc w:val="left"/>
      <w:lvlText w:val="(%1)"/>
      <w:numFmt w:val="lowerLetter"/>
      <w:start w:val="1"/>
    </w:lvl>
  </w:abstractNum>
  <w:abstractNum w:abstractNumId="724">
    <w:nsid w:val="7BA207F7"/>
    <w:multiLevelType w:val="hybridMultilevel"/>
    <w:lvl w:ilvl="0">
      <w:lvlJc w:val="left"/>
      <w:lvlText w:val="(%1)"/>
      <w:numFmt w:val="lowerLetter"/>
      <w:start w:val="1"/>
    </w:lvl>
  </w:abstractNum>
  <w:abstractNum w:abstractNumId="725">
    <w:nsid w:val="1E7E26D6"/>
    <w:multiLevelType w:val="hybridMultilevel"/>
    <w:lvl w:ilvl="0">
      <w:lvlJc w:val="left"/>
      <w:lvlText w:val="(%1)"/>
      <w:numFmt w:val="lowerLetter"/>
      <w:start w:val="4"/>
    </w:lvl>
  </w:abstractNum>
  <w:abstractNum w:abstractNumId="726">
    <w:nsid w:val="399D6BA1"/>
    <w:multiLevelType w:val="hybridMultilevel"/>
    <w:lvl w:ilvl="0">
      <w:lvlJc w:val="left"/>
      <w:lvlText w:val="(%1)"/>
      <w:numFmt w:val="lowerLetter"/>
      <w:start w:val="1"/>
    </w:lvl>
    <w:lvl w:ilvl="1">
      <w:lvlJc w:val="left"/>
      <w:lvlText w:val="(%2)"/>
      <w:numFmt w:val="decimal"/>
      <w:start w:val="1"/>
    </w:lvl>
  </w:abstractNum>
  <w:abstractNum w:abstractNumId="727">
    <w:nsid w:val="684B2F6E"/>
    <w:multiLevelType w:val="hybridMultilevel"/>
    <w:lvl w:ilvl="0">
      <w:lvlJc w:val="left"/>
      <w:lvlText w:val="(%1)"/>
      <w:numFmt w:val="lowerLetter"/>
      <w:start w:val="1"/>
    </w:lvl>
    <w:lvl w:ilvl="1">
      <w:lvlJc w:val="left"/>
      <w:lvlText w:val="(%2)"/>
      <w:numFmt w:val="decimal"/>
      <w:start w:val="1"/>
    </w:lvl>
  </w:abstractNum>
  <w:abstractNum w:abstractNumId="728">
    <w:nsid w:val="7293711F"/>
    <w:multiLevelType w:val="hybridMultilevel"/>
    <w:lvl w:ilvl="0">
      <w:lvlJc w:val="left"/>
      <w:lvlText w:val="(%1)"/>
      <w:numFmt w:val="lowerLetter"/>
      <w:start w:val="2"/>
    </w:lvl>
  </w:abstractNum>
  <w:abstractNum w:abstractNumId="729">
    <w:nsid w:val="529E34BD"/>
    <w:multiLevelType w:val="hybridMultilevel"/>
    <w:lvl w:ilvl="0">
      <w:lvlJc w:val="left"/>
      <w:lvlText w:val="(%1)"/>
      <w:numFmt w:val="decimal"/>
      <w:start w:val="1"/>
    </w:lvl>
  </w:abstractNum>
  <w:abstractNum w:abstractNumId="730">
    <w:nsid w:val="DECACAF"/>
    <w:multiLevelType w:val="hybridMultilevel"/>
    <w:lvl w:ilvl="0">
      <w:lvlJc w:val="left"/>
      <w:lvlText w:val="(%1)"/>
      <w:numFmt w:val="decimal"/>
      <w:start w:val="1"/>
    </w:lvl>
  </w:abstractNum>
  <w:abstractNum w:abstractNumId="731">
    <w:nsid w:val="75D245B2"/>
    <w:multiLevelType w:val="hybridMultilevel"/>
    <w:lvl w:ilvl="0">
      <w:lvlJc w:val="left"/>
      <w:lvlText w:val="(%1)"/>
      <w:numFmt w:val="decimal"/>
      <w:start w:val="2"/>
    </w:lvl>
    <w:lvl w:ilvl="1">
      <w:lvlJc w:val="left"/>
      <w:lvlText w:val="(%2)"/>
      <w:numFmt w:val="upperLetter"/>
      <w:start w:val="1"/>
    </w:lvl>
  </w:abstractNum>
  <w:abstractNum w:abstractNumId="732">
    <w:nsid w:val="1ED708D2"/>
    <w:multiLevelType w:val="hybridMultilevel"/>
    <w:lvl w:ilvl="0">
      <w:lvlJc w:val="left"/>
      <w:lvlText w:val="(%1)"/>
      <w:numFmt w:val="decimal"/>
      <w:start w:val="3"/>
    </w:lvl>
  </w:abstractNum>
  <w:abstractNum w:abstractNumId="733">
    <w:nsid w:val="16311481"/>
    <w:multiLevelType w:val="hybridMultilevel"/>
    <w:lvl w:ilvl="0">
      <w:lvlJc w:val="left"/>
      <w:lvlText w:val="(%1)"/>
      <w:numFmt w:val="decimal"/>
      <w:start w:val="1"/>
    </w:lvl>
  </w:abstractNum>
  <w:abstractNum w:abstractNumId="734">
    <w:nsid w:val="34611421"/>
    <w:multiLevelType w:val="hybridMultilevel"/>
    <w:lvl w:ilvl="0">
      <w:lvlJc w:val="left"/>
      <w:lvlText w:val="(%1)"/>
      <w:numFmt w:val="decimal"/>
      <w:start w:val="1"/>
    </w:lvl>
  </w:abstractNum>
  <w:abstractNum w:abstractNumId="735">
    <w:nsid w:val="1E0B04A6"/>
    <w:multiLevelType w:val="hybridMultilevel"/>
    <w:lvl w:ilvl="0">
      <w:lvlJc w:val="left"/>
      <w:lvlText w:val="(%1)"/>
      <w:numFmt w:val="lowerLetter"/>
      <w:start w:val="1"/>
    </w:lvl>
  </w:abstractNum>
  <w:abstractNum w:abstractNumId="736">
    <w:nsid w:val="1FABCD90"/>
    <w:multiLevelType w:val="hybridMultilevel"/>
    <w:lvl w:ilvl="0">
      <w:lvlJc w:val="left"/>
      <w:lvlText w:val="(%1)"/>
      <w:numFmt w:val="lowerLetter"/>
      <w:start w:val="2"/>
    </w:lvl>
  </w:abstractNum>
  <w:abstractNum w:abstractNumId="737">
    <w:nsid w:val="42838D65"/>
    <w:multiLevelType w:val="hybridMultilevel"/>
    <w:lvl w:ilvl="0">
      <w:lvlJc w:val="left"/>
      <w:lvlText w:val="%1"/>
      <w:numFmt w:val="decimal"/>
      <w:start w:val="1"/>
    </w:lvl>
    <w:lvl w:ilvl="1">
      <w:lvlJc w:val="left"/>
      <w:lvlText w:val="(%2)"/>
      <w:numFmt w:val="lowerLetter"/>
      <w:start w:val="7"/>
    </w:lvl>
  </w:abstractNum>
  <w:abstractNum w:abstractNumId="738">
    <w:nsid w:val="18AB7E41"/>
    <w:multiLevelType w:val="hybridMultilevel"/>
    <w:lvl w:ilvl="0">
      <w:lvlJc w:val="left"/>
      <w:lvlText w:val="(%1)"/>
      <w:numFmt w:val="decimal"/>
      <w:start w:val="1"/>
    </w:lvl>
    <w:lvl w:ilvl="1">
      <w:lvlJc w:val="left"/>
      <w:lvlText w:val="(%2)"/>
      <w:numFmt w:val="lowerLetter"/>
      <w:start w:val="9"/>
    </w:lvl>
  </w:abstractNum>
  <w:abstractNum w:abstractNumId="739">
    <w:nsid w:val="401726FE"/>
    <w:multiLevelType w:val="hybridMultilevel"/>
    <w:lvl w:ilvl="0">
      <w:lvlJc w:val="left"/>
      <w:lvlText w:val="(%1)"/>
      <w:numFmt w:val="lowerLetter"/>
      <w:start w:val="1"/>
    </w:lvl>
    <w:lvl w:ilvl="1">
      <w:lvlJc w:val="left"/>
      <w:lvlText w:val="(%2)"/>
      <w:numFmt w:val="decimal"/>
      <w:start w:val="1"/>
    </w:lvl>
  </w:abstractNum>
  <w:abstractNum w:abstractNumId="740">
    <w:nsid w:val="56BD6561"/>
    <w:multiLevelType w:val="hybridMultilevel"/>
    <w:lvl w:ilvl="0">
      <w:lvlJc w:val="left"/>
      <w:lvlText w:val="%1"/>
      <w:numFmt w:val="lowerLetter"/>
      <w:start w:val="1"/>
    </w:lvl>
    <w:lvl w:ilvl="1">
      <w:lvlJc w:val="left"/>
      <w:lvlText w:val="(%2)"/>
      <w:numFmt w:val="decimal"/>
      <w:start w:val="6"/>
    </w:lvl>
  </w:abstractNum>
  <w:abstractNum w:abstractNumId="741">
    <w:nsid w:val="B03BDA8"/>
    <w:multiLevelType w:val="hybridMultilevel"/>
    <w:lvl w:ilvl="0">
      <w:lvlJc w:val="left"/>
      <w:lvlText w:val="(%1)"/>
      <w:numFmt w:val="lowerLetter"/>
      <w:start w:val="3"/>
    </w:lvl>
    <w:lvl w:ilvl="1">
      <w:lvlJc w:val="left"/>
      <w:lvlText w:val="%2"/>
      <w:numFmt w:val="decimal"/>
      <w:start w:val="1"/>
    </w:lvl>
  </w:abstractNum>
  <w:abstractNum w:abstractNumId="742">
    <w:nsid w:val="1727474F"/>
    <w:multiLevelType w:val="hybridMultilevel"/>
    <w:lvl w:ilvl="0">
      <w:lvlJc w:val="left"/>
      <w:lvlText w:val="(%1)"/>
      <w:numFmt w:val="decimal"/>
      <w:start w:val="1"/>
    </w:lvl>
    <w:lvl w:ilvl="1">
      <w:lvlJc w:val="left"/>
      <w:lvlText w:val="(%2)"/>
      <w:numFmt w:val="upperLetter"/>
      <w:start w:val="1"/>
    </w:lvl>
  </w:abstractNum>
  <w:abstractNum w:abstractNumId="743">
    <w:nsid w:val="3695094A"/>
    <w:multiLevelType w:val="hybridMultilevel"/>
    <w:lvl w:ilvl="0">
      <w:lvlJc w:val="left"/>
      <w:lvlText w:val="(%1)"/>
      <w:numFmt w:val="lowerLetter"/>
      <w:start w:val="2"/>
    </w:lvl>
  </w:abstractNum>
  <w:abstractNum w:abstractNumId="744">
    <w:nsid w:val="6064067"/>
    <w:multiLevelType w:val="hybridMultilevel"/>
    <w:lvl w:ilvl="0">
      <w:lvlJc w:val="left"/>
      <w:lvlText w:val="(%1)"/>
      <w:numFmt w:val="decimal"/>
      <w:start w:val="1"/>
    </w:lvl>
  </w:abstractNum>
  <w:abstractNum w:abstractNumId="745">
    <w:nsid w:val="27489331"/>
    <w:multiLevelType w:val="hybridMultilevel"/>
    <w:lvl w:ilvl="0">
      <w:lvlJc w:val="left"/>
      <w:lvlText w:val="(%1)"/>
      <w:numFmt w:val="decimal"/>
      <w:start w:val="1"/>
    </w:lvl>
  </w:abstractNum>
  <w:abstractNum w:abstractNumId="746">
    <w:nsid w:val="69F23E34"/>
    <w:multiLevelType w:val="hybridMultilevel"/>
    <w:lvl w:ilvl="0">
      <w:lvlJc w:val="left"/>
      <w:lvlText w:val="(%1)"/>
      <w:numFmt w:val="decimal"/>
      <w:start w:val="1"/>
    </w:lvl>
  </w:abstractNum>
  <w:abstractNum w:abstractNumId="747">
    <w:nsid w:val="71A8D22C"/>
    <w:multiLevelType w:val="hybridMultilevel"/>
    <w:lvl w:ilvl="0">
      <w:lvlJc w:val="left"/>
      <w:lvlText w:val="(%1)"/>
      <w:numFmt w:val="decimal"/>
      <w:start w:val="5"/>
    </w:lvl>
  </w:abstractNum>
  <w:abstractNum w:abstractNumId="748">
    <w:nsid w:val="6C7F1B7"/>
    <w:multiLevelType w:val="hybridMultilevel"/>
    <w:lvl w:ilvl="0">
      <w:lvlJc w:val="left"/>
      <w:lvlText w:val="(%1)"/>
      <w:numFmt w:val="lowerLetter"/>
      <w:start w:val="1"/>
    </w:lvl>
  </w:abstractNum>
  <w:abstractNum w:abstractNumId="749">
    <w:nsid w:val="6A3A3B2"/>
    <w:multiLevelType w:val="hybridMultilevel"/>
    <w:lvl w:ilvl="0">
      <w:lvlJc w:val="left"/>
      <w:lvlText w:val="(%1)"/>
      <w:numFmt w:val="lowerLetter"/>
      <w:start w:val="2"/>
    </w:lvl>
  </w:abstractNum>
  <w:abstractNum w:abstractNumId="750">
    <w:nsid w:val="7044C6EF"/>
    <w:multiLevelType w:val="hybridMultilevel"/>
    <w:lvl w:ilvl="0">
      <w:lvlJc w:val="left"/>
      <w:lvlText w:val="(%1)"/>
      <w:numFmt w:val="lowerLetter"/>
      <w:start w:val="5"/>
    </w:lvl>
  </w:abstractNum>
  <w:abstractNum w:abstractNumId="751">
    <w:nsid w:val="4A748FDA"/>
    <w:multiLevelType w:val="hybridMultilevel"/>
    <w:lvl w:ilvl="0">
      <w:lvlJc w:val="left"/>
      <w:lvlText w:val="(%1)"/>
      <w:numFmt w:val="decimal"/>
      <w:start w:val="6"/>
    </w:lvl>
  </w:abstractNum>
  <w:abstractNum w:abstractNumId="752">
    <w:nsid w:val="6453CCAE"/>
    <w:multiLevelType w:val="hybridMultilevel"/>
    <w:lvl w:ilvl="0">
      <w:lvlJc w:val="left"/>
      <w:lvlText w:val="(%1)"/>
      <w:numFmt w:val="decimal"/>
      <w:start w:val="16"/>
    </w:lvl>
  </w:abstractNum>
  <w:abstractNum w:abstractNumId="753">
    <w:nsid w:val="86DCA90"/>
    <w:multiLevelType w:val="hybridMultilevel"/>
    <w:lvl w:ilvl="0">
      <w:lvlJc w:val="left"/>
      <w:lvlText w:val="*"/>
      <w:numFmt w:val="bullet"/>
      <w:start w:val="1"/>
    </w:lvl>
  </w:abstractNum>
  <w:abstractNum w:abstractNumId="754">
    <w:nsid w:val="64D45037"/>
    <w:multiLevelType w:val="hybridMultilevel"/>
    <w:lvl w:ilvl="0">
      <w:lvlJc w:val="left"/>
      <w:lvlText w:val="*"/>
      <w:numFmt w:val="bullet"/>
      <w:start w:val="1"/>
    </w:lvl>
  </w:abstractNum>
  <w:abstractNum w:abstractNumId="755">
    <w:nsid w:val="5FF5D4A5"/>
    <w:multiLevelType w:val="hybridMultilevel"/>
    <w:lvl w:ilvl="0">
      <w:lvlJc w:val="left"/>
      <w:lvlText w:val="%1."/>
      <w:numFmt w:val="decimal"/>
      <w:start w:val="1"/>
    </w:lvl>
  </w:abstractNum>
  <w:abstractNum w:abstractNumId="756">
    <w:nsid w:val="26EBF166"/>
    <w:multiLevelType w:val="hybridMultilevel"/>
    <w:lvl w:ilvl="0">
      <w:lvlJc w:val="left"/>
      <w:lvlText w:val="%1."/>
      <w:numFmt w:val="decimal"/>
      <w:start w:val="3"/>
    </w:lvl>
    <w:lvl w:ilvl="1">
      <w:lvlJc w:val="left"/>
      <w:lvlText w:val="(%2)"/>
      <w:numFmt w:val="lowerLetter"/>
      <w:start w:val="1"/>
    </w:lvl>
  </w:abstractNum>
  <w:abstractNum w:abstractNumId="757">
    <w:nsid w:val="1E71BBD8"/>
    <w:multiLevelType w:val="hybridMultilevel"/>
    <w:lvl w:ilvl="0">
      <w:lvlJc w:val="left"/>
      <w:lvlText w:val="%1"/>
      <w:numFmt w:val="decimal"/>
      <w:start w:val="1"/>
    </w:lvl>
    <w:lvl w:ilvl="1">
      <w:lvlJc w:val="left"/>
      <w:lvlText w:val="(%2)"/>
      <w:numFmt w:val="lowerLetter"/>
      <w:start w:val="2"/>
    </w:lvl>
  </w:abstractNum>
  <w:abstractNum w:abstractNumId="758">
    <w:nsid w:val="48410413"/>
    <w:multiLevelType w:val="hybridMultilevel"/>
    <w:lvl w:ilvl="0">
      <w:lvlJc w:val="left"/>
      <w:lvlText w:val="%1."/>
      <w:numFmt w:val="decimal"/>
      <w:start w:val="4"/>
    </w:lvl>
    <w:lvl w:ilvl="1">
      <w:lvlJc w:val="left"/>
      <w:lvlText w:val="%2"/>
      <w:numFmt w:val="lowerLetter"/>
      <w:start w:val="1"/>
    </w:lvl>
  </w:abstractNum>
  <w:abstractNum w:abstractNumId="759">
    <w:nsid w:val="197F6285"/>
    <w:multiLevelType w:val="hybridMultilevel"/>
    <w:lvl w:ilvl="0">
      <w:lvlJc w:val="left"/>
      <w:lvlText w:val="(%1)"/>
      <w:numFmt w:val="lowerLetter"/>
      <w:start w:val="1"/>
    </w:lvl>
  </w:abstractNum>
  <w:abstractNum w:abstractNumId="760">
    <w:nsid w:val="710FF095"/>
    <w:multiLevelType w:val="hybridMultilevel"/>
    <w:lvl w:ilvl="0">
      <w:lvlJc w:val="left"/>
      <w:lvlText w:val="%1."/>
      <w:numFmt w:val="decimal"/>
      <w:start w:val="1"/>
    </w:lvl>
  </w:abstractNum>
  <w:abstractNum w:abstractNumId="761">
    <w:nsid w:val="562DB0C2"/>
    <w:multiLevelType w:val="hybridMultilevel"/>
    <w:lvl w:ilvl="0">
      <w:lvlJc w:val="left"/>
      <w:lvlText w:val="(%1)"/>
      <w:numFmt w:val="lowerLetter"/>
      <w:start w:val="1"/>
    </w:lvl>
  </w:abstractNum>
  <w:abstractNum w:abstractNumId="762">
    <w:nsid w:val="F51A837"/>
    <w:multiLevelType w:val="hybridMultilevel"/>
    <w:lvl w:ilvl="0">
      <w:lvlJc w:val="left"/>
      <w:lvlText w:val="%1"/>
      <w:numFmt w:val="decimal"/>
      <w:start w:val="1"/>
    </w:lvl>
    <w:lvl w:ilvl="1">
      <w:lvlJc w:val="left"/>
      <w:lvlText w:val="(%2)"/>
      <w:numFmt w:val="lowerLetter"/>
      <w:start w:val="2"/>
    </w:lvl>
  </w:abstractNum>
  <w:abstractNum w:abstractNumId="763">
    <w:nsid w:val="FE6F967"/>
    <w:multiLevelType w:val="hybridMultilevel"/>
    <w:lvl w:ilvl="0">
      <w:lvlJc w:val="left"/>
      <w:lvlText w:val="%1."/>
      <w:numFmt w:val="decimal"/>
      <w:start w:val="2"/>
    </w:lvl>
    <w:lvl w:ilvl="1">
      <w:lvlJc w:val="left"/>
      <w:lvlText w:val="%2"/>
      <w:numFmt w:val="lowerLetter"/>
      <w:start w:val="1"/>
    </w:lvl>
  </w:abstractNum>
  <w:abstractNum w:abstractNumId="764">
    <w:nsid w:val="6C5EC544"/>
    <w:multiLevelType w:val="hybridMultilevel"/>
    <w:lvl w:ilvl="0">
      <w:lvlJc w:val="left"/>
      <w:lvlText w:val="(%1)"/>
      <w:numFmt w:val="lowerLetter"/>
      <w:start w:val="1"/>
    </w:lvl>
  </w:abstractNum>
  <w:abstractNum w:abstractNumId="765">
    <w:nsid w:val="43B2BC58"/>
    <w:multiLevelType w:val="hybridMultilevel"/>
    <w:lvl w:ilvl="0">
      <w:lvlJc w:val="left"/>
      <w:lvlText w:val="(%1)"/>
      <w:numFmt w:val="lowerLetter"/>
      <w:start w:val="2"/>
    </w:lvl>
  </w:abstractNum>
  <w:abstractNum w:abstractNumId="766">
    <w:nsid w:val="2DF1FE0E"/>
    <w:multiLevelType w:val="hybridMultilevel"/>
    <w:lvl w:ilvl="0">
      <w:lvlJc w:val="left"/>
      <w:lvlText w:val="%1."/>
      <w:numFmt w:val="decimal"/>
      <w:start w:val="1"/>
    </w:lvl>
  </w:abstractNum>
  <w:abstractNum w:abstractNumId="767">
    <w:nsid w:val="C0A92D4"/>
    <w:multiLevelType w:val="hybridMultilevel"/>
    <w:lvl w:ilvl="0">
      <w:lvlJc w:val="left"/>
      <w:lvlText w:val="(%1)"/>
      <w:numFmt w:val="lowerLetter"/>
      <w:start w:val="1"/>
    </w:lvl>
  </w:abstractNum>
  <w:abstractNum w:abstractNumId="768">
    <w:nsid w:val="63649BD"/>
    <w:multiLevelType w:val="hybridMultilevel"/>
    <w:lvl w:ilvl="0">
      <w:lvlJc w:val="left"/>
      <w:lvlText w:val="(%1)"/>
      <w:numFmt w:val="lowerLetter"/>
      <w:start w:val="4"/>
    </w:lvl>
  </w:abstractNum>
  <w:abstractNum w:abstractNumId="769">
    <w:nsid w:val="469D7C4F"/>
    <w:multiLevelType w:val="hybridMultilevel"/>
    <w:lvl w:ilvl="0">
      <w:lvlJc w:val="left"/>
      <w:lvlText w:val="%1."/>
      <w:numFmt w:val="decimal"/>
      <w:start w:val="2"/>
    </w:lvl>
  </w:abstractNum>
  <w:abstractNum w:abstractNumId="770">
    <w:nsid w:val="4C21B9D2"/>
    <w:multiLevelType w:val="hybridMultilevel"/>
    <w:lvl w:ilvl="0">
      <w:lvlJc w:val="left"/>
      <w:lvlText w:val="%1"/>
      <w:numFmt w:val="lowerLetter"/>
      <w:start w:val="1"/>
    </w:lvl>
    <w:lvl w:ilvl="1">
      <w:lvlJc w:val="left"/>
      <w:lvlText w:val="(%2)"/>
      <w:numFmt w:val="lowerLetter"/>
      <w:start w:val="1"/>
    </w:lvl>
  </w:abstractNum>
  <w:abstractNum w:abstractNumId="771">
    <w:nsid w:val="5CF3AF1E"/>
    <w:multiLevelType w:val="hybridMultilevel"/>
    <w:lvl w:ilvl="0">
      <w:lvlJc w:val="left"/>
      <w:lvlText w:val="(%1)"/>
      <w:numFmt w:val="lowerLetter"/>
      <w:start w:val="35"/>
    </w:lvl>
    <w:lvl w:ilvl="1">
      <w:lvlJc w:val="left"/>
      <w:lvlText w:val="%2"/>
      <w:numFmt w:val="lowerLetter"/>
      <w:start w:val="1"/>
    </w:lvl>
  </w:abstractNum>
  <w:abstractNum w:abstractNumId="772">
    <w:nsid w:val="51A139F7"/>
    <w:multiLevelType w:val="hybridMultilevel"/>
    <w:lvl w:ilvl="0">
      <w:lvlJc w:val="left"/>
      <w:lvlText w:val="%1."/>
      <w:numFmt w:val="decimal"/>
      <w:start w:val="1"/>
    </w:lvl>
  </w:abstractNum>
  <w:abstractNum w:abstractNumId="773">
    <w:nsid w:val="63490122"/>
    <w:multiLevelType w:val="hybridMultilevel"/>
    <w:lvl w:ilvl="0">
      <w:lvlJc w:val="left"/>
      <w:lvlText w:val="%1"/>
      <w:numFmt w:val="lowerLetter"/>
      <w:start w:val="1"/>
    </w:lvl>
    <w:lvl w:ilvl="1">
      <w:lvlJc w:val="left"/>
      <w:lvlText w:val="%2."/>
      <w:numFmt w:val="decimal"/>
      <w:start w:val="3"/>
    </w:lvl>
  </w:abstractNum>
  <w:abstractNum w:abstractNumId="774">
    <w:nsid w:val="1388B868"/>
    <w:multiLevelType w:val="hybridMultilevel"/>
    <w:lvl w:ilvl="0">
      <w:lvlJc w:val="left"/>
      <w:lvlText w:val="(%1)"/>
      <w:numFmt w:val="lowerLetter"/>
      <w:start w:val="2"/>
    </w:lvl>
    <w:lvl w:ilvl="1">
      <w:lvlJc w:val="left"/>
      <w:lvlText w:val="%2."/>
      <w:numFmt w:val="decimal"/>
      <w:start w:val="4"/>
    </w:lvl>
  </w:abstractNum>
  <w:abstractNum w:abstractNumId="775">
    <w:nsid w:val="57A77A5E"/>
    <w:multiLevelType w:val="hybridMultilevel"/>
    <w:lvl w:ilvl="0">
      <w:lvlJc w:val="left"/>
      <w:lvlText w:val="•"/>
      <w:numFmt w:val="bullet"/>
      <w:start w:val="1"/>
    </w:lvl>
  </w:abstractNum>
  <w:abstractNum w:abstractNumId="776">
    <w:nsid w:val="A919453"/>
    <w:multiLevelType w:val="hybridMultilevel"/>
    <w:lvl w:ilvl="0">
      <w:lvlJc w:val="left"/>
      <w:lvlText w:val="•"/>
      <w:numFmt w:val="bullet"/>
      <w:start w:val="1"/>
    </w:lvl>
  </w:abstractNum>
  <w:abstractNum w:abstractNumId="777">
    <w:nsid w:val="7D7AF69D"/>
    <w:multiLevelType w:val="hybridMultilevel"/>
    <w:lvl w:ilvl="0">
      <w:lvlJc w:val="left"/>
      <w:lvlText w:val="•"/>
      <w:numFmt w:val="bullet"/>
      <w:start w:val="1"/>
    </w:lvl>
  </w:abstractNum>
  <w:abstractNum w:abstractNumId="778">
    <w:nsid w:val="49504C8A"/>
    <w:multiLevelType w:val="hybridMultilevel"/>
    <w:lvl w:ilvl="0">
      <w:lvlJc w:val="left"/>
      <w:lvlText w:val="•"/>
      <w:numFmt w:val="bullet"/>
      <w:start w:val="1"/>
    </w:lvl>
  </w:abstractNum>
  <w:abstractNum w:abstractNumId="779">
    <w:nsid w:val="1159860A"/>
    <w:multiLevelType w:val="hybridMultilevel"/>
    <w:lvl w:ilvl="0">
      <w:lvlJc w:val="left"/>
      <w:lvlText w:val="•"/>
      <w:numFmt w:val="bullet"/>
      <w:start w:val="1"/>
    </w:lvl>
  </w:abstractNum>
  <w:abstractNum w:abstractNumId="780">
    <w:nsid w:val="41E9A4F"/>
    <w:multiLevelType w:val="hybridMultilevel"/>
    <w:lvl w:ilvl="0">
      <w:lvlJc w:val="left"/>
      <w:lvlText w:val="•"/>
      <w:numFmt w:val="bullet"/>
      <w:start w:val="1"/>
    </w:lvl>
  </w:abstractNum>
  <w:abstractNum w:abstractNumId="781">
    <w:nsid w:val="39951379"/>
    <w:multiLevelType w:val="hybridMultilevel"/>
    <w:lvl w:ilvl="0">
      <w:lvlJc w:val="left"/>
      <w:lvlText w:val="•"/>
      <w:numFmt w:val="bullet"/>
      <w:start w:val="1"/>
    </w:lvl>
  </w:abstractNum>
  <w:abstractNum w:abstractNumId="782">
    <w:nsid w:val="5BCE15E4"/>
    <w:multiLevelType w:val="hybridMultilevel"/>
    <w:lvl w:ilvl="0">
      <w:lvlJc w:val="left"/>
      <w:lvlText w:val="•"/>
      <w:numFmt w:val="bullet"/>
      <w:start w:val="1"/>
    </w:lvl>
  </w:abstractNum>
  <w:abstractNum w:abstractNumId="783">
    <w:nsid w:val="687266FE"/>
    <w:multiLevelType w:val="hybridMultilevel"/>
    <w:lvl w:ilvl="0">
      <w:lvlJc w:val="left"/>
      <w:lvlText w:val="(%1)"/>
      <w:numFmt w:val="decimal"/>
      <w:start w:val="1"/>
    </w:lvl>
  </w:abstractNum>
  <w:abstractNum w:abstractNumId="784">
    <w:nsid w:val="4202DE09"/>
    <w:multiLevelType w:val="hybridMultilevel"/>
    <w:lvl w:ilvl="0">
      <w:lvlJc w:val="left"/>
      <w:lvlText w:val="(%1)"/>
      <w:numFmt w:val="upperLetter"/>
      <w:start w:val="1"/>
    </w:lvl>
  </w:abstractNum>
  <w:abstractNum w:abstractNumId="785">
    <w:nsid w:val="40A2661B"/>
    <w:multiLevelType w:val="hybridMultilevel"/>
    <w:lvl w:ilvl="0">
      <w:lvlJc w:val="left"/>
      <w:lvlText w:val="%1."/>
      <w:numFmt w:val="decimal"/>
      <w:start w:val="1"/>
    </w:lvl>
  </w:abstractNum>
  <w:abstractNum w:abstractNumId="786">
    <w:nsid w:val="48683BA3"/>
    <w:multiLevelType w:val="hybridMultilevel"/>
    <w:lvl w:ilvl="0">
      <w:lvlJc w:val="left"/>
      <w:lvlText w:val="(%1)"/>
      <w:numFmt w:val="lowerLetter"/>
      <w:start w:val="1"/>
    </w:lvl>
  </w:abstractNum>
  <w:abstractNum w:abstractNumId="787">
    <w:nsid w:val="68EECF6F"/>
    <w:multiLevelType w:val="hybridMultilevel"/>
    <w:lvl w:ilvl="0">
      <w:lvlJc w:val="left"/>
      <w:lvlText w:val="(%1)"/>
      <w:numFmt w:val="lowerLetter"/>
      <w:start w:val="1"/>
    </w:lvl>
  </w:abstractNum>
  <w:abstractNum w:abstractNumId="788">
    <w:nsid w:val="5F1421F3"/>
    <w:multiLevelType w:val="hybridMultilevel"/>
    <w:lvl w:ilvl="0">
      <w:lvlJc w:val="left"/>
      <w:lvlText w:val="(%1)"/>
      <w:numFmt w:val="lowerLetter"/>
      <w:start w:val="1"/>
    </w:lvl>
  </w:abstractNum>
  <w:abstractNum w:abstractNumId="789">
    <w:nsid w:val="10A93FB7"/>
    <w:multiLevelType w:val="hybridMultilevel"/>
    <w:lvl w:ilvl="0">
      <w:lvlJc w:val="left"/>
      <w:lvlText w:val="(%1)"/>
      <w:numFmt w:val="lowerLetter"/>
      <w:start w:val="2"/>
    </w:lvl>
  </w:abstractNum>
  <w:abstractNum w:abstractNumId="790">
    <w:nsid w:val="26E31F4"/>
    <w:multiLevelType w:val="hybridMultilevel"/>
    <w:lvl w:ilvl="0">
      <w:lvlJc w:val="left"/>
      <w:lvlText w:val="%1."/>
      <w:numFmt w:val="decimal"/>
      <w:start w:val="2"/>
    </w:lvl>
    <w:lvl w:ilvl="1">
      <w:lvlJc w:val="left"/>
      <w:lvlText w:val="(%2)"/>
      <w:numFmt w:val="lowerLetter"/>
      <w:start w:val="1"/>
    </w:lvl>
  </w:abstractNum>
  <w:abstractNum w:abstractNumId="791">
    <w:nsid w:val="50241288"/>
    <w:multiLevelType w:val="hybridMultilevel"/>
    <w:lvl w:ilvl="0">
      <w:lvlJc w:val="left"/>
      <w:lvlText w:val="%1."/>
      <w:numFmt w:val="decimal"/>
      <w:start w:val="3"/>
    </w:lvl>
  </w:abstractNum>
  <w:abstractNum w:abstractNumId="792">
    <w:nsid w:val="66D6F0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93">
    <w:nsid w:val="11BFDA2C"/>
    <w:multiLevelType w:val="hybridMultilevel"/>
    <w:lvl w:ilvl="0">
      <w:lvlJc w:val="left"/>
      <w:lvlText w:val="(%1)"/>
      <w:numFmt w:val="lowerRoman"/>
      <w:start w:val="2"/>
    </w:lvl>
  </w:abstractNum>
  <w:abstractNum w:abstractNumId="794">
    <w:nsid w:val="600B0BF0"/>
    <w:multiLevelType w:val="hybridMultilevel"/>
    <w:lvl w:ilvl="0">
      <w:lvlJc w:val="left"/>
      <w:lvlText w:val="(%1)"/>
      <w:numFmt w:val="lowerLetter"/>
      <w:start w:val="6"/>
    </w:lvl>
    <w:lvl w:ilvl="1">
      <w:lvlJc w:val="left"/>
      <w:lvlText w:val="(%2)"/>
      <w:numFmt w:val="lowerRoman"/>
      <w:start w:val="1"/>
    </w:lvl>
  </w:abstractNum>
  <w:abstractNum w:abstractNumId="795">
    <w:nsid w:val="5335B5BD"/>
    <w:multiLevelType w:val="hybridMultilevel"/>
    <w:lvl w:ilvl="0">
      <w:lvlJc w:val="left"/>
      <w:lvlText w:val="%1."/>
      <w:numFmt w:val="decimal"/>
      <w:start w:val="4"/>
    </w:lvl>
  </w:abstractNum>
  <w:abstractNum w:abstractNumId="796">
    <w:nsid w:val="55729684"/>
    <w:multiLevelType w:val="hybridMultilevel"/>
    <w:lvl w:ilvl="0">
      <w:lvlJc w:val="left"/>
      <w:lvlText w:val="%1."/>
      <w:numFmt w:val="decimal"/>
      <w:start w:val="5"/>
    </w:lvl>
    <w:lvl w:ilvl="1">
      <w:lvlJc w:val="left"/>
      <w:lvlText w:val="(%2)"/>
      <w:numFmt w:val="lowerLetter"/>
      <w:start w:val="1"/>
    </w:lvl>
  </w:abstractNum>
  <w:abstractNum w:abstractNumId="797">
    <w:nsid w:val="DFD09FE"/>
    <w:multiLevelType w:val="hybridMultilevel"/>
    <w:lvl w:ilvl="0">
      <w:lvlJc w:val="left"/>
      <w:lvlText w:val="(%1)"/>
      <w:numFmt w:val="lowerLetter"/>
      <w:start w:val="1"/>
    </w:lvl>
  </w:abstractNum>
  <w:abstractNum w:abstractNumId="798">
    <w:nsid w:val="5F404891"/>
    <w:multiLevelType w:val="hybridMultilevel"/>
    <w:lvl w:ilvl="0">
      <w:lvlJc w:val="left"/>
      <w:lvlText w:val="(%1)"/>
      <w:numFmt w:val="lowerLetter"/>
      <w:start w:val="1"/>
    </w:lvl>
    <w:lvl w:ilvl="1">
      <w:lvlJc w:val="left"/>
      <w:lvlText w:val="(%2)"/>
      <w:numFmt w:val="lowerRoman"/>
      <w:start w:val="1"/>
    </w:lvl>
  </w:abstractNum>
  <w:abstractNum w:abstractNumId="799">
    <w:nsid w:val="5BA8E042"/>
    <w:multiLevelType w:val="hybridMultilevel"/>
    <w:lvl w:ilvl="0">
      <w:lvlJc w:val="left"/>
      <w:lvlText w:val="%1."/>
      <w:numFmt w:val="decimal"/>
      <w:start w:val="7"/>
    </w:lvl>
  </w:abstractNum>
  <w:abstractNum w:abstractNumId="800">
    <w:nsid w:val="549A864D"/>
    <w:multiLevelType w:val="hybridMultilevel"/>
    <w:lvl w:ilvl="0">
      <w:lvlJc w:val="left"/>
      <w:lvlText w:val="%1."/>
      <w:numFmt w:val="decimal"/>
      <w:start w:val="8"/>
    </w:lvl>
  </w:abstractNum>
  <w:abstractNum w:abstractNumId="801">
    <w:nsid w:val="2B620264"/>
    <w:multiLevelType w:val="hybridMultilevel"/>
    <w:lvl w:ilvl="0">
      <w:lvlJc w:val="left"/>
      <w:lvlText w:val="(%1)"/>
      <w:numFmt w:val="decimal"/>
      <w:start w:val="1"/>
    </w:lvl>
  </w:abstractNum>
  <w:abstractNum w:abstractNumId="802">
    <w:nsid w:val="389C8F60"/>
    <w:multiLevelType w:val="hybridMultilevel"/>
    <w:lvl w:ilvl="0">
      <w:lvlJc w:val="left"/>
      <w:lvlText w:val="%1."/>
      <w:numFmt w:val="decimal"/>
      <w:start w:val="1"/>
    </w:lvl>
  </w:abstractNum>
  <w:abstractNum w:abstractNumId="803">
    <w:nsid w:val="263BC044"/>
    <w:multiLevelType w:val="hybridMultilevel"/>
    <w:lvl w:ilvl="0">
      <w:lvlJc w:val="left"/>
      <w:lvlText w:val="(%1)"/>
      <w:numFmt w:val="lowerLetter"/>
      <w:start w:val="1"/>
    </w:lvl>
  </w:abstractNum>
  <w:abstractNum w:abstractNumId="804">
    <w:nsid w:val="EAB0386"/>
    <w:multiLevelType w:val="hybridMultilevel"/>
    <w:lvl w:ilvl="0">
      <w:lvlJc w:val="left"/>
      <w:lvlText w:val="(%1)"/>
      <w:numFmt w:val="lowerLetter"/>
      <w:start w:val="1"/>
    </w:lvl>
  </w:abstractNum>
  <w:abstractNum w:abstractNumId="805">
    <w:nsid w:val="4C2547C9"/>
    <w:multiLevelType w:val="hybridMultilevel"/>
    <w:lvl w:ilvl="0">
      <w:lvlJc w:val="left"/>
      <w:lvlText w:val="(%1)"/>
      <w:numFmt w:val="lowerLetter"/>
      <w:start w:val="1"/>
    </w:lvl>
  </w:abstractNum>
  <w:abstractNum w:abstractNumId="806">
    <w:nsid w:val="7DE33AA2"/>
    <w:multiLevelType w:val="hybridMultilevel"/>
    <w:lvl w:ilvl="0">
      <w:lvlJc w:val="left"/>
      <w:lvlText w:val="(%1)"/>
      <w:numFmt w:val="lowerLetter"/>
      <w:start w:val="1"/>
    </w:lvl>
  </w:abstractNum>
  <w:abstractNum w:abstractNumId="807">
    <w:nsid w:val="193C97D9"/>
    <w:multiLevelType w:val="hybridMultilevel"/>
    <w:lvl w:ilvl="0">
      <w:lvlJc w:val="left"/>
      <w:lvlText w:val="(%1)"/>
      <w:numFmt w:val="lowerLetter"/>
      <w:start w:val="1"/>
    </w:lvl>
  </w:abstractNum>
  <w:abstractNum w:abstractNumId="808">
    <w:nsid w:val="49A03E66"/>
    <w:multiLevelType w:val="hybridMultilevel"/>
    <w:lvl w:ilvl="0">
      <w:lvlJc w:val="left"/>
      <w:lvlText w:val="(%1)"/>
      <w:numFmt w:val="lowerLetter"/>
      <w:start w:val="2"/>
    </w:lvl>
  </w:abstractNum>
  <w:abstractNum w:abstractNumId="809">
    <w:nsid w:val="4733872D"/>
    <w:multiLevelType w:val="hybridMultilevel"/>
    <w:lvl w:ilvl="0">
      <w:lvlJc w:val="left"/>
      <w:lvlText w:val="(%1)"/>
      <w:numFmt w:val="lowerLetter"/>
      <w:start w:val="1"/>
    </w:lvl>
  </w:abstractNum>
  <w:abstractNum w:abstractNumId="810">
    <w:nsid w:val="2A961DE3"/>
    <w:multiLevelType w:val="hybridMultilevel"/>
    <w:lvl w:ilvl="0">
      <w:lvlJc w:val="left"/>
      <w:lvlText w:val="(%1)"/>
      <w:numFmt w:val="lowerLetter"/>
      <w:start w:val="1"/>
    </w:lvl>
    <w:lvl w:ilvl="1">
      <w:lvlJc w:val="left"/>
      <w:lvlText w:val="(%2)"/>
      <w:numFmt w:val="lowerRoman"/>
      <w:start w:val="1"/>
    </w:lvl>
  </w:abstractNum>
  <w:abstractNum w:abstractNumId="811">
    <w:nsid w:val="4DBED8B5"/>
    <w:multiLevelType w:val="hybridMultilevel"/>
    <w:lvl w:ilvl="0">
      <w:lvlJc w:val="left"/>
      <w:lvlText w:val="(%1)"/>
      <w:numFmt w:val="lowerLetter"/>
      <w:start w:val="1"/>
    </w:lvl>
  </w:abstractNum>
  <w:abstractNum w:abstractNumId="812">
    <w:nsid w:val="C89AA6"/>
    <w:multiLevelType w:val="hybridMultilevel"/>
    <w:lvl w:ilvl="0">
      <w:lvlJc w:val="left"/>
      <w:lvlText w:val="(%1)"/>
      <w:numFmt w:val="lowerLetter"/>
      <w:start w:val="6"/>
    </w:lvl>
  </w:abstractNum>
  <w:abstractNum w:abstractNumId="813">
    <w:nsid w:val="66433C7"/>
    <w:multiLevelType w:val="hybridMultilevel"/>
    <w:lvl w:ilvl="0">
      <w:lvlJc w:val="left"/>
      <w:lvlText w:val="(%1)"/>
      <w:numFmt w:val="lowerLetter"/>
      <w:start w:val="1"/>
    </w:lvl>
  </w:abstractNum>
  <w:abstractNum w:abstractNumId="814">
    <w:nsid w:val="36313FB3"/>
    <w:multiLevelType w:val="hybridMultilevel"/>
    <w:lvl w:ilvl="0">
      <w:lvlJc w:val="left"/>
      <w:lvlText w:val="(%1)"/>
      <w:numFmt w:val="lowerRoman"/>
      <w:start w:val="1"/>
    </w:lvl>
  </w:abstractNum>
  <w:abstractNum w:abstractNumId="815">
    <w:nsid w:val="42CB78B0"/>
    <w:multiLevelType w:val="hybridMultilevel"/>
    <w:lvl w:ilvl="0">
      <w:lvlJc w:val="left"/>
      <w:lvlText w:val="(%1)"/>
      <w:numFmt w:val="lowerLetter"/>
      <w:start w:val="1"/>
    </w:lvl>
  </w:abstractNum>
  <w:abstractNum w:abstractNumId="816">
    <w:nsid w:val="470699E2"/>
    <w:multiLevelType w:val="hybridMultilevel"/>
    <w:lvl w:ilvl="0">
      <w:lvlJc w:val="left"/>
      <w:lvlText w:val="(%1)"/>
      <w:numFmt w:val="lowerLetter"/>
      <w:start w:val="1"/>
    </w:lvl>
  </w:abstractNum>
  <w:abstractNum w:abstractNumId="817">
    <w:nsid w:val="7E997B57"/>
    <w:multiLevelType w:val="hybridMultilevel"/>
    <w:lvl w:ilvl="0">
      <w:lvlJc w:val="left"/>
      <w:lvlText w:val="(%1)"/>
      <w:numFmt w:val="lowerLetter"/>
      <w:start w:val="1"/>
    </w:lvl>
  </w:abstractNum>
  <w:abstractNum w:abstractNumId="818">
    <w:nsid w:val="2BBA481F"/>
    <w:multiLevelType w:val="hybridMultilevel"/>
    <w:lvl w:ilvl="0">
      <w:lvlJc w:val="left"/>
      <w:lvlText w:val="(%1)"/>
      <w:numFmt w:val="lowerRoman"/>
      <w:start w:val="1"/>
    </w:lvl>
    <w:lvl w:ilvl="1">
      <w:lvlJc w:val="left"/>
      <w:lvlText w:val="(%2)"/>
      <w:numFmt w:val="upperLetter"/>
      <w:start w:val="1"/>
    </w:lvl>
  </w:abstractNum>
  <w:abstractNum w:abstractNumId="819">
    <w:nsid w:val="261ABBD5"/>
    <w:multiLevelType w:val="hybridMultilevel"/>
    <w:lvl w:ilvl="0">
      <w:lvlJc w:val="left"/>
      <w:lvlText w:val="(%1)"/>
      <w:numFmt w:val="lowerRoman"/>
      <w:start w:val="2"/>
    </w:lvl>
  </w:abstractNum>
  <w:abstractNum w:abstractNumId="820">
    <w:nsid w:val="F42BB0E"/>
    <w:multiLevelType w:val="hybridMultilevel"/>
    <w:lvl w:ilvl="0">
      <w:lvlJc w:val="left"/>
      <w:lvlText w:val="(%1)"/>
      <w:numFmt w:val="lowerLetter"/>
      <w:start w:val="1"/>
    </w:lvl>
    <w:lvl w:ilvl="1">
      <w:lvlJc w:val="left"/>
      <w:lvlText w:val="(%2)"/>
      <w:numFmt w:val="lowerRoman"/>
      <w:start w:val="1"/>
    </w:lvl>
  </w:abstractNum>
  <w:abstractNum w:abstractNumId="821">
    <w:nsid w:val="2E287A14"/>
    <w:multiLevelType w:val="hybridMultilevel"/>
    <w:lvl w:ilvl="0">
      <w:lvlJc w:val="left"/>
      <w:lvlText w:val="(%1)"/>
      <w:numFmt w:val="lowerLetter"/>
      <w:start w:val="1"/>
    </w:lvl>
  </w:abstractNum>
  <w:abstractNum w:abstractNumId="822">
    <w:nsid w:val="763ECE5D"/>
    <w:multiLevelType w:val="hybridMultilevel"/>
    <w:lvl w:ilvl="0">
      <w:lvlJc w:val="left"/>
      <w:lvlText w:val="(%1)"/>
      <w:numFmt w:val="lowerLetter"/>
      <w:start w:val="1"/>
    </w:lvl>
  </w:abstractNum>
  <w:abstractNum w:abstractNumId="823">
    <w:nsid w:val="7619AB87"/>
    <w:multiLevelType w:val="hybridMultilevel"/>
    <w:lvl w:ilvl="0">
      <w:lvlJc w:val="left"/>
      <w:lvlText w:val="(%1)"/>
      <w:numFmt w:val="lowerLetter"/>
      <w:start w:val="1"/>
    </w:lvl>
  </w:abstractNum>
  <w:abstractNum w:abstractNumId="824">
    <w:nsid w:val="3FE85440"/>
    <w:multiLevelType w:val="hybridMultilevel"/>
    <w:lvl w:ilvl="0">
      <w:lvlJc w:val="left"/>
      <w:lvlText w:val="(%1)"/>
      <w:numFmt w:val="lowerLetter"/>
      <w:start w:val="1"/>
    </w:lvl>
  </w:abstractNum>
  <w:abstractNum w:abstractNumId="825">
    <w:nsid w:val="5649DA4D"/>
    <w:multiLevelType w:val="hybridMultilevel"/>
    <w:lvl w:ilvl="0">
      <w:lvlJc w:val="left"/>
      <w:lvlText w:val="(%1)"/>
      <w:numFmt w:val="lowerLetter"/>
      <w:start w:val="1"/>
    </w:lvl>
  </w:abstractNum>
  <w:abstractNum w:abstractNumId="826">
    <w:nsid w:val="494F6145"/>
    <w:multiLevelType w:val="hybridMultilevel"/>
    <w:lvl w:ilvl="0">
      <w:lvlJc w:val="left"/>
      <w:lvlText w:val="(%1)"/>
      <w:numFmt w:val="lowerLetter"/>
      <w:start w:val="1"/>
    </w:lvl>
  </w:abstractNum>
  <w:abstractNum w:abstractNumId="827">
    <w:nsid w:val="155AEAC4"/>
    <w:multiLevelType w:val="hybridMultilevel"/>
    <w:lvl w:ilvl="0">
      <w:lvlJc w:val="left"/>
      <w:lvlText w:val="(%1)"/>
      <w:numFmt w:val="lowerLetter"/>
      <w:start w:val="1"/>
    </w:lvl>
  </w:abstractNum>
  <w:abstractNum w:abstractNumId="828">
    <w:nsid w:val="6446E44B"/>
    <w:multiLevelType w:val="hybridMultilevel"/>
    <w:lvl w:ilvl="0">
      <w:lvlJc w:val="left"/>
      <w:lvlText w:val="(%1)"/>
      <w:numFmt w:val="lowerLetter"/>
      <w:start w:val="1"/>
    </w:lvl>
  </w:abstractNum>
  <w:abstractNum w:abstractNumId="829">
    <w:nsid w:val="288FA9D6"/>
    <w:multiLevelType w:val="hybridMultilevel"/>
    <w:lvl w:ilvl="0">
      <w:lvlJc w:val="left"/>
      <w:lvlText w:val="(%1)"/>
      <w:numFmt w:val="lowerLetter"/>
      <w:start w:val="1"/>
    </w:lvl>
  </w:abstractNum>
  <w:abstractNum w:abstractNumId="830">
    <w:nsid w:val="7103CB06"/>
    <w:multiLevelType w:val="hybridMultilevel"/>
    <w:lvl w:ilvl="0">
      <w:lvlJc w:val="left"/>
      <w:lvlText w:val="(%1)"/>
      <w:numFmt w:val="lowerLetter"/>
      <w:start w:val="1"/>
    </w:lvl>
  </w:abstractNum>
  <w:abstractNum w:abstractNumId="831">
    <w:nsid w:val="38E16A98"/>
    <w:multiLevelType w:val="hybridMultilevel"/>
    <w:lvl w:ilvl="0">
      <w:lvlJc w:val="left"/>
      <w:lvlText w:val="(%1)"/>
      <w:numFmt w:val="lowerLetter"/>
      <w:start w:val="6"/>
    </w:lvl>
  </w:abstractNum>
  <w:abstractNum w:abstractNumId="832">
    <w:nsid w:val="53F1AC3A"/>
    <w:multiLevelType w:val="hybridMultilevel"/>
    <w:lvl w:ilvl="0">
      <w:lvlJc w:val="left"/>
      <w:lvlText w:val="(%1)"/>
      <w:numFmt w:val="lowerLetter"/>
      <w:start w:val="1"/>
    </w:lvl>
  </w:abstractNum>
  <w:abstractNum w:abstractNumId="833">
    <w:nsid w:val="29A05A67"/>
    <w:multiLevelType w:val="hybridMultilevel"/>
    <w:lvl w:ilvl="0">
      <w:lvlJc w:val="left"/>
      <w:lvlText w:val="(%1)"/>
      <w:numFmt w:val="lowerLetter"/>
      <w:start w:val="1"/>
    </w:lvl>
  </w:abstractNum>
  <w:abstractNum w:abstractNumId="834">
    <w:nsid w:val="5F1D2ADC"/>
    <w:multiLevelType w:val="hybridMultilevel"/>
    <w:lvl w:ilvl="0">
      <w:lvlJc w:val="left"/>
      <w:lvlText w:val="(%1)"/>
      <w:numFmt w:val="lowerLetter"/>
      <w:start w:val="1"/>
    </w:lvl>
  </w:abstractNum>
  <w:abstractNum w:abstractNumId="835">
    <w:nsid w:val="629CAFC0"/>
    <w:multiLevelType w:val="hybridMultilevel"/>
    <w:lvl w:ilvl="0">
      <w:lvlJc w:val="left"/>
      <w:lvlText w:val="(%1)"/>
      <w:numFmt w:val="lowerLetter"/>
      <w:start w:val="1"/>
    </w:lvl>
  </w:abstractNum>
  <w:abstractNum w:abstractNumId="836">
    <w:nsid w:val="75C5A230"/>
    <w:multiLevelType w:val="hybridMultilevel"/>
    <w:lvl w:ilvl="0">
      <w:lvlJc w:val="left"/>
      <w:lvlText w:val="(%1)"/>
      <w:numFmt w:val="lowerLetter"/>
      <w:start w:val="1"/>
    </w:lvl>
  </w:abstractNum>
  <w:abstractNum w:abstractNumId="837">
    <w:nsid w:val="5D00657F"/>
    <w:multiLevelType w:val="hybridMultilevel"/>
    <w:lvl w:ilvl="0">
      <w:lvlJc w:val="left"/>
      <w:lvlText w:val="(%1)"/>
      <w:numFmt w:val="lowerRoman"/>
      <w:start w:val="1"/>
    </w:lvl>
    <w:lvl w:ilvl="1">
      <w:lvlJc w:val="left"/>
      <w:lvlText w:val="(%2)"/>
      <w:numFmt w:val="upperLetter"/>
      <w:start w:val="1"/>
    </w:lvl>
  </w:abstractNum>
  <w:abstractNum w:abstractNumId="838">
    <w:nsid w:val="7BD94799"/>
    <w:multiLevelType w:val="hybridMultilevel"/>
    <w:lvl w:ilvl="0">
      <w:lvlJc w:val="left"/>
      <w:lvlText w:val="(%1)"/>
      <w:numFmt w:val="lowerRoman"/>
      <w:start w:val="2"/>
    </w:lvl>
  </w:abstractNum>
  <w:abstractNum w:abstractNumId="839">
    <w:nsid w:val="3F65E096"/>
    <w:multiLevelType w:val="hybridMultilevel"/>
    <w:lvl w:ilvl="0">
      <w:lvlJc w:val="left"/>
      <w:lvlText w:val="(%1)"/>
      <w:numFmt w:val="lowerLetter"/>
      <w:start w:val="1"/>
    </w:lvl>
  </w:abstractNum>
  <w:abstractNum w:abstractNumId="840">
    <w:nsid w:val="2433ECAC"/>
    <w:multiLevelType w:val="hybridMultilevel"/>
    <w:lvl w:ilvl="0">
      <w:lvlJc w:val="left"/>
      <w:lvlText w:val="(%1)"/>
      <w:numFmt w:val="lowerLetter"/>
      <w:start w:val="3"/>
    </w:lvl>
    <w:lvl w:ilvl="1">
      <w:lvlJc w:val="left"/>
      <w:lvlText w:val="(%2)"/>
      <w:numFmt w:val="lowerRoman"/>
      <w:start w:val="1"/>
    </w:lvl>
  </w:abstractNum>
  <w:abstractNum w:abstractNumId="841">
    <w:nsid w:val="266F657C"/>
    <w:multiLevelType w:val="hybridMultilevel"/>
    <w:lvl w:ilvl="0">
      <w:lvlJc w:val="left"/>
      <w:lvlText w:val="(%1)"/>
      <w:numFmt w:val="lowerLetter"/>
      <w:start w:val="1"/>
    </w:lvl>
  </w:abstractNum>
  <w:abstractNum w:abstractNumId="842">
    <w:nsid w:val="D24B94B"/>
    <w:multiLevelType w:val="hybridMultilevel"/>
    <w:lvl w:ilvl="0">
      <w:lvlJc w:val="left"/>
      <w:lvlText w:val="(%1)"/>
      <w:numFmt w:val="lowerLetter"/>
      <w:start w:val="2"/>
    </w:lvl>
  </w:abstractNum>
  <w:abstractNum w:abstractNumId="843">
    <w:nsid w:val="24FC8752"/>
    <w:multiLevelType w:val="hybridMultilevel"/>
    <w:lvl w:ilvl="0">
      <w:lvlJc w:val="left"/>
      <w:lvlText w:val="(%1)"/>
      <w:numFmt w:val="lowerLetter"/>
      <w:start w:val="1"/>
    </w:lvl>
  </w:abstractNum>
  <w:abstractNum w:abstractNumId="844">
    <w:nsid w:val="2CD39943"/>
    <w:multiLevelType w:val="hybridMultilevel"/>
    <w:lvl w:ilvl="0">
      <w:lvlJc w:val="left"/>
      <w:lvlText w:val="(%1)"/>
      <w:numFmt w:val="lowerLetter"/>
      <w:start w:val="1"/>
    </w:lvl>
  </w:abstractNum>
  <w:abstractNum w:abstractNumId="845">
    <w:nsid w:val="4355F8FF"/>
    <w:multiLevelType w:val="hybridMultilevel"/>
    <w:lvl w:ilvl="0">
      <w:lvlJc w:val="left"/>
      <w:lvlText w:val="(%1)"/>
      <w:numFmt w:val="lowerLetter"/>
      <w:start w:val="1"/>
    </w:lvl>
  </w:abstractNum>
  <w:abstractNum w:abstractNumId="846">
    <w:nsid w:val="67C80002"/>
    <w:multiLevelType w:val="hybridMultilevel"/>
    <w:lvl w:ilvl="0">
      <w:lvlJc w:val="left"/>
      <w:lvlText w:val="(%1)"/>
      <w:numFmt w:val="lowerLetter"/>
      <w:start w:val="1"/>
    </w:lvl>
  </w:abstractNum>
  <w:abstractNum w:abstractNumId="847">
    <w:nsid w:val="73DA3325"/>
    <w:multiLevelType w:val="hybridMultilevel"/>
    <w:lvl w:ilvl="0">
      <w:lvlJc w:val="left"/>
      <w:lvlText w:val="(%1)"/>
      <w:numFmt w:val="lowerLetter"/>
      <w:start w:val="1"/>
    </w:lvl>
  </w:abstractNum>
  <w:abstractNum w:abstractNumId="848">
    <w:nsid w:val="41EF7456"/>
    <w:multiLevelType w:val="hybridMultilevel"/>
    <w:lvl w:ilvl="0">
      <w:lvlJc w:val="left"/>
      <w:lvlText w:val="(%1)"/>
      <w:numFmt w:val="lowerLetter"/>
      <w:start w:val="2"/>
    </w:lvl>
  </w:abstractNum>
  <w:abstractNum w:abstractNumId="849">
    <w:nsid w:val="13824822"/>
    <w:multiLevelType w:val="hybridMultilevel"/>
    <w:lvl w:ilvl="0">
      <w:lvlJc w:val="left"/>
      <w:lvlText w:val="(%1)"/>
      <w:numFmt w:val="lowerLetter"/>
      <w:start w:val="1"/>
    </w:lvl>
  </w:abstractNum>
  <w:abstractNum w:abstractNumId="850">
    <w:nsid w:val="19F4EEFA"/>
    <w:multiLevelType w:val="hybridMultilevel"/>
    <w:lvl w:ilvl="0">
      <w:lvlJc w:val="left"/>
      <w:lvlText w:val="(%1)"/>
      <w:numFmt w:val="lowerLetter"/>
      <w:start w:val="1"/>
    </w:lvl>
  </w:abstractNum>
  <w:abstractNum w:abstractNumId="851">
    <w:nsid w:val="51322F64"/>
    <w:multiLevelType w:val="hybridMultilevel"/>
    <w:lvl w:ilvl="0">
      <w:lvlJc w:val="left"/>
      <w:lvlText w:val="(%1)"/>
      <w:numFmt w:val="lowerLetter"/>
      <w:start w:val="1"/>
    </w:lvl>
  </w:abstractNum>
  <w:abstractNum w:abstractNumId="852">
    <w:nsid w:val="41AAC236"/>
    <w:multiLevelType w:val="hybridMultilevel"/>
    <w:lvl w:ilvl="0">
      <w:lvlJc w:val="left"/>
      <w:lvlText w:val="(%1)"/>
      <w:numFmt w:val="lowerLetter"/>
      <w:start w:val="1"/>
    </w:lvl>
  </w:abstractNum>
  <w:abstractNum w:abstractNumId="853">
    <w:nsid w:val="1033BD58"/>
    <w:multiLevelType w:val="hybridMultilevel"/>
    <w:lvl w:ilvl="0">
      <w:lvlJc w:val="left"/>
      <w:lvlText w:val="(%1)"/>
      <w:numFmt w:val="lowerLetter"/>
      <w:start w:val="4"/>
    </w:lvl>
  </w:abstractNum>
  <w:abstractNum w:abstractNumId="854">
    <w:nsid w:val="474BDAEB"/>
    <w:multiLevelType w:val="hybridMultilevel"/>
    <w:lvl w:ilvl="0">
      <w:lvlJc w:val="left"/>
      <w:lvlText w:val="(%1)"/>
      <w:numFmt w:val="lowerLetter"/>
      <w:start w:val="1"/>
    </w:lvl>
  </w:abstractNum>
  <w:abstractNum w:abstractNumId="855">
    <w:nsid w:val="1931676"/>
    <w:multiLevelType w:val="hybridMultilevel"/>
    <w:lvl w:ilvl="0">
      <w:lvlJc w:val="left"/>
      <w:lvlText w:val="(%1)"/>
      <w:numFmt w:val="lowerLetter"/>
      <w:start w:val="1"/>
    </w:lvl>
  </w:abstractNum>
  <w:abstractNum w:abstractNumId="856">
    <w:nsid w:val="667D97A5"/>
    <w:multiLevelType w:val="hybridMultilevel"/>
    <w:lvl w:ilvl="0">
      <w:lvlJc w:val="left"/>
      <w:lvlText w:val="(%1)"/>
      <w:numFmt w:val="lowerLetter"/>
      <w:start w:val="1"/>
    </w:lvl>
  </w:abstractNum>
  <w:abstractNum w:abstractNumId="857">
    <w:nsid w:val="109B3C30"/>
    <w:multiLevelType w:val="hybridMultilevel"/>
    <w:lvl w:ilvl="0">
      <w:lvlJc w:val="left"/>
      <w:lvlText w:val="(%1)"/>
      <w:numFmt w:val="lowerLetter"/>
      <w:start w:val="1"/>
    </w:lvl>
  </w:abstractNum>
  <w:abstractNum w:abstractNumId="858">
    <w:nsid w:val="16EE013A"/>
    <w:multiLevelType w:val="hybridMultilevel"/>
    <w:lvl w:ilvl="0">
      <w:lvlJc w:val="left"/>
      <w:lvlText w:val="(%1)"/>
      <w:numFmt w:val="lowerLetter"/>
      <w:start w:val="1"/>
    </w:lvl>
  </w:abstractNum>
  <w:abstractNum w:abstractNumId="859">
    <w:nsid w:val="4AC47BF1"/>
    <w:multiLevelType w:val="hybridMultilevel"/>
    <w:lvl w:ilvl="0">
      <w:lvlJc w:val="left"/>
      <w:lvlText w:val="(%1)"/>
      <w:numFmt w:val="lowerLetter"/>
      <w:start w:val="1"/>
    </w:lvl>
  </w:abstractNum>
  <w:abstractNum w:abstractNumId="860">
    <w:nsid w:val="392AE607"/>
    <w:multiLevelType w:val="hybridMultilevel"/>
    <w:lvl w:ilvl="0">
      <w:lvlJc w:val="left"/>
      <w:lvlText w:val="(%1)"/>
      <w:numFmt w:val="lowerLetter"/>
      <w:start w:val="1"/>
    </w:lvl>
  </w:abstractNum>
  <w:abstractNum w:abstractNumId="861">
    <w:nsid w:val="7F1CC41"/>
    <w:multiLevelType w:val="hybridMultilevel"/>
    <w:lvl w:ilvl="0">
      <w:lvlJc w:val="left"/>
      <w:lvlText w:val="(%1)"/>
      <w:numFmt w:val="lowerLetter"/>
      <w:start w:val="1"/>
    </w:lvl>
  </w:abstractNum>
  <w:abstractNum w:abstractNumId="862">
    <w:nsid w:val="3A5E689"/>
    <w:multiLevelType w:val="hybridMultilevel"/>
    <w:lvl w:ilvl="0">
      <w:lvlJc w:val="left"/>
      <w:lvlText w:val="(%1)"/>
      <w:numFmt w:val="lowerLetter"/>
      <w:start w:val="1"/>
    </w:lvl>
  </w:abstractNum>
  <w:abstractNum w:abstractNumId="863">
    <w:nsid w:val="D1C9241"/>
    <w:multiLevelType w:val="hybridMultilevel"/>
    <w:lvl w:ilvl="0">
      <w:lvlJc w:val="left"/>
      <w:lvlText w:val="(%1)"/>
      <w:numFmt w:val="lowerLetter"/>
      <w:start w:val="1"/>
    </w:lvl>
    <w:lvl w:ilvl="1">
      <w:lvlJc w:val="left"/>
      <w:lvlText w:val="(%2)"/>
      <w:numFmt w:val="lowerRoman"/>
      <w:start w:val="1"/>
    </w:lvl>
  </w:abstractNum>
  <w:abstractNum w:abstractNumId="864">
    <w:nsid w:val="319226A8"/>
    <w:multiLevelType w:val="hybridMultilevel"/>
    <w:lvl w:ilvl="0">
      <w:lvlJc w:val="left"/>
      <w:lvlText w:val="%1"/>
      <w:numFmt w:val="lowerLetter"/>
      <w:start w:val="1"/>
    </w:lvl>
    <w:lvl w:ilvl="1">
      <w:lvlJc w:val="left"/>
      <w:lvlText w:val="(%2)"/>
      <w:numFmt w:val="lowerRoman"/>
      <w:start w:val="10"/>
    </w:lvl>
  </w:abstractNum>
  <w:abstractNum w:abstractNumId="865">
    <w:nsid w:val="62C31166"/>
    <w:multiLevelType w:val="hybridMultilevel"/>
    <w:lvl w:ilvl="0">
      <w:lvlJc w:val="left"/>
      <w:lvlText w:val="(%1)"/>
      <w:numFmt w:val="lowerLetter"/>
      <w:start w:val="2"/>
    </w:lvl>
    <w:lvl w:ilvl="1">
      <w:lvlJc w:val="left"/>
      <w:lvlText w:val="(%2)"/>
      <w:numFmt w:val="lowerRoman"/>
      <w:start w:val="1"/>
    </w:lvl>
  </w:abstractNum>
  <w:abstractNum w:abstractNumId="866">
    <w:nsid w:val="6FB94202"/>
    <w:multiLevelType w:val="hybridMultilevel"/>
    <w:lvl w:ilvl="0">
      <w:lvlJc w:val="left"/>
      <w:lvlText w:val="(%1)"/>
      <w:numFmt w:val="lowerLetter"/>
      <w:start w:val="8"/>
    </w:lvl>
  </w:abstractNum>
  <w:abstractNum w:abstractNumId="867">
    <w:nsid w:val="2757C8D8"/>
    <w:multiLevelType w:val="hybridMultilevel"/>
    <w:lvl w:ilvl="0">
      <w:lvlJc w:val="left"/>
      <w:lvlText w:val="(%1)"/>
      <w:numFmt w:val="lowerLetter"/>
      <w:start w:val="9"/>
    </w:lvl>
  </w:abstractNum>
  <w:abstractNum w:abstractNumId="868">
    <w:nsid w:val="3FC376E5"/>
    <w:multiLevelType w:val="hybridMultilevel"/>
    <w:lvl w:ilvl="0">
      <w:lvlJc w:val="left"/>
      <w:lvlText w:val="(%1)"/>
      <w:numFmt w:val="lowerLetter"/>
      <w:start w:val="1"/>
    </w:lvl>
  </w:abstractNum>
  <w:abstractNum w:abstractNumId="869">
    <w:nsid w:val="6B92899B"/>
    <w:multiLevelType w:val="hybridMultilevel"/>
    <w:lvl w:ilvl="0">
      <w:lvlJc w:val="left"/>
      <w:lvlText w:val="%1."/>
      <w:numFmt w:val="decimal"/>
      <w:start w:val="2"/>
    </w:lvl>
    <w:lvl w:ilvl="1">
      <w:lvlJc w:val="left"/>
      <w:lvlText w:val="(%2)"/>
      <w:numFmt w:val="lowerLetter"/>
      <w:start w:val="1"/>
    </w:lvl>
  </w:abstractNum>
  <w:abstractNum w:abstractNumId="870">
    <w:nsid w:val="66BDA96E"/>
    <w:multiLevelType w:val="hybridMultilevel"/>
    <w:lvl w:ilvl="0">
      <w:lvlJc w:val="left"/>
      <w:lvlText w:val="(%1)"/>
      <w:numFmt w:val="lowerLetter"/>
      <w:start w:val="1"/>
    </w:lvl>
    <w:lvl w:ilvl="1">
      <w:lvlJc w:val="left"/>
      <w:lvlText w:val="(%2)"/>
      <w:numFmt w:val="lowerRoman"/>
      <w:start w:val="1"/>
    </w:lvl>
  </w:abstractNum>
  <w:abstractNum w:abstractNumId="871">
    <w:nsid w:val="63F76391"/>
    <w:multiLevelType w:val="hybridMultilevel"/>
    <w:lvl w:ilvl="0">
      <w:lvlJc w:val="left"/>
      <w:lvlText w:val="%1"/>
      <w:numFmt w:val="lowerLetter"/>
      <w:start w:val="1"/>
    </w:lvl>
    <w:lvl w:ilvl="1">
      <w:lvlJc w:val="left"/>
      <w:lvlText w:val="(%2)"/>
      <w:numFmt w:val="lowerLetter"/>
      <w:start w:val="22"/>
    </w:lvl>
  </w:abstractNum>
  <w:abstractNum w:abstractNumId="872">
    <w:nsid w:val="1201EF18"/>
    <w:multiLevelType w:val="hybridMultilevel"/>
    <w:lvl w:ilvl="0">
      <w:lvlJc w:val="left"/>
      <w:lvlText w:val="(%1)"/>
      <w:numFmt w:val="lowerLetter"/>
      <w:start w:val="2"/>
    </w:lvl>
    <w:lvl w:ilvl="1">
      <w:lvlJc w:val="left"/>
      <w:lvlText w:val="(%2)"/>
      <w:numFmt w:val="lowerLetter"/>
      <w:start w:val="9"/>
    </w:lvl>
  </w:abstractNum>
  <w:abstractNum w:abstractNumId="873">
    <w:nsid w:val="73E262B9"/>
    <w:multiLevelType w:val="hybridMultilevel"/>
    <w:lvl w:ilvl="0">
      <w:lvlJc w:val="left"/>
      <w:lvlText w:val="%1"/>
      <w:numFmt w:val="lowerLetter"/>
      <w:start w:val="1"/>
    </w:lvl>
    <w:lvl w:ilvl="1">
      <w:lvlJc w:val="left"/>
      <w:lvlText w:val="(%2)"/>
      <w:numFmt w:val="lowerRoman"/>
      <w:start w:val="2"/>
    </w:lvl>
  </w:abstractNum>
  <w:abstractNum w:abstractNumId="874">
    <w:nsid w:val="8F3EAE3"/>
    <w:multiLevelType w:val="hybridMultilevel"/>
    <w:lvl w:ilvl="0">
      <w:lvlJc w:val="left"/>
      <w:lvlText w:val="(%1)"/>
      <w:numFmt w:val="lowerLetter"/>
      <w:start w:val="3"/>
    </w:lvl>
    <w:lvl w:ilvl="1">
      <w:lvlJc w:val="left"/>
      <w:lvlText w:val="(%2)"/>
      <w:numFmt w:val="lowerRoman"/>
      <w:start w:val="1"/>
    </w:lvl>
  </w:abstractNum>
  <w:abstractNum w:abstractNumId="875">
    <w:nsid w:val="3ED5885B"/>
    <w:multiLevelType w:val="hybridMultilevel"/>
    <w:lvl w:ilvl="0">
      <w:lvlJc w:val="left"/>
      <w:lvlText w:val="(%1)"/>
      <w:numFmt w:val="lowerLetter"/>
      <w:start w:val="1"/>
    </w:lvl>
  </w:abstractNum>
  <w:abstractNum w:abstractNumId="876">
    <w:nsid w:val="37385BB8"/>
    <w:multiLevelType w:val="hybridMultilevel"/>
    <w:lvl w:ilvl="0">
      <w:lvlJc w:val="left"/>
      <w:lvlText w:val="(%1)"/>
      <w:numFmt w:val="lowerLetter"/>
      <w:start w:val="2"/>
    </w:lvl>
  </w:abstractNum>
  <w:abstractNum w:abstractNumId="877">
    <w:nsid w:val="70BBEAE6"/>
    <w:multiLevelType w:val="hybridMultilevel"/>
    <w:lvl w:ilvl="0">
      <w:lvlJc w:val="left"/>
      <w:lvlText w:val="(%1)"/>
      <w:numFmt w:val="lowerLetter"/>
      <w:start w:val="1"/>
    </w:lvl>
    <w:lvl w:ilvl="1">
      <w:lvlJc w:val="left"/>
      <w:lvlText w:val="(%2)"/>
      <w:numFmt w:val="lowerRoman"/>
      <w:start w:val="1"/>
    </w:lvl>
  </w:abstractNum>
  <w:abstractNum w:abstractNumId="878">
    <w:nsid w:val="32AFBB81"/>
    <w:multiLevelType w:val="hybridMultilevel"/>
    <w:lvl w:ilvl="0">
      <w:lvlJc w:val="left"/>
      <w:lvlText w:val="(%1)"/>
      <w:numFmt w:val="lowerLetter"/>
      <w:start w:val="2"/>
    </w:lvl>
  </w:abstractNum>
  <w:abstractNum w:abstractNumId="879">
    <w:nsid w:val="7927D00E"/>
    <w:multiLevelType w:val="hybridMultilevel"/>
    <w:lvl w:ilvl="0">
      <w:lvlJc w:val="left"/>
      <w:lvlText w:val="%1."/>
      <w:numFmt w:val="decimal"/>
      <w:start w:val="3"/>
    </w:lvl>
  </w:abstractNum>
  <w:abstractNum w:abstractNumId="880">
    <w:nsid w:val="43E3308"/>
    <w:multiLevelType w:val="hybridMultilevel"/>
    <w:lvl w:ilvl="0">
      <w:lvlJc w:val="left"/>
      <w:lvlText w:val="(%1)"/>
      <w:numFmt w:val="lowerLetter"/>
      <w:start w:val="1"/>
    </w:lvl>
  </w:abstractNum>
  <w:abstractNum w:abstractNumId="881">
    <w:nsid w:val="4CA4AA7B"/>
    <w:multiLevelType w:val="hybridMultilevel"/>
    <w:lvl w:ilvl="0">
      <w:lvlJc w:val="left"/>
      <w:lvlText w:val="%1."/>
      <w:numFmt w:val="decimal"/>
      <w:start w:val="4"/>
    </w:lvl>
  </w:abstractNum>
  <w:abstractNum w:abstractNumId="882">
    <w:nsid w:val="4A59FF72"/>
    <w:multiLevelType w:val="hybridMultilevel"/>
    <w:lvl w:ilvl="0">
      <w:lvlJc w:val="left"/>
      <w:lvlText w:val="(%1)"/>
      <w:numFmt w:val="lowerLetter"/>
      <w:start w:val="1"/>
    </w:lvl>
    <w:lvl w:ilvl="1">
      <w:lvlJc w:val="left"/>
      <w:lvlText w:val="(%2)"/>
      <w:numFmt w:val="lowerRoman"/>
      <w:start w:val="1"/>
    </w:lvl>
  </w:abstractNum>
  <w:abstractNum w:abstractNumId="883">
    <w:nsid w:val="45E8F53E"/>
    <w:multiLevelType w:val="hybridMultilevel"/>
    <w:lvl w:ilvl="0">
      <w:lvlJc w:val="left"/>
      <w:lvlText w:val="%1."/>
      <w:numFmt w:val="decimal"/>
      <w:start w:val="5"/>
    </w:lvl>
  </w:abstractNum>
  <w:abstractNum w:abstractNumId="884">
    <w:nsid w:val="5CD867D3"/>
    <w:multiLevelType w:val="hybridMultilevel"/>
    <w:lvl w:ilvl="0">
      <w:lvlJc w:val="left"/>
      <w:lvlText w:val="(%1)"/>
      <w:numFmt w:val="lowerLetter"/>
      <w:start w:val="1"/>
    </w:lvl>
    <w:lvl w:ilvl="1">
      <w:lvlJc w:val="left"/>
      <w:lvlText w:val="(%2)"/>
      <w:numFmt w:val="lowerRoman"/>
      <w:start w:val="1"/>
    </w:lvl>
  </w:abstractNum>
  <w:abstractNum w:abstractNumId="885">
    <w:nsid w:val="11A5DA5E"/>
    <w:multiLevelType w:val="hybridMultilevel"/>
    <w:lvl w:ilvl="0">
      <w:lvlJc w:val="left"/>
      <w:lvlText w:val="(%1)"/>
      <w:numFmt w:val="lowerLetter"/>
      <w:start w:val="1"/>
    </w:lvl>
  </w:abstractNum>
  <w:abstractNum w:abstractNumId="886">
    <w:nsid w:val="477C0BB4"/>
    <w:multiLevelType w:val="hybridMultilevel"/>
    <w:lvl w:ilvl="0">
      <w:lvlJc w:val="left"/>
      <w:lvlText w:val="(%1)"/>
      <w:numFmt w:val="lowerLetter"/>
      <w:start w:val="1"/>
    </w:lvl>
  </w:abstractNum>
  <w:abstractNum w:abstractNumId="887">
    <w:nsid w:val="4355FF79"/>
    <w:multiLevelType w:val="hybridMultilevel"/>
    <w:lvl w:ilvl="0">
      <w:lvlJc w:val="left"/>
      <w:lvlText w:val="(%1)"/>
      <w:numFmt w:val="lowerLetter"/>
      <w:start w:val="1"/>
    </w:lvl>
    <w:lvl w:ilvl="1">
      <w:lvlJc w:val="left"/>
      <w:lvlText w:val="(%2)"/>
      <w:numFmt w:val="lowerRoman"/>
      <w:start w:val="1"/>
    </w:lvl>
  </w:abstractNum>
  <w:abstractNum w:abstractNumId="888">
    <w:nsid w:val="2241168E"/>
    <w:multiLevelType w:val="hybridMultilevel"/>
    <w:lvl w:ilvl="0">
      <w:lvlJc w:val="left"/>
      <w:lvlText w:val="%1"/>
      <w:numFmt w:val="lowerLetter"/>
      <w:start w:val="1"/>
    </w:lvl>
    <w:lvl w:ilvl="1">
      <w:lvlJc w:val="left"/>
      <w:lvlText w:val="(%2)"/>
      <w:numFmt w:val="lowerLetter"/>
      <w:start w:val="35"/>
    </w:lvl>
  </w:abstractNum>
  <w:abstractNum w:abstractNumId="889">
    <w:nsid w:val="5E6A0CEE"/>
    <w:multiLevelType w:val="hybridMultilevel"/>
    <w:lvl w:ilvl="0">
      <w:lvlJc w:val="left"/>
      <w:lvlText w:val="(%1)"/>
      <w:numFmt w:val="lowerLetter"/>
      <w:start w:val="2"/>
    </w:lvl>
    <w:lvl w:ilvl="1">
      <w:lvlJc w:val="left"/>
      <w:lvlText w:val="%2"/>
      <w:numFmt w:val="lowerLetter"/>
      <w:start w:val="1"/>
    </w:lvl>
  </w:abstractNum>
  <w:abstractNum w:abstractNumId="890">
    <w:nsid w:val="E1A7B6A"/>
    <w:multiLevelType w:val="hybridMultilevel"/>
    <w:lvl w:ilvl="0">
      <w:lvlJc w:val="left"/>
      <w:lvlText w:val="%1."/>
      <w:numFmt w:val="decimal"/>
      <w:start w:val="6"/>
    </w:lvl>
    <w:lvl w:ilvl="1">
      <w:lvlJc w:val="left"/>
      <w:lvlText w:val="(%2)"/>
      <w:numFmt w:val="lowerLetter"/>
      <w:start w:val="1"/>
    </w:lvl>
  </w:abstractNum>
  <w:abstractNum w:abstractNumId="891">
    <w:nsid w:val="5B6BFC9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2">
    <w:nsid w:val="665BD92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893">
    <w:nsid w:val="11C061F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94">
    <w:nsid w:val="68888ED7"/>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895">
    <w:nsid w:val="17EDFFD7"/>
    <w:multiLevelType w:val="hybridMultilevel"/>
    <w:lvl w:ilvl="0">
      <w:lvlJc w:val="left"/>
      <w:lvlText w:val="(%1)"/>
      <w:numFmt w:val="lowerRoman"/>
      <w:start w:val="2"/>
    </w:lvl>
  </w:abstractNum>
  <w:abstractNum w:abstractNumId="896">
    <w:nsid w:val="74837359"/>
    <w:multiLevelType w:val="hybridMultilevel"/>
    <w:lvl w:ilvl="0">
      <w:lvlJc w:val="left"/>
      <w:lvlText w:val="(%1)"/>
      <w:numFmt w:val="lowerLetter"/>
      <w:start w:val="1"/>
    </w:lvl>
    <w:lvl w:ilvl="1">
      <w:lvlJc w:val="left"/>
      <w:lvlText w:val="(%2)"/>
      <w:numFmt w:val="lowerRoman"/>
      <w:start w:val="1"/>
    </w:lvl>
  </w:abstractNum>
  <w:abstractNum w:abstractNumId="897">
    <w:nsid w:val="5841D0D9"/>
    <w:multiLevelType w:val="hybridMultilevel"/>
    <w:lvl w:ilvl="0">
      <w:lvlJc w:val="left"/>
      <w:lvlText w:val="(%1)"/>
      <w:numFmt w:val="lowerLetter"/>
      <w:start w:val="4"/>
    </w:lvl>
  </w:abstractNum>
  <w:abstractNum w:abstractNumId="898">
    <w:nsid w:val="3F45C8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9">
    <w:nsid w:val="3446EA3E"/>
    <w:multiLevelType w:val="hybridMultilevel"/>
    <w:lvl w:ilvl="0">
      <w:lvlJc w:val="left"/>
      <w:lvlText w:val="(%1)"/>
      <w:numFmt w:val="lowerLetter"/>
      <w:start w:val="4"/>
    </w:lvl>
  </w:abstractNum>
  <w:abstractNum w:abstractNumId="900">
    <w:nsid w:val="43D45A74"/>
    <w:multiLevelType w:val="hybridMultilevel"/>
    <w:lvl w:ilvl="0">
      <w:lvlJc w:val="left"/>
      <w:lvlText w:val="(%1)"/>
      <w:numFmt w:val="lowerLetter"/>
      <w:start w:val="1"/>
    </w:lvl>
    <w:lvl w:ilvl="1">
      <w:lvlJc w:val="left"/>
      <w:lvlText w:val="(%2)"/>
      <w:numFmt w:val="lowerRoman"/>
      <w:start w:val="1"/>
    </w:lvl>
  </w:abstractNum>
  <w:abstractNum w:abstractNumId="901">
    <w:nsid w:val="2603721D"/>
    <w:multiLevelType w:val="hybridMultilevel"/>
    <w:lvl w:ilvl="0">
      <w:lvlJc w:val="left"/>
      <w:lvlText w:val="(%1)"/>
      <w:numFmt w:val="lowerLetter"/>
      <w:start w:val="1"/>
    </w:lvl>
    <w:lvl w:ilvl="1">
      <w:lvlJc w:val="left"/>
      <w:lvlText w:val="(%2)"/>
      <w:numFmt w:val="lowerRoman"/>
      <w:start w:val="1"/>
    </w:lvl>
  </w:abstractNum>
  <w:abstractNum w:abstractNumId="902">
    <w:nsid w:val="183E4DCF"/>
    <w:multiLevelType w:val="hybridMultilevel"/>
    <w:lvl w:ilvl="0">
      <w:lvlJc w:val="left"/>
      <w:lvlText w:val="(%1)"/>
      <w:numFmt w:val="lowerLetter"/>
      <w:start w:val="2"/>
    </w:lvl>
  </w:abstractNum>
  <w:abstractNum w:abstractNumId="903">
    <w:nsid w:val="55D6498C"/>
    <w:multiLevelType w:val="hybridMultilevel"/>
    <w:lvl w:ilvl="0">
      <w:lvlJc w:val="left"/>
      <w:lvlText w:val="(%1)"/>
      <w:numFmt w:val="lowerLetter"/>
      <w:start w:val="1"/>
    </w:lvl>
  </w:abstractNum>
  <w:abstractNum w:abstractNumId="904">
    <w:nsid w:val="19E5D4D7"/>
    <w:multiLevelType w:val="hybridMultilevel"/>
    <w:lvl w:ilvl="0">
      <w:lvlJc w:val="left"/>
      <w:lvlText w:val="(%1)"/>
      <w:numFmt w:val="lowerLetter"/>
      <w:start w:val="1"/>
    </w:lvl>
  </w:abstractNum>
  <w:abstractNum w:abstractNumId="905">
    <w:nsid w:val="213238B3"/>
    <w:multiLevelType w:val="hybridMultilevel"/>
    <w:lvl w:ilvl="0">
      <w:lvlJc w:val="left"/>
      <w:lvlText w:val="%1."/>
      <w:numFmt w:val="decimal"/>
      <w:start w:val="7"/>
    </w:lvl>
  </w:abstractNum>
  <w:abstractNum w:abstractNumId="906">
    <w:nsid w:val="14ABD1E8"/>
    <w:multiLevelType w:val="hybridMultilevel"/>
    <w:lvl w:ilvl="0">
      <w:lvlJc w:val="left"/>
      <w:lvlText w:val="(%1)"/>
      <w:numFmt w:val="lowerLetter"/>
      <w:start w:val="1"/>
    </w:lvl>
    <w:lvl w:ilvl="1">
      <w:lvlJc w:val="left"/>
      <w:lvlText w:val="(%2)"/>
      <w:numFmt w:val="lowerRoman"/>
      <w:start w:val="1"/>
    </w:lvl>
  </w:abstractNum>
  <w:abstractNum w:abstractNumId="907">
    <w:nsid w:val="511E308F"/>
    <w:multiLevelType w:val="hybridMultilevel"/>
    <w:lvl w:ilvl="0">
      <w:lvlJc w:val="left"/>
      <w:lvlText w:val="(%1)"/>
      <w:numFmt w:val="upperLetter"/>
      <w:start w:val="1"/>
    </w:lvl>
    <w:lvl w:ilvl="1">
      <w:lvlJc w:val="left"/>
      <w:lvlText w:val="(%2)"/>
      <w:numFmt w:val="decimal"/>
      <w:start w:val="1"/>
    </w:lvl>
  </w:abstractNum>
  <w:abstractNum w:abstractNumId="908">
    <w:nsid w:val="11EE2399"/>
    <w:multiLevelType w:val="hybridMultilevel"/>
    <w:lvl w:ilvl="0">
      <w:lvlJc w:val="left"/>
      <w:lvlText w:val="(%1)"/>
      <w:numFmt w:val="lowerLetter"/>
      <w:start w:val="3"/>
    </w:lvl>
  </w:abstractNum>
  <w:abstractNum w:abstractNumId="909">
    <w:nsid w:val="475B8D69"/>
    <w:multiLevelType w:val="hybridMultilevel"/>
    <w:lvl w:ilvl="0">
      <w:lvlJc w:val="left"/>
      <w:lvlText w:val="%1."/>
      <w:numFmt w:val="decimal"/>
      <w:start w:val="8"/>
    </w:lvl>
  </w:abstractNum>
  <w:abstractNum w:abstractNumId="910">
    <w:nsid w:val="4A46009E"/>
    <w:multiLevelType w:val="hybridMultilevel"/>
    <w:lvl w:ilvl="0">
      <w:lvlJc w:val="left"/>
      <w:lvlText w:val="(%1)"/>
      <w:numFmt w:val="lowerLetter"/>
      <w:start w:val="1"/>
    </w:lvl>
  </w:abstractNum>
  <w:abstractNum w:abstractNumId="911">
    <w:nsid w:val="162C56A1"/>
    <w:multiLevelType w:val="hybridMultilevel"/>
    <w:lvl w:ilvl="0">
      <w:lvlJc w:val="left"/>
      <w:lvlText w:val="%1."/>
      <w:numFmt w:val="decimal"/>
      <w:start w:val="9"/>
    </w:lvl>
  </w:abstractNum>
  <w:abstractNum w:abstractNumId="912">
    <w:nsid w:val="140037E4"/>
    <w:multiLevelType w:val="hybridMultilevel"/>
    <w:lvl w:ilvl="0">
      <w:lvlJc w:val="left"/>
      <w:lvlText w:val="(%1)"/>
      <w:numFmt w:val="lowerLetter"/>
      <w:start w:val="1"/>
    </w:lvl>
  </w:abstractNum>
  <w:abstractNum w:abstractNumId="913">
    <w:nsid w:val="14A00010"/>
    <w:multiLevelType w:val="hybridMultilevel"/>
    <w:lvl w:ilvl="0">
      <w:lvlJc w:val="left"/>
      <w:lvlText w:val="(%1)"/>
      <w:numFmt w:val="lowerLetter"/>
      <w:start w:val="1"/>
    </w:lvl>
    <w:lvl w:ilvl="1">
      <w:lvlJc w:val="left"/>
      <w:lvlText w:val="(%2)"/>
      <w:numFmt w:val="lowerRoman"/>
      <w:start w:val="1"/>
    </w:lvl>
  </w:abstractNum>
  <w:abstractNum w:abstractNumId="914">
    <w:nsid w:val="5C154BDF"/>
    <w:multiLevelType w:val="hybridMultilevel"/>
    <w:lvl w:ilvl="0">
      <w:lvlJc w:val="left"/>
      <w:lvlText w:val="(%1)"/>
      <w:numFmt w:val="lowerLetter"/>
      <w:start w:val="1"/>
    </w:lvl>
    <w:lvl w:ilvl="1">
      <w:lvlJc w:val="left"/>
      <w:lvlText w:val="(%2)"/>
      <w:numFmt w:val="lowerRoman"/>
      <w:start w:val="1"/>
    </w:lvl>
  </w:abstractNum>
  <w:abstractNum w:abstractNumId="915">
    <w:nsid w:val="70D89FB8"/>
    <w:multiLevelType w:val="hybridMultilevel"/>
    <w:lvl w:ilvl="0">
      <w:lvlJc w:val="left"/>
      <w:lvlText w:val="(%1)"/>
      <w:numFmt w:val="lowerLetter"/>
      <w:start w:val="2"/>
    </w:lvl>
  </w:abstractNum>
  <w:abstractNum w:abstractNumId="916">
    <w:nsid w:val="2645DA6E"/>
    <w:multiLevelType w:val="hybridMultilevel"/>
    <w:lvl w:ilvl="0">
      <w:lvlJc w:val="left"/>
      <w:lvlText w:val="%1."/>
      <w:numFmt w:val="decimal"/>
      <w:start w:val="10"/>
    </w:lvl>
  </w:abstractNum>
  <w:abstractNum w:abstractNumId="917">
    <w:nsid w:val="23915793"/>
    <w:multiLevelType w:val="hybridMultilevel"/>
    <w:lvl w:ilvl="0">
      <w:lvlJc w:val="left"/>
      <w:lvlText w:val="%1."/>
      <w:numFmt w:val="decimal"/>
      <w:start w:val="11"/>
    </w:lvl>
  </w:abstractNum>
  <w:abstractNum w:abstractNumId="918">
    <w:nsid w:val="342E9F31"/>
    <w:multiLevelType w:val="hybridMultilevel"/>
    <w:lvl w:ilvl="0">
      <w:lvlJc w:val="left"/>
      <w:lvlText w:val="(%1)"/>
      <w:numFmt w:val="lowerLetter"/>
      <w:start w:val="1"/>
    </w:lvl>
  </w:abstractNum>
  <w:abstractNum w:abstractNumId="919">
    <w:nsid w:val="4886F0FD"/>
    <w:multiLevelType w:val="hybridMultilevel"/>
    <w:lvl w:ilvl="0">
      <w:lvlJc w:val="left"/>
      <w:lvlText w:val="(%1)"/>
      <w:numFmt w:val="lowerLetter"/>
      <w:start w:val="1"/>
    </w:lvl>
    <w:lvl w:ilvl="1">
      <w:lvlJc w:val="left"/>
      <w:lvlText w:val="(%2)"/>
      <w:numFmt w:val="lowerRoman"/>
      <w:start w:val="1"/>
    </w:lvl>
  </w:abstractNum>
  <w:abstractNum w:abstractNumId="920">
    <w:nsid w:val="1FB6481"/>
    <w:multiLevelType w:val="hybridMultilevel"/>
    <w:lvl w:ilvl="0">
      <w:lvlJc w:val="left"/>
      <w:lvlText w:val="%1."/>
      <w:numFmt w:val="decimal"/>
      <w:start w:val="12"/>
    </w:lvl>
  </w:abstractNum>
  <w:abstractNum w:abstractNumId="921">
    <w:nsid w:val="42491A9B"/>
    <w:multiLevelType w:val="hybridMultilevel"/>
    <w:lvl w:ilvl="0">
      <w:lvlJc w:val="left"/>
      <w:lvlText w:val="(%1)"/>
      <w:numFmt w:val="lowerLetter"/>
      <w:start w:val="1"/>
    </w:lvl>
  </w:abstractNum>
  <w:abstractNum w:abstractNumId="922">
    <w:nsid w:val="23F2ED92"/>
    <w:multiLevelType w:val="hybridMultilevel"/>
    <w:lvl w:ilvl="0">
      <w:lvlJc w:val="left"/>
      <w:lvlText w:val="(%1)"/>
      <w:numFmt w:val="lowerLetter"/>
      <w:start w:val="2"/>
    </w:lvl>
  </w:abstractNum>
  <w:abstractNum w:abstractNumId="923">
    <w:nsid w:val="68573DB1"/>
    <w:multiLevelType w:val="hybridMultilevel"/>
    <w:lvl w:ilvl="0">
      <w:lvlJc w:val="left"/>
      <w:lvlText w:val="%1."/>
      <w:numFmt w:val="decimal"/>
      <w:start w:val="13"/>
    </w:lvl>
  </w:abstractNum>
  <w:abstractNum w:abstractNumId="924">
    <w:nsid w:val="54097C8E"/>
    <w:multiLevelType w:val="hybridMultilevel"/>
    <w:lvl w:ilvl="0">
      <w:lvlJc w:val="left"/>
      <w:lvlText w:val="(%1)"/>
      <w:numFmt w:val="lowerLetter"/>
      <w:start w:val="1"/>
    </w:lvl>
    <w:lvl w:ilvl="1">
      <w:lvlJc w:val="left"/>
      <w:lvlText w:val="(%2)"/>
      <w:numFmt w:val="lowerRoman"/>
      <w:start w:val="1"/>
    </w:lvl>
  </w:abstractNum>
  <w:abstractNum w:abstractNumId="925">
    <w:nsid w:val="C7B7C69"/>
    <w:multiLevelType w:val="hybridMultilevel"/>
    <w:lvl w:ilvl="0">
      <w:lvlJc w:val="left"/>
      <w:lvlText w:val="(%1)"/>
      <w:numFmt w:val="lowerLetter"/>
      <w:start w:val="2"/>
    </w:lvl>
    <w:lvl w:ilvl="1">
      <w:lvlJc w:val="left"/>
      <w:lvlText w:val="(%2)"/>
      <w:numFmt w:val="lowerRoman"/>
      <w:start w:val="1"/>
    </w:lvl>
  </w:abstractNum>
  <w:abstractNum w:abstractNumId="926">
    <w:nsid w:val="453D88"/>
    <w:multiLevelType w:val="hybridMultilevel"/>
    <w:lvl w:ilvl="0">
      <w:lvlJc w:val="left"/>
      <w:lvlText w:val="(%1)"/>
      <w:numFmt w:val="lowerLetter"/>
      <w:start w:val="1"/>
    </w:lvl>
  </w:abstractNum>
  <w:abstractNum w:abstractNumId="927">
    <w:nsid w:val="488CEFE8"/>
    <w:multiLevelType w:val="hybridMultilevel"/>
    <w:lvl w:ilvl="0">
      <w:lvlJc w:val="left"/>
      <w:lvlText w:val="(%1)"/>
      <w:numFmt w:val="lowerLetter"/>
      <w:start w:val="1"/>
    </w:lvl>
  </w:abstractNum>
  <w:abstractNum w:abstractNumId="928">
    <w:nsid w:val="64BD4D42"/>
    <w:multiLevelType w:val="hybridMultilevel"/>
    <w:lvl w:ilvl="0">
      <w:lvlJc w:val="left"/>
      <w:lvlText w:val="%1."/>
      <w:numFmt w:val="decimal"/>
      <w:start w:val="14"/>
    </w:lvl>
  </w:abstractNum>
  <w:abstractNum w:abstractNumId="929">
    <w:nsid w:val="3F8B0638"/>
    <w:multiLevelType w:val="hybridMultilevel"/>
    <w:lvl w:ilvl="0">
      <w:lvlJc w:val="left"/>
      <w:lvlText w:val="(%1)"/>
      <w:numFmt w:val="lowerLetter"/>
      <w:start w:val="1"/>
    </w:lvl>
  </w:abstractNum>
  <w:abstractNum w:abstractNumId="930">
    <w:nsid w:val="7CD3DA26"/>
    <w:multiLevelType w:val="hybridMultilevel"/>
    <w:lvl w:ilvl="0">
      <w:lvlJc w:val="left"/>
      <w:lvlText w:val="(%1)"/>
      <w:numFmt w:val="lowerLetter"/>
      <w:start w:val="2"/>
    </w:lvl>
  </w:abstractNum>
  <w:abstractNum w:abstractNumId="931">
    <w:nsid w:val="2891A7B7"/>
    <w:multiLevelType w:val="hybridMultilevel"/>
    <w:lvl w:ilvl="0">
      <w:lvlJc w:val="left"/>
      <w:lvlText w:val="%1."/>
      <w:numFmt w:val="decimal"/>
      <w:start w:val="15"/>
    </w:lvl>
    <w:lvl w:ilvl="1">
      <w:lvlJc w:val="left"/>
      <w:lvlText w:val="(%2)"/>
      <w:numFmt w:val="lowerLetter"/>
      <w:start w:val="1"/>
    </w:lvl>
  </w:abstractNum>
  <w:abstractNum w:abstractNumId="932">
    <w:nsid w:val="658E7855"/>
    <w:multiLevelType w:val="hybridMultilevel"/>
    <w:lvl w:ilvl="0">
      <w:lvlJc w:val="left"/>
      <w:lvlText w:val="(%1)"/>
      <w:numFmt w:val="lowerLetter"/>
      <w:start w:val="1"/>
    </w:lvl>
  </w:abstractNum>
  <w:abstractNum w:abstractNumId="933">
    <w:nsid w:val="151227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34">
    <w:nsid w:val="7E67F143"/>
    <w:multiLevelType w:val="hybridMultilevel"/>
    <w:lvl w:ilvl="0">
      <w:lvlJc w:val="left"/>
      <w:lvlText w:val="%1"/>
      <w:numFmt w:val="lowerLetter"/>
      <w:start w:val="1"/>
    </w:lvl>
    <w:lvl w:ilvl="1">
      <w:lvlJc w:val="left"/>
      <w:lvlText w:val="(%2)"/>
      <w:numFmt w:val="lowerRoman"/>
      <w:start w:val="2"/>
    </w:lvl>
  </w:abstractNum>
  <w:abstractNum w:abstractNumId="935">
    <w:nsid w:val="7F744D2C"/>
    <w:multiLevelType w:val="hybridMultilevel"/>
    <w:lvl w:ilvl="0">
      <w:lvlJc w:val="left"/>
      <w:lvlText w:val="(%1)"/>
      <w:numFmt w:val="lowerLetter"/>
      <w:start w:val="3"/>
    </w:lvl>
    <w:lvl w:ilvl="1">
      <w:lvlJc w:val="left"/>
      <w:lvlText w:val="%2"/>
      <w:numFmt w:val="lowerRoman"/>
      <w:start w:val="1"/>
    </w:lvl>
  </w:abstractNum>
  <w:abstractNum w:abstractNumId="936">
    <w:nsid w:val="364460A9"/>
    <w:multiLevelType w:val="hybridMultilevel"/>
    <w:lvl w:ilvl="0">
      <w:lvlJc w:val="left"/>
      <w:lvlText w:val="(%1)"/>
      <w:numFmt w:val="lowerLetter"/>
      <w:start w:val="1"/>
    </w:lvl>
  </w:abstractNum>
  <w:abstractNum w:abstractNumId="937">
    <w:nsid w:val="1313C32B"/>
    <w:multiLevelType w:val="hybridMultilevel"/>
    <w:lvl w:ilvl="0">
      <w:lvlJc w:val="left"/>
      <w:lvlText w:val="(%1)"/>
      <w:numFmt w:val="lowerLetter"/>
      <w:start w:val="1"/>
    </w:lvl>
  </w:abstractNum>
  <w:abstractNum w:abstractNumId="938">
    <w:nsid w:val="50927D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39">
    <w:nsid w:val="48328442"/>
    <w:multiLevelType w:val="hybridMultilevel"/>
    <w:lvl w:ilvl="0">
      <w:lvlJc w:val="left"/>
      <w:lvlText w:val="(%1)"/>
      <w:numFmt w:val="lowerLetter"/>
      <w:start w:val="1"/>
    </w:lvl>
  </w:abstractNum>
  <w:abstractNum w:abstractNumId="940">
    <w:nsid w:val="5A6F5094"/>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941">
    <w:nsid w:val="1AD87E5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42">
    <w:nsid w:val="5E5EDAE3"/>
    <w:multiLevelType w:val="hybridMultilevel"/>
    <w:lvl w:ilvl="0">
      <w:lvlJc w:val="left"/>
      <w:lvlText w:val="(%1)"/>
      <w:numFmt w:val="lowerRoman"/>
      <w:start w:val="2"/>
    </w:lvl>
  </w:abstractNum>
  <w:abstractNum w:abstractNumId="943">
    <w:nsid w:val="6E6F8879"/>
    <w:multiLevelType w:val="hybridMultilevel"/>
    <w:lvl w:ilvl="0">
      <w:lvlJc w:val="left"/>
      <w:lvlText w:val="(%1)"/>
      <w:numFmt w:val="lowerLetter"/>
      <w:start w:val="1"/>
    </w:lvl>
  </w:abstractNum>
  <w:abstractNum w:abstractNumId="944">
    <w:nsid w:val="2F787E6A"/>
    <w:multiLevelType w:val="hybridMultilevel"/>
    <w:lvl w:ilvl="0">
      <w:lvlJc w:val="left"/>
      <w:lvlText w:val="(%1)"/>
      <w:numFmt w:val="lowerLetter"/>
      <w:start w:val="1"/>
    </w:lvl>
    <w:lvl w:ilvl="1">
      <w:lvlJc w:val="left"/>
      <w:lvlText w:val="(%2)"/>
      <w:numFmt w:val="lowerRoman"/>
      <w:start w:val="1"/>
    </w:lvl>
  </w:abstractNum>
  <w:abstractNum w:abstractNumId="945">
    <w:nsid w:val="3A7426C2"/>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946">
    <w:nsid w:val="5F482831"/>
    <w:multiLevelType w:val="hybridMultilevel"/>
    <w:lvl w:ilvl="0">
      <w:lvlJc w:val="left"/>
      <w:lvlText w:val="(%1)"/>
      <w:numFmt w:val="lowerLetter"/>
      <w:start w:val="2"/>
    </w:lvl>
  </w:abstractNum>
  <w:abstractNum w:abstractNumId="947">
    <w:nsid w:val="55BE58D9"/>
    <w:multiLevelType w:val="hybridMultilevel"/>
    <w:lvl w:ilvl="0">
      <w:lvlJc w:val="left"/>
      <w:lvlText w:val="(%1)"/>
      <w:numFmt w:val="lowerLetter"/>
      <w:start w:val="1"/>
    </w:lvl>
    <w:lvl w:ilvl="1">
      <w:lvlJc w:val="left"/>
      <w:lvlText w:val="(%2)"/>
      <w:numFmt w:val="lowerRoman"/>
      <w:start w:val="1"/>
    </w:lvl>
  </w:abstractNum>
  <w:abstractNum w:abstractNumId="948">
    <w:nsid w:val="5E057E55"/>
    <w:multiLevelType w:val="hybridMultilevel"/>
    <w:lvl w:ilvl="0">
      <w:lvlJc w:val="left"/>
      <w:lvlText w:val="(%1)"/>
      <w:numFmt w:val="lowerLetter"/>
      <w:start w:val="1"/>
    </w:lvl>
    <w:lvl w:ilvl="1">
      <w:lvlJc w:val="left"/>
      <w:lvlText w:val="(%2)"/>
      <w:numFmt w:val="lowerLetter"/>
      <w:start w:val="9"/>
    </w:lvl>
  </w:abstractNum>
  <w:abstractNum w:abstractNumId="949">
    <w:nsid w:val="1376C76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50">
    <w:nsid w:val="1E4549D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51">
    <w:nsid w:val="6000E2D6"/>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952">
    <w:nsid w:val="55BFE1FD"/>
    <w:multiLevelType w:val="hybridMultilevel"/>
    <w:lvl w:ilvl="0">
      <w:lvlJc w:val="left"/>
      <w:lvlText w:val="(%1)"/>
      <w:numFmt w:val="lowerLetter"/>
      <w:start w:val="1"/>
    </w:lvl>
  </w:abstractNum>
  <w:abstractNum w:abstractNumId="953">
    <w:nsid w:val="42383768"/>
    <w:multiLevelType w:val="hybridMultilevel"/>
    <w:lvl w:ilvl="0">
      <w:lvlJc w:val="left"/>
      <w:lvlText w:val="(%1)"/>
      <w:numFmt w:val="lowerLetter"/>
      <w:start w:val="1"/>
    </w:lvl>
  </w:abstractNum>
  <w:abstractNum w:abstractNumId="954">
    <w:nsid w:val="48582087"/>
    <w:multiLevelType w:val="hybridMultilevel"/>
    <w:lvl w:ilvl="0">
      <w:lvlJc w:val="left"/>
      <w:lvlText w:val="%1."/>
      <w:numFmt w:val="decimal"/>
      <w:start w:val="19"/>
    </w:lvl>
  </w:abstractNum>
  <w:abstractNum w:abstractNumId="955">
    <w:nsid w:val="29C95E8B"/>
    <w:multiLevelType w:val="hybridMultilevel"/>
    <w:lvl w:ilvl="0">
      <w:lvlJc w:val="left"/>
      <w:lvlText w:val="(%1)"/>
      <w:numFmt w:val="lowerLetter"/>
      <w:start w:val="1"/>
    </w:lvl>
  </w:abstractNum>
  <w:abstractNum w:abstractNumId="956">
    <w:nsid w:val="4EB3B3D2"/>
    <w:multiLevelType w:val="hybridMultilevel"/>
    <w:lvl w:ilvl="0">
      <w:lvlJc w:val="left"/>
      <w:lvlText w:val="%1."/>
      <w:numFmt w:val="decimal"/>
      <w:start w:val="20"/>
    </w:lvl>
    <w:lvl w:ilvl="1">
      <w:lvlJc w:val="left"/>
      <w:lvlText w:val="(%2)"/>
      <w:numFmt w:val="lowerLetter"/>
      <w:start w:val="1"/>
    </w:lvl>
  </w:abstractNum>
  <w:abstractNum w:abstractNumId="957">
    <w:nsid w:val="489D5E10"/>
    <w:multiLevelType w:val="hybridMultilevel"/>
    <w:lvl w:ilvl="0">
      <w:lvlJc w:val="left"/>
      <w:lvlText w:val="(%1)"/>
      <w:numFmt w:val="lowerLetter"/>
      <w:start w:val="1"/>
    </w:lvl>
  </w:abstractNum>
  <w:abstractNum w:abstractNumId="958">
    <w:nsid w:val="72564E73"/>
    <w:multiLevelType w:val="hybridMultilevel"/>
    <w:lvl w:ilvl="0">
      <w:lvlJc w:val="left"/>
      <w:lvlText w:val="(%1)"/>
      <w:numFmt w:val="lowerRoman"/>
      <w:start w:val="1"/>
    </w:lvl>
  </w:abstractNum>
  <w:abstractNum w:abstractNumId="959">
    <w:nsid w:val="33710114"/>
    <w:multiLevelType w:val="hybridMultilevel"/>
    <w:lvl w:ilvl="0">
      <w:lvlJc w:val="left"/>
      <w:lvlText w:val="(%1)"/>
      <w:numFmt w:val="lowerLetter"/>
      <w:start w:val="1"/>
    </w:lvl>
  </w:abstractNum>
  <w:abstractNum w:abstractNumId="960">
    <w:nsid w:val="8286448"/>
    <w:multiLevelType w:val="hybridMultilevel"/>
    <w:lvl w:ilvl="0">
      <w:lvlJc w:val="left"/>
      <w:lvlText w:val="(%1)"/>
      <w:numFmt w:val="lowerLetter"/>
      <w:start w:val="1"/>
    </w:lvl>
  </w:abstractNum>
  <w:abstractNum w:abstractNumId="961">
    <w:nsid w:val="6F2A289A"/>
    <w:multiLevelType w:val="hybridMultilevel"/>
    <w:lvl w:ilvl="0">
      <w:lvlJc w:val="left"/>
      <w:lvlText w:val="(%1)"/>
      <w:numFmt w:val="lowerLetter"/>
      <w:start w:val="1"/>
    </w:lvl>
  </w:abstractNum>
  <w:abstractNum w:abstractNumId="962">
    <w:nsid w:val="5C02A8CB"/>
    <w:multiLevelType w:val="hybridMultilevel"/>
    <w:lvl w:ilvl="0">
      <w:lvlJc w:val="left"/>
      <w:lvlText w:val="%1."/>
      <w:numFmt w:val="decimal"/>
      <w:start w:val="21"/>
    </w:lvl>
  </w:abstractNum>
  <w:abstractNum w:abstractNumId="963">
    <w:nsid w:val="6DB6DC9D"/>
    <w:multiLevelType w:val="hybridMultilevel"/>
    <w:lvl w:ilvl="0">
      <w:lvlJc w:val="left"/>
      <w:lvlText w:val="(%1)"/>
      <w:numFmt w:val="lowerLetter"/>
      <w:start w:val="1"/>
    </w:lvl>
    <w:lvl w:ilvl="1">
      <w:lvlJc w:val="left"/>
      <w:lvlText w:val="(%2)"/>
      <w:numFmt w:val="lowerRoman"/>
      <w:start w:val="1"/>
    </w:lvl>
  </w:abstractNum>
  <w:abstractNum w:abstractNumId="964">
    <w:nsid w:val="43C5090"/>
    <w:multiLevelType w:val="hybridMultilevel"/>
    <w:lvl w:ilvl="0">
      <w:lvlJc w:val="left"/>
      <w:lvlText w:val="(%1)"/>
      <w:numFmt w:val="lowerLetter"/>
      <w:start w:val="1"/>
    </w:lvl>
  </w:abstractNum>
  <w:abstractNum w:abstractNumId="965">
    <w:nsid w:val="5A6A9A0F"/>
    <w:multiLevelType w:val="hybridMultilevel"/>
    <w:lvl w:ilvl="0">
      <w:lvlJc w:val="left"/>
      <w:lvlText w:val="(%1)"/>
      <w:numFmt w:val="lowerLetter"/>
      <w:start w:val="1"/>
    </w:lvl>
  </w:abstractNum>
  <w:abstractNum w:abstractNumId="966">
    <w:nsid w:val="6D2B29CA"/>
    <w:multiLevelType w:val="hybridMultilevel"/>
    <w:lvl w:ilvl="0">
      <w:lvlJc w:val="left"/>
      <w:lvlText w:val="(%1)"/>
      <w:numFmt w:val="lowerLetter"/>
      <w:start w:val="1"/>
    </w:lvl>
  </w:abstractNum>
  <w:abstractNum w:abstractNumId="967">
    <w:nsid w:val="3A80B139"/>
    <w:multiLevelType w:val="hybridMultilevel"/>
    <w:lvl w:ilvl="0">
      <w:lvlJc w:val="left"/>
      <w:lvlText w:val="(%1)"/>
      <w:numFmt w:val="lowerLetter"/>
      <w:start w:val="1"/>
    </w:lvl>
    <w:lvl w:ilvl="1">
      <w:lvlJc w:val="left"/>
      <w:lvlText w:val="(%2)"/>
      <w:numFmt w:val="lowerRoman"/>
      <w:start w:val="1"/>
    </w:lvl>
  </w:abstractNum>
  <w:abstractNum w:abstractNumId="968">
    <w:nsid w:val="6D7E5D3A"/>
    <w:multiLevelType w:val="hybridMultilevel"/>
    <w:lvl w:ilvl="0">
      <w:lvlJc w:val="left"/>
      <w:lvlText w:val="(%1)"/>
      <w:numFmt w:val="lowerLetter"/>
      <w:start w:val="2"/>
    </w:lvl>
  </w:abstractNum>
  <w:abstractNum w:abstractNumId="969">
    <w:nsid w:val="3DBDA786"/>
    <w:multiLevelType w:val="hybridMultilevel"/>
    <w:lvl w:ilvl="0">
      <w:lvlJc w:val="left"/>
      <w:lvlText w:val="(%1)"/>
      <w:numFmt w:val="lowerLetter"/>
      <w:start w:val="1"/>
    </w:lvl>
  </w:abstractNum>
  <w:abstractNum w:abstractNumId="970">
    <w:nsid w:val="2B3357B"/>
    <w:multiLevelType w:val="hybridMultilevel"/>
    <w:lvl w:ilvl="0">
      <w:lvlJc w:val="left"/>
      <w:lvlText w:val="(%1)"/>
      <w:numFmt w:val="lowerLetter"/>
      <w:start w:val="1"/>
    </w:lvl>
  </w:abstractNum>
  <w:abstractNum w:abstractNumId="971">
    <w:nsid w:val="47EDADCF"/>
    <w:multiLevelType w:val="hybridMultilevel"/>
    <w:lvl w:ilvl="0">
      <w:lvlJc w:val="left"/>
      <w:lvlText w:val="(%1)"/>
      <w:numFmt w:val="lowerLetter"/>
      <w:start w:val="1"/>
    </w:lvl>
  </w:abstractNum>
  <w:abstractNum w:abstractNumId="972">
    <w:nsid w:val="589625E0"/>
    <w:multiLevelType w:val="hybridMultilevel"/>
    <w:lvl w:ilvl="0">
      <w:lvlJc w:val="left"/>
      <w:lvlText w:val="(%1)"/>
      <w:numFmt w:val="lowerLetter"/>
      <w:start w:val="1"/>
    </w:lvl>
  </w:abstractNum>
  <w:abstractNum w:abstractNumId="973">
    <w:nsid w:val="6112105E"/>
    <w:multiLevelType w:val="hybridMultilevel"/>
    <w:lvl w:ilvl="0">
      <w:lvlJc w:val="left"/>
      <w:lvlText w:val="(%1)"/>
      <w:numFmt w:val="lowerLetter"/>
      <w:start w:val="2"/>
    </w:lvl>
  </w:abstractNum>
  <w:abstractNum w:abstractNumId="974">
    <w:nsid w:val="365D3648"/>
    <w:multiLevelType w:val="hybridMultilevel"/>
    <w:lvl w:ilvl="0">
      <w:lvlJc w:val="left"/>
      <w:lvlText w:val="(%1)"/>
      <w:numFmt w:val="lowerLetter"/>
      <w:start w:val="1"/>
    </w:lvl>
    <w:lvl w:ilvl="1">
      <w:lvlJc w:val="left"/>
      <w:lvlText w:val="(%2)"/>
      <w:numFmt w:val="lowerRoman"/>
      <w:start w:val="1"/>
    </w:lvl>
  </w:abstractNum>
  <w:abstractNum w:abstractNumId="975">
    <w:nsid w:val="80EA44A"/>
    <w:multiLevelType w:val="hybridMultilevel"/>
    <w:lvl w:ilvl="0">
      <w:lvlJc w:val="left"/>
      <w:lvlText w:val="(%1)"/>
      <w:numFmt w:val="lowerLetter"/>
      <w:start w:val="1"/>
    </w:lvl>
  </w:abstractNum>
  <w:abstractNum w:abstractNumId="976">
    <w:nsid w:val="1B863720"/>
    <w:multiLevelType w:val="hybridMultilevel"/>
    <w:lvl w:ilvl="0">
      <w:lvlJc w:val="left"/>
      <w:lvlText w:val="(%1)"/>
      <w:numFmt w:val="lowerLetter"/>
      <w:start w:val="2"/>
    </w:lvl>
  </w:abstractNum>
  <w:abstractNum w:abstractNumId="977">
    <w:nsid w:val="15A55E79"/>
    <w:multiLevelType w:val="hybridMultilevel"/>
    <w:lvl w:ilvl="0">
      <w:lvlJc w:val="left"/>
      <w:lvlText w:val="(%1)"/>
      <w:numFmt w:val="lowerLetter"/>
      <w:start w:val="1"/>
    </w:lvl>
  </w:abstractNum>
  <w:abstractNum w:abstractNumId="978">
    <w:nsid w:val="5DCCFD23"/>
    <w:multiLevelType w:val="hybridMultilevel"/>
    <w:lvl w:ilvl="0">
      <w:lvlJc w:val="left"/>
      <w:lvlText w:val="(%1)"/>
      <w:numFmt w:val="lowerLetter"/>
      <w:start w:val="1"/>
    </w:lvl>
  </w:abstractNum>
  <w:abstractNum w:abstractNumId="979">
    <w:nsid w:val="798BB575"/>
    <w:multiLevelType w:val="hybridMultilevel"/>
    <w:lvl w:ilvl="0">
      <w:lvlJc w:val="left"/>
      <w:lvlText w:val="(%1)"/>
      <w:numFmt w:val="lowerLetter"/>
      <w:start w:val="1"/>
    </w:lvl>
  </w:abstractNum>
  <w:abstractNum w:abstractNumId="980">
    <w:nsid w:val="291C25DB"/>
    <w:multiLevelType w:val="hybridMultilevel"/>
    <w:lvl w:ilvl="0">
      <w:lvlJc w:val="left"/>
      <w:lvlText w:val="(%1)"/>
      <w:numFmt w:val="lowerLetter"/>
      <w:start w:val="1"/>
    </w:lvl>
  </w:abstractNum>
  <w:abstractNum w:abstractNumId="981">
    <w:nsid w:val="7C1246F9"/>
    <w:multiLevelType w:val="hybridMultilevel"/>
    <w:lvl w:ilvl="0">
      <w:lvlJc w:val="left"/>
      <w:lvlText w:val="%1."/>
      <w:numFmt w:val="decimal"/>
      <w:start w:val="22"/>
    </w:lvl>
  </w:abstractNum>
  <w:abstractNum w:abstractNumId="982">
    <w:nsid w:val="598C984B"/>
    <w:multiLevelType w:val="hybridMultilevel"/>
    <w:lvl w:ilvl="0">
      <w:lvlJc w:val="left"/>
      <w:lvlText w:val="(%1)"/>
      <w:numFmt w:val="lowerLetter"/>
      <w:start w:val="1"/>
    </w:lvl>
  </w:abstractNum>
  <w:abstractNum w:abstractNumId="983">
    <w:nsid w:val="7EDC07D8"/>
    <w:multiLevelType w:val="hybridMultilevel"/>
    <w:lvl w:ilvl="0">
      <w:lvlJc w:val="left"/>
      <w:lvlText w:val="(%1)"/>
      <w:numFmt w:val="lowerLetter"/>
      <w:start w:val="1"/>
    </w:lvl>
    <w:lvl w:ilvl="1">
      <w:lvlJc w:val="left"/>
      <w:lvlText w:val="(%2)"/>
      <w:numFmt w:val="lowerRoman"/>
      <w:start w:val="1"/>
    </w:lvl>
  </w:abstractNum>
  <w:abstractNum w:abstractNumId="984">
    <w:nsid w:val="3E4A7E6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85">
    <w:nsid w:val="21E4B8D3"/>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986">
    <w:nsid w:val="28A56663"/>
    <w:multiLevelType w:val="hybridMultilevel"/>
    <w:lvl w:ilvl="0">
      <w:lvlJc w:val="left"/>
      <w:lvlText w:val="(%1)"/>
      <w:numFmt w:val="lowerRoman"/>
      <w:start w:val="2"/>
    </w:lvl>
  </w:abstractNum>
  <w:abstractNum w:abstractNumId="987">
    <w:nsid w:val="CFE3234"/>
    <w:multiLevelType w:val="hybridMultilevel"/>
    <w:lvl w:ilvl="0">
      <w:lvlJc w:val="left"/>
      <w:lvlText w:val="(%1)"/>
      <w:numFmt w:val="lowerLetter"/>
      <w:start w:val="1"/>
    </w:lvl>
  </w:abstractNum>
  <w:abstractNum w:abstractNumId="988">
    <w:nsid w:val="6A8216E3"/>
    <w:multiLevelType w:val="hybridMultilevel"/>
    <w:lvl w:ilvl="0">
      <w:lvlJc w:val="left"/>
      <w:lvlText w:val="(%1)"/>
      <w:numFmt w:val="lowerLetter"/>
      <w:start w:val="1"/>
    </w:lvl>
  </w:abstractNum>
  <w:abstractNum w:abstractNumId="989">
    <w:nsid w:val="1AFBB4D7"/>
    <w:multiLevelType w:val="hybridMultilevel"/>
    <w:lvl w:ilvl="0">
      <w:lvlJc w:val="left"/>
      <w:lvlText w:val="(%1)"/>
      <w:numFmt w:val="lowerLetter"/>
      <w:start w:val="1"/>
    </w:lvl>
  </w:abstractNum>
  <w:abstractNum w:abstractNumId="990">
    <w:nsid w:val="406F3348"/>
    <w:multiLevelType w:val="hybridMultilevel"/>
    <w:lvl w:ilvl="0">
      <w:lvlJc w:val="left"/>
      <w:lvlText w:val="(%1)"/>
      <w:numFmt w:val="lowerLetter"/>
      <w:start w:val="1"/>
    </w:lvl>
    <w:lvl w:ilvl="1">
      <w:lvlJc w:val="left"/>
      <w:lvlText w:val="(%2)"/>
      <w:numFmt w:val="lowerRoman"/>
      <w:start w:val="1"/>
    </w:lvl>
  </w:abstractNum>
  <w:abstractNum w:abstractNumId="991">
    <w:nsid w:val="72AA7B2B"/>
    <w:multiLevelType w:val="hybridMultilevel"/>
    <w:lvl w:ilvl="0">
      <w:lvlJc w:val="left"/>
      <w:lvlText w:val="(%1)"/>
      <w:numFmt w:val="lowerLetter"/>
      <w:start w:val="2"/>
    </w:lvl>
  </w:abstractNum>
  <w:abstractNum w:abstractNumId="992">
    <w:nsid w:val="A25DD71"/>
    <w:multiLevelType w:val="hybridMultilevel"/>
    <w:lvl w:ilvl="0">
      <w:lvlJc w:val="left"/>
      <w:lvlText w:val="%1."/>
      <w:numFmt w:val="decimal"/>
      <w:start w:val="23"/>
    </w:lvl>
  </w:abstractNum>
  <w:abstractNum w:abstractNumId="993">
    <w:nsid w:val="1C71DC14"/>
    <w:multiLevelType w:val="hybridMultilevel"/>
    <w:lvl w:ilvl="0">
      <w:lvlJc w:val="left"/>
      <w:lvlText w:val="(%1)"/>
      <w:numFmt w:val="lowerLetter"/>
      <w:start w:val="1"/>
    </w:lvl>
  </w:abstractNum>
  <w:abstractNum w:abstractNumId="994">
    <w:nsid w:val="606157C8"/>
    <w:multiLevelType w:val="hybridMultilevel"/>
    <w:lvl w:ilvl="0">
      <w:lvlJc w:val="left"/>
      <w:lvlText w:val="(%1)"/>
      <w:numFmt w:val="lowerRoman"/>
      <w:start w:val="1"/>
    </w:lvl>
  </w:abstractNum>
  <w:abstractNum w:abstractNumId="995">
    <w:nsid w:val="E622E01"/>
    <w:multiLevelType w:val="hybridMultilevel"/>
    <w:lvl w:ilvl="0">
      <w:lvlJc w:val="left"/>
      <w:lvlText w:val="(%1)"/>
      <w:numFmt w:val="lowerRoman"/>
      <w:start w:val="3"/>
    </w:lvl>
  </w:abstractNum>
  <w:abstractNum w:abstractNumId="996">
    <w:nsid w:val="76DC7623"/>
    <w:multiLevelType w:val="hybridMultilevel"/>
    <w:lvl w:ilvl="0">
      <w:lvlJc w:val="left"/>
      <w:lvlText w:val="(%1)"/>
      <w:numFmt w:val="upperLetter"/>
      <w:start w:val="1"/>
    </w:lvl>
  </w:abstractNum>
  <w:abstractNum w:abstractNumId="997">
    <w:nsid w:val="4D8C8192"/>
    <w:multiLevelType w:val="hybridMultilevel"/>
    <w:lvl w:ilvl="0">
      <w:lvlJc w:val="left"/>
      <w:lvlText w:val="(%1)"/>
      <w:numFmt w:val="lowerLetter"/>
      <w:start w:val="1"/>
    </w:lvl>
  </w:abstractNum>
  <w:abstractNum w:abstractNumId="998">
    <w:nsid w:val="48E2DF3A"/>
    <w:multiLevelType w:val="hybridMultilevel"/>
    <w:lvl w:ilvl="0">
      <w:lvlJc w:val="left"/>
      <w:lvlText w:val="(%1)"/>
      <w:numFmt w:val="lowerLetter"/>
      <w:start w:val="1"/>
    </w:lvl>
  </w:abstractNum>
  <w:abstractNum w:abstractNumId="999">
    <w:nsid w:val="645AD35D"/>
    <w:multiLevelType w:val="hybridMultilevel"/>
    <w:lvl w:ilvl="0">
      <w:lvlJc w:val="left"/>
      <w:lvlText w:val="(%1)"/>
      <w:numFmt w:val="lowerLetter"/>
      <w:start w:val="1"/>
    </w:lvl>
    <w:lvl w:ilvl="1">
      <w:lvlJc w:val="left"/>
      <w:lvlText w:val="(%2)"/>
      <w:numFmt w:val="lowerRoman"/>
      <w:start w:val="1"/>
    </w:lvl>
  </w:abstractNum>
  <w:abstractNum w:abstractNumId="1000">
    <w:nsid w:val="B4A2918"/>
    <w:multiLevelType w:val="hybridMultilevel"/>
    <w:lvl w:ilvl="0">
      <w:lvlJc w:val="left"/>
      <w:lvlText w:val="(%1)"/>
      <w:numFmt w:val="lowerLetter"/>
      <w:start w:val="1"/>
    </w:lvl>
  </w:abstractNum>
  <w:abstractNum w:abstractNumId="1001">
    <w:nsid w:val="4B9614B5"/>
    <w:multiLevelType w:val="hybridMultilevel"/>
    <w:lvl w:ilvl="0">
      <w:lvlJc w:val="left"/>
      <w:lvlText w:val="(%1)"/>
      <w:numFmt w:val="lowerLetter"/>
      <w:start w:val="1"/>
    </w:lvl>
  </w:abstractNum>
  <w:abstractNum w:abstractNumId="1002">
    <w:nsid w:val="2C48812C"/>
    <w:multiLevelType w:val="hybridMultilevel"/>
    <w:lvl w:ilvl="0">
      <w:lvlJc w:val="left"/>
      <w:lvlText w:val="(%1)"/>
      <w:numFmt w:val="lowerLetter"/>
      <w:start w:val="1"/>
    </w:lvl>
  </w:abstractNum>
  <w:abstractNum w:abstractNumId="1003">
    <w:nsid w:val="63E04EF8"/>
    <w:multiLevelType w:val="hybridMultilevel"/>
    <w:lvl w:ilvl="0">
      <w:lvlJc w:val="left"/>
      <w:lvlText w:val="(%1)"/>
      <w:numFmt w:val="lowerLetter"/>
      <w:start w:val="1"/>
    </w:lvl>
  </w:abstractNum>
  <w:abstractNum w:abstractNumId="1004">
    <w:nsid w:val="2CA82513"/>
    <w:multiLevelType w:val="hybridMultilevel"/>
    <w:lvl w:ilvl="0">
      <w:lvlJc w:val="left"/>
      <w:lvlText w:val="(%1)"/>
      <w:numFmt w:val="lowerLetter"/>
      <w:start w:val="1"/>
    </w:lvl>
  </w:abstractNum>
  <w:abstractNum w:abstractNumId="1005">
    <w:nsid w:val="62A5B77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06">
    <w:nsid w:val="6BEEF343"/>
    <w:multiLevelType w:val="hybridMultilevel"/>
    <w:lvl w:ilvl="0">
      <w:lvlJc w:val="left"/>
      <w:lvlText w:val="%1"/>
      <w:numFmt w:val="lowerRoman"/>
      <w:start w:val="1"/>
    </w:lvl>
    <w:lvl w:ilvl="1">
      <w:lvlJc w:val="left"/>
      <w:lvlText w:val="(%2)"/>
      <w:numFmt w:val="upperLetter"/>
      <w:start w:val="2"/>
    </w:lvl>
  </w:abstractNum>
  <w:abstractNum w:abstractNumId="1007">
    <w:nsid w:val="482E5C33"/>
    <w:multiLevelType w:val="hybridMultilevel"/>
    <w:lvl w:ilvl="0">
      <w:lvlJc w:val="left"/>
      <w:lvlText w:val="(%1)"/>
      <w:numFmt w:val="lowerRoman"/>
      <w:start w:val="3"/>
    </w:lvl>
    <w:lvl w:ilvl="1">
      <w:lvlJc w:val="left"/>
      <w:lvlText w:val="%2"/>
      <w:numFmt w:val="upperLetter"/>
      <w:start w:val="1"/>
    </w:lvl>
  </w:abstractNum>
  <w:abstractNum w:abstractNumId="1008">
    <w:nsid w:val="784B15ED"/>
    <w:multiLevelType w:val="hybridMultilevel"/>
    <w:lvl w:ilvl="0">
      <w:lvlJc w:val="left"/>
      <w:lvlText w:val="(%1)"/>
      <w:numFmt w:val="lowerLetter"/>
      <w:start w:val="2"/>
    </w:lvl>
  </w:abstractNum>
  <w:abstractNum w:abstractNumId="1009">
    <w:nsid w:val="49BBF066"/>
    <w:multiLevelType w:val="hybridMultilevel"/>
    <w:lvl w:ilvl="0">
      <w:lvlJc w:val="left"/>
      <w:lvlText w:val="(%1)"/>
      <w:numFmt w:val="lowerLetter"/>
      <w:start w:val="1"/>
    </w:lvl>
  </w:abstractNum>
  <w:abstractNum w:abstractNumId="1010">
    <w:nsid w:val="41BA11A8"/>
    <w:multiLevelType w:val="hybridMultilevel"/>
    <w:lvl w:ilvl="0">
      <w:lvlJc w:val="left"/>
      <w:lvlText w:val="(%1)"/>
      <w:numFmt w:val="lowerLetter"/>
      <w:start w:val="2"/>
    </w:lvl>
    <w:lvl w:ilvl="1">
      <w:lvlJc w:val="left"/>
      <w:lvlText w:val="(%2)"/>
      <w:numFmt w:val="lowerRoman"/>
      <w:start w:val="1"/>
    </w:lvl>
  </w:abstractNum>
  <w:abstractNum w:abstractNumId="1011">
    <w:nsid w:val="21673BC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12">
    <w:nsid w:val="45CE376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5"/>
    </w:lvl>
  </w:abstractNum>
  <w:abstractNum w:abstractNumId="1013">
    <w:nsid w:val="1B46A9F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1014">
    <w:nsid w:val="204343A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1015">
    <w:nsid w:val="418B5C2"/>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016">
    <w:nsid w:val="3D2B62C6"/>
    <w:multiLevelType w:val="hybridMultilevel"/>
    <w:lvl w:ilvl="0">
      <w:lvlJc w:val="left"/>
      <w:lvlText w:val="(%1)"/>
      <w:numFmt w:val="lowerLetter"/>
      <w:start w:val="1"/>
    </w:lvl>
  </w:abstractNum>
  <w:abstractNum w:abstractNumId="1017">
    <w:nsid w:val="48E8AA04"/>
    <w:multiLevelType w:val="hybridMultilevel"/>
    <w:lvl w:ilvl="0">
      <w:lvlJc w:val="left"/>
      <w:lvlText w:val="(%1)"/>
      <w:numFmt w:val="lowerLetter"/>
      <w:start w:val="1"/>
    </w:lvl>
  </w:abstractNum>
  <w:abstractNum w:abstractNumId="1018">
    <w:nsid w:val="1116E7F6"/>
    <w:multiLevelType w:val="hybridMultilevel"/>
    <w:lvl w:ilvl="0">
      <w:lvlJc w:val="left"/>
      <w:lvlText w:val="(%1)"/>
      <w:numFmt w:val="lowerLetter"/>
      <w:start w:val="1"/>
    </w:lvl>
  </w:abstractNum>
  <w:abstractNum w:abstractNumId="1019">
    <w:nsid w:val="27AD79A9"/>
    <w:multiLevelType w:val="hybridMultilevel"/>
    <w:lvl w:ilvl="0">
      <w:lvlJc w:val="left"/>
      <w:lvlText w:val="(%1)"/>
      <w:numFmt w:val="lowerLetter"/>
      <w:start w:val="1"/>
    </w:lvl>
  </w:abstractNum>
  <w:abstractNum w:abstractNumId="1020">
    <w:nsid w:val="63E45EDB"/>
    <w:multiLevelType w:val="hybridMultilevel"/>
    <w:lvl w:ilvl="0">
      <w:lvlJc w:val="left"/>
      <w:lvlText w:val="(%1)"/>
      <w:numFmt w:val="lowerLetter"/>
      <w:start w:val="1"/>
    </w:lvl>
    <w:lvl w:ilvl="1">
      <w:lvlJc w:val="left"/>
      <w:lvlText w:val="(%2)"/>
      <w:numFmt w:val="lowerRoman"/>
      <w:start w:val="1"/>
    </w:lvl>
  </w:abstractNum>
  <w:abstractNum w:abstractNumId="1021">
    <w:nsid w:val="51861B3E"/>
    <w:multiLevelType w:val="hybridMultilevel"/>
    <w:lvl w:ilvl="0">
      <w:lvlJc w:val="left"/>
      <w:lvlText w:val="(%1)"/>
      <w:numFmt w:val="lowerRoman"/>
      <w:start w:val="2"/>
    </w:lvl>
  </w:abstractNum>
  <w:abstractNum w:abstractNumId="1022">
    <w:nsid w:val="1A57F4D4"/>
    <w:multiLevelType w:val="hybridMultilevel"/>
    <w:lvl w:ilvl="0">
      <w:lvlJc w:val="left"/>
      <w:lvlText w:val="(%1)"/>
      <w:numFmt w:val="lowerLetter"/>
      <w:start w:val="2"/>
    </w:lvl>
    <w:lvl w:ilvl="1">
      <w:lvlJc w:val="left"/>
      <w:lvlText w:val="(%2)"/>
      <w:numFmt w:val="lowerRoman"/>
      <w:start w:val="1"/>
    </w:lvl>
  </w:abstractNum>
  <w:abstractNum w:abstractNumId="1023">
    <w:nsid w:val="6E0A3C4C"/>
    <w:multiLevelType w:val="hybridMultilevel"/>
    <w:lvl w:ilvl="0">
      <w:lvlJc w:val="left"/>
      <w:lvlText w:val="(%1)"/>
      <w:numFmt w:val="lowerLetter"/>
      <w:start w:val="1"/>
    </w:lvl>
  </w:abstractNum>
  <w:abstractNum w:abstractNumId="1024">
    <w:nsid w:val="6DF7F752"/>
    <w:multiLevelType w:val="hybridMultilevel"/>
    <w:lvl w:ilvl="0">
      <w:lvlJc w:val="left"/>
      <w:lvlText w:val="(%1)"/>
      <w:numFmt w:val="lowerLetter"/>
      <w:start w:val="1"/>
    </w:lvl>
  </w:abstractNum>
  <w:abstractNum w:abstractNumId="1025">
    <w:nsid w:val="7AB94C9D"/>
    <w:multiLevelType w:val="hybridMultilevel"/>
    <w:lvl w:ilvl="0">
      <w:lvlJc w:val="left"/>
      <w:lvlText w:val="(%1)"/>
      <w:numFmt w:val="lowerLetter"/>
      <w:start w:val="1"/>
    </w:lvl>
  </w:abstractNum>
  <w:abstractNum w:abstractNumId="1026">
    <w:nsid w:val="7C6C6A4D"/>
    <w:multiLevelType w:val="hybridMultilevel"/>
    <w:lvl w:ilvl="0">
      <w:lvlJc w:val="left"/>
      <w:lvlText w:val="(%1)"/>
      <w:numFmt w:val="lowerLetter"/>
      <w:start w:val="1"/>
    </w:lvl>
  </w:abstractNum>
  <w:abstractNum w:abstractNumId="1027">
    <w:nsid w:val="64D46D75"/>
    <w:multiLevelType w:val="hybridMultilevel"/>
    <w:lvl w:ilvl="0">
      <w:lvlJc w:val="left"/>
      <w:lvlText w:val="(%1)"/>
      <w:numFmt w:val="lowerLetter"/>
      <w:start w:val="1"/>
    </w:lvl>
  </w:abstractNum>
  <w:abstractNum w:abstractNumId="1028">
    <w:nsid w:val="4845CE2F"/>
    <w:multiLevelType w:val="hybridMultilevel"/>
    <w:lvl w:ilvl="0">
      <w:lvlJc w:val="left"/>
      <w:lvlText w:val="(%1)"/>
      <w:numFmt w:val="lowerLetter"/>
      <w:start w:val="3"/>
    </w:lvl>
  </w:abstractNum>
  <w:abstractNum w:abstractNumId="1029">
    <w:nsid w:val="454F4987"/>
    <w:multiLevelType w:val="hybridMultilevel"/>
    <w:lvl w:ilvl="0">
      <w:lvlJc w:val="left"/>
      <w:lvlText w:val="%1."/>
      <w:numFmt w:val="decimal"/>
      <w:start w:val="25"/>
    </w:lvl>
  </w:abstractNum>
  <w:abstractNum w:abstractNumId="1030">
    <w:nsid w:val="492F40D3"/>
    <w:multiLevelType w:val="hybridMultilevel"/>
    <w:lvl w:ilvl="0">
      <w:lvlJc w:val="left"/>
      <w:lvlText w:val="(%1)"/>
      <w:numFmt w:val="lowerLetter"/>
      <w:start w:val="1"/>
    </w:lvl>
  </w:abstractNum>
  <w:abstractNum w:abstractNumId="1031">
    <w:nsid w:val="538FF7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32">
    <w:nsid w:val="10E55E3C"/>
    <w:multiLevelType w:val="hybridMultilevel"/>
    <w:lvl w:ilvl="0">
      <w:lvlJc w:val="left"/>
      <w:lvlText w:val="(%1)"/>
      <w:numFmt w:val="lowerLetter"/>
      <w:start w:val="4"/>
    </w:lvl>
    <w:lvl w:ilvl="1">
      <w:lvlJc w:val="left"/>
      <w:lvlText w:val="(%2)"/>
      <w:numFmt w:val="lowerRoman"/>
      <w:start w:val="1"/>
    </w:lvl>
  </w:abstractNum>
  <w:abstractNum w:abstractNumId="1033">
    <w:nsid w:val="7577C1FF"/>
    <w:multiLevelType w:val="hybridMultilevel"/>
    <w:lvl w:ilvl="0">
      <w:lvlJc w:val="left"/>
      <w:lvlText w:val="(%1)"/>
      <w:numFmt w:val="lowerRoman"/>
      <w:start w:val="1"/>
    </w:lvl>
  </w:abstractNum>
  <w:abstractNum w:abstractNumId="1034">
    <w:nsid w:val="37704640"/>
    <w:multiLevelType w:val="hybridMultilevel"/>
    <w:lvl w:ilvl="0">
      <w:lvlJc w:val="left"/>
      <w:lvlText w:val="(%1)"/>
      <w:numFmt w:val="lowerLetter"/>
      <w:start w:val="10"/>
    </w:lvl>
    <w:lvl w:ilvl="1">
      <w:lvlJc w:val="left"/>
      <w:lvlText w:val="(%2)"/>
      <w:numFmt w:val="lowerRoman"/>
      <w:start w:val="1"/>
    </w:lvl>
  </w:abstractNum>
  <w:abstractNum w:abstractNumId="1035">
    <w:nsid w:val="3D8D834F"/>
    <w:multiLevelType w:val="hybridMultilevel"/>
    <w:lvl w:ilvl="0">
      <w:lvlJc w:val="left"/>
      <w:lvlText w:val="(%1)"/>
      <w:numFmt w:val="lowerLetter"/>
      <w:start w:val="1"/>
    </w:lvl>
    <w:lvl w:ilvl="1">
      <w:lvlJc w:val="left"/>
      <w:lvlText w:val="(%2)"/>
      <w:numFmt w:val="lowerRoman"/>
      <w:start w:val="1"/>
    </w:lvl>
  </w:abstractNum>
  <w:abstractNum w:abstractNumId="1036">
    <w:nsid w:val="581D7974"/>
    <w:multiLevelType w:val="hybridMultilevel"/>
    <w:lvl w:ilvl="0">
      <w:lvlJc w:val="left"/>
      <w:lvlText w:val="(%1)"/>
      <w:numFmt w:val="lowerRoman"/>
      <w:start w:val="4"/>
    </w:lvl>
  </w:abstractNum>
  <w:abstractNum w:abstractNumId="1037">
    <w:nsid w:val="235F3983"/>
    <w:multiLevelType w:val="hybridMultilevel"/>
    <w:lvl w:ilvl="0">
      <w:lvlJc w:val="left"/>
      <w:lvlText w:val="(%1)"/>
      <w:numFmt w:val="lowerLetter"/>
      <w:start w:val="2"/>
    </w:lvl>
    <w:lvl w:ilvl="1">
      <w:lvlJc w:val="left"/>
      <w:lvlText w:val="(%2)"/>
      <w:numFmt w:val="lowerRoman"/>
      <w:start w:val="1"/>
    </w:lvl>
  </w:abstractNum>
  <w:abstractNum w:abstractNumId="1038">
    <w:nsid w:val="5BBDF82"/>
    <w:multiLevelType w:val="hybridMultilevel"/>
    <w:lvl w:ilvl="0">
      <w:lvlJc w:val="left"/>
      <w:lvlText w:val="(%1)"/>
      <w:numFmt w:val="lowerLetter"/>
      <w:start w:val="1"/>
    </w:lvl>
    <w:lvl w:ilvl="1">
      <w:lvlJc w:val="left"/>
      <w:lvlText w:val="(%2)"/>
      <w:numFmt w:val="lowerRoman"/>
      <w:start w:val="1"/>
    </w:lvl>
  </w:abstractNum>
  <w:abstractNum w:abstractNumId="1039">
    <w:nsid w:val="50688F61"/>
    <w:multiLevelType w:val="hybridMultilevel"/>
    <w:lvl w:ilvl="0">
      <w:lvlJc w:val="left"/>
      <w:lvlText w:val="(%1)"/>
      <w:numFmt w:val="lowerRoman"/>
      <w:start w:val="2"/>
    </w:lvl>
  </w:abstractNum>
  <w:abstractNum w:abstractNumId="1040">
    <w:nsid w:val="6D1B29EA"/>
    <w:multiLevelType w:val="hybridMultilevel"/>
    <w:lvl w:ilvl="0">
      <w:lvlJc w:val="left"/>
      <w:lvlText w:val="(%1)"/>
      <w:numFmt w:val="lowerLetter"/>
      <w:start w:val="1"/>
    </w:lvl>
    <w:lvl w:ilvl="1">
      <w:lvlJc w:val="left"/>
      <w:lvlText w:val="(%2)"/>
      <w:numFmt w:val="lowerRoman"/>
      <w:start w:val="1"/>
    </w:lvl>
  </w:abstractNum>
  <w:abstractNum w:abstractNumId="1041">
    <w:nsid w:val="4775F12A"/>
    <w:multiLevelType w:val="hybridMultilevel"/>
    <w:lvl w:ilvl="0">
      <w:lvlJc w:val="left"/>
      <w:lvlText w:val="(%1)"/>
      <w:numFmt w:val="lowerLetter"/>
      <w:start w:val="1"/>
    </w:lvl>
  </w:abstractNum>
  <w:abstractNum w:abstractNumId="1042">
    <w:nsid w:val="71CFCB2A"/>
    <w:multiLevelType w:val="hybridMultilevel"/>
    <w:lvl w:ilvl="0">
      <w:lvlJc w:val="left"/>
      <w:lvlText w:val="(%1)"/>
      <w:numFmt w:val="lowerRoman"/>
      <w:start w:val="1"/>
    </w:lvl>
  </w:abstractNum>
  <w:abstractNum w:abstractNumId="1043">
    <w:nsid w:val="32E9614A"/>
    <w:multiLevelType w:val="hybridMultilevel"/>
    <w:lvl w:ilvl="0">
      <w:lvlJc w:val="left"/>
      <w:lvlText w:val="%1."/>
      <w:numFmt w:val="decimal"/>
      <w:start w:val="26"/>
    </w:lvl>
  </w:abstractNum>
  <w:abstractNum w:abstractNumId="1044">
    <w:nsid w:val="62BC9B1D"/>
    <w:multiLevelType w:val="hybridMultilevel"/>
    <w:lvl w:ilvl="0">
      <w:lvlJc w:val="left"/>
      <w:lvlText w:val="(%1)"/>
      <w:numFmt w:val="lowerLetter"/>
      <w:start w:val="1"/>
    </w:lvl>
    <w:lvl w:ilvl="1">
      <w:lvlJc w:val="left"/>
      <w:lvlText w:val="(%2)"/>
      <w:numFmt w:val="lowerLetter"/>
      <w:start w:val="9"/>
    </w:lvl>
  </w:abstractNum>
  <w:abstractNum w:abstractNumId="1045">
    <w:nsid w:val="12130ECA"/>
    <w:multiLevelType w:val="hybridMultilevel"/>
    <w:lvl w:ilvl="0">
      <w:lvlJc w:val="left"/>
      <w:lvlText w:val="(%1)"/>
      <w:numFmt w:val="lowerRoman"/>
      <w:start w:val="2"/>
    </w:lvl>
  </w:abstractNum>
  <w:abstractNum w:abstractNumId="1046">
    <w:nsid w:val="3702170C"/>
    <w:multiLevelType w:val="hybridMultilevel"/>
    <w:lvl w:ilvl="0">
      <w:lvlJc w:val="left"/>
      <w:lvlText w:val="(%1)"/>
      <w:numFmt w:val="upperLetter"/>
      <w:start w:val="1"/>
    </w:lvl>
    <w:lvl w:ilvl="1">
      <w:lvlJc w:val="left"/>
      <w:lvlText w:val="(%2)"/>
      <w:numFmt w:val="decimal"/>
      <w:start w:val="1"/>
    </w:lvl>
  </w:abstractNum>
  <w:abstractNum w:abstractNumId="1047">
    <w:nsid w:val="1FE7FDE4"/>
    <w:multiLevelType w:val="hybridMultilevel"/>
    <w:lvl w:ilvl="0">
      <w:lvlJc w:val="left"/>
      <w:lvlText w:val="(%1)"/>
      <w:numFmt w:val="lowerLetter"/>
      <w:start w:val="2"/>
    </w:lvl>
    <w:lvl w:ilvl="1">
      <w:lvlJc w:val="left"/>
      <w:lvlText w:val="(%2)"/>
      <w:numFmt w:val="lowerRoman"/>
      <w:start w:val="1"/>
    </w:lvl>
  </w:abstractNum>
  <w:abstractNum w:abstractNumId="1048">
    <w:nsid w:val="5AFBB8CE"/>
    <w:multiLevelType w:val="hybridMultilevel"/>
    <w:lvl w:ilvl="0">
      <w:lvlJc w:val="left"/>
      <w:lvlText w:val="(%1)"/>
      <w:numFmt w:val="lowerLetter"/>
      <w:start w:val="3"/>
    </w:lvl>
    <w:lvl w:ilvl="1">
      <w:lvlJc w:val="left"/>
      <w:lvlText w:val="(%2)"/>
      <w:numFmt w:val="lowerRoman"/>
      <w:start w:val="1"/>
    </w:lvl>
  </w:abstractNum>
  <w:abstractNum w:abstractNumId="1049">
    <w:nsid w:val="4818FF02"/>
    <w:multiLevelType w:val="hybridMultilevel"/>
    <w:lvl w:ilvl="0">
      <w:lvlJc w:val="left"/>
      <w:lvlText w:val="%1."/>
      <w:numFmt w:val="decimal"/>
      <w:start w:val="27"/>
    </w:lvl>
  </w:abstractNum>
  <w:abstractNum w:abstractNumId="1050">
    <w:nsid w:val="4795778D"/>
    <w:multiLevelType w:val="hybridMultilevel"/>
    <w:lvl w:ilvl="0">
      <w:lvlJc w:val="left"/>
      <w:lvlText w:val="(%1)"/>
      <w:numFmt w:val="lowerLetter"/>
      <w:start w:val="1"/>
    </w:lvl>
    <w:lvl w:ilvl="1">
      <w:lvlJc w:val="left"/>
      <w:lvlText w:val="(%2)"/>
      <w:numFmt w:val="lowerRoman"/>
      <w:start w:val="1"/>
    </w:lvl>
  </w:abstractNum>
  <w:abstractNum w:abstractNumId="1051">
    <w:nsid w:val="3EE017A9"/>
    <w:multiLevelType w:val="hybridMultilevel"/>
    <w:lvl w:ilvl="0">
      <w:lvlJc w:val="left"/>
      <w:lvlText w:val="(%1)"/>
      <w:numFmt w:val="lowerLetter"/>
      <w:start w:val="1"/>
    </w:lvl>
    <w:lvl w:ilvl="1">
      <w:lvlJc w:val="left"/>
      <w:lvlText w:val="(%2)"/>
      <w:numFmt w:val="lowerRoman"/>
      <w:start w:val="1"/>
    </w:lvl>
  </w:abstractNum>
  <w:abstractNum w:abstractNumId="1052">
    <w:nsid w:val="199F1A40"/>
    <w:multiLevelType w:val="hybridMultilevel"/>
    <w:lvl w:ilvl="0">
      <w:lvlJc w:val="left"/>
      <w:lvlText w:val="%1"/>
      <w:numFmt w:val="lowerLetter"/>
      <w:start w:val="1"/>
    </w:lvl>
    <w:lvl w:ilvl="1">
      <w:lvlJc w:val="left"/>
      <w:lvlText w:val="(%2)"/>
      <w:numFmt w:val="lowerLetter"/>
      <w:start w:val="35"/>
    </w:lvl>
  </w:abstractNum>
  <w:abstractNum w:abstractNumId="1053">
    <w:nsid w:val="61ED6C62"/>
    <w:multiLevelType w:val="hybridMultilevel"/>
    <w:lvl w:ilvl="0">
      <w:lvlJc w:val="left"/>
      <w:lvlText w:val="(%1)"/>
      <w:numFmt w:val="lowerLetter"/>
      <w:start w:val="2"/>
    </w:lvl>
    <w:lvl w:ilvl="1">
      <w:lvlJc w:val="left"/>
      <w:lvlText w:val="(%2)"/>
      <w:numFmt w:val="lowerLetter"/>
      <w:start w:val="9"/>
    </w:lvl>
  </w:abstractNum>
  <w:abstractNum w:abstractNumId="1054">
    <w:nsid w:val="2CEA53F5"/>
    <w:multiLevelType w:val="hybridMultilevel"/>
    <w:lvl w:ilvl="0">
      <w:lvlJc w:val="left"/>
      <w:lvlText w:val="%1"/>
      <w:numFmt w:val="lowerLetter"/>
      <w:start w:val="1"/>
    </w:lvl>
    <w:lvl w:ilvl="1">
      <w:lvlJc w:val="left"/>
      <w:lvlText w:val="(%2)"/>
      <w:numFmt w:val="lowerLetter"/>
      <w:start w:val="35"/>
    </w:lvl>
  </w:abstractNum>
  <w:abstractNum w:abstractNumId="1055">
    <w:nsid w:val="7971193"/>
    <w:multiLevelType w:val="hybridMultilevel"/>
    <w:lvl w:ilvl="0">
      <w:lvlJc w:val="left"/>
      <w:lvlText w:val="(%1)"/>
      <w:numFmt w:val="lowerLetter"/>
      <w:start w:val="3"/>
    </w:lvl>
    <w:lvl w:ilvl="1">
      <w:lvlJc w:val="left"/>
      <w:lvlText w:val="%2"/>
      <w:numFmt w:val="lowerLetter"/>
      <w:start w:val="1"/>
    </w:lvl>
  </w:abstractNum>
  <w:abstractNum w:abstractNumId="1056">
    <w:nsid w:val="5CA6B8FF"/>
    <w:multiLevelType w:val="hybridMultilevel"/>
    <w:lvl w:ilvl="0">
      <w:lvlJc w:val="left"/>
      <w:lvlText w:val="%1."/>
      <w:numFmt w:val="decimal"/>
      <w:start w:val="28"/>
    </w:lvl>
    <w:lvl w:ilvl="1">
      <w:lvlJc w:val="left"/>
      <w:lvlText w:val="(%2)"/>
      <w:numFmt w:val="lowerLetter"/>
      <w:start w:val="1"/>
    </w:lvl>
  </w:abstractNum>
  <w:abstractNum w:abstractNumId="1057">
    <w:nsid w:val="2956BE42"/>
    <w:multiLevelType w:val="hybridMultilevel"/>
    <w:lvl w:ilvl="0">
      <w:lvlJc w:val="left"/>
      <w:lvlText w:val="(%1)"/>
      <w:numFmt w:val="lowerLetter"/>
      <w:start w:val="1"/>
    </w:lvl>
    <w:lvl w:ilvl="1">
      <w:lvlJc w:val="left"/>
      <w:lvlText w:val="(%2)"/>
      <w:numFmt w:val="lowerRoman"/>
      <w:start w:val="1"/>
    </w:lvl>
  </w:abstractNum>
  <w:abstractNum w:abstractNumId="1058">
    <w:nsid w:val="6C6B7F08"/>
    <w:multiLevelType w:val="hybridMultilevel"/>
    <w:lvl w:ilvl="0">
      <w:lvlJc w:val="left"/>
      <w:lvlText w:val="(%1)"/>
      <w:numFmt w:val="lowerLetter"/>
      <w:start w:val="1"/>
    </w:lvl>
  </w:abstractNum>
  <w:abstractNum w:abstractNumId="1059">
    <w:nsid w:val="24EC872E"/>
    <w:multiLevelType w:val="hybridMultilevel"/>
    <w:lvl w:ilvl="0">
      <w:lvlJc w:val="left"/>
      <w:lvlText w:val="(%1)"/>
      <w:numFmt w:val="lowerLetter"/>
      <w:start w:val="1"/>
    </w:lvl>
  </w:abstractNum>
  <w:abstractNum w:abstractNumId="1060">
    <w:nsid w:val="6EA607C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61">
    <w:nsid w:val="359ABFD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062">
    <w:nsid w:val="787C7E7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63">
    <w:nsid w:val="7F8B6605"/>
    <w:multiLevelType w:val="hybridMultilevel"/>
    <w:lvl w:ilvl="0">
      <w:lvlJc w:val="left"/>
      <w:lvlText w:val="(%1)"/>
      <w:numFmt w:val="lowerLetter"/>
      <w:start w:val="4"/>
    </w:lvl>
    <w:lvl w:ilvl="1">
      <w:lvlJc w:val="left"/>
      <w:lvlText w:val="(%2)"/>
      <w:numFmt w:val="lowerRoman"/>
      <w:start w:val="1"/>
    </w:lvl>
  </w:abstractNum>
  <w:abstractNum w:abstractNumId="1064">
    <w:nsid w:val="2B1281DB"/>
    <w:multiLevelType w:val="hybridMultilevel"/>
    <w:lvl w:ilvl="0">
      <w:lvlJc w:val="left"/>
      <w:lvlText w:val="(%1)"/>
      <w:numFmt w:val="lowerLetter"/>
      <w:start w:val="6"/>
    </w:lvl>
    <w:lvl w:ilvl="1">
      <w:lvlJc w:val="left"/>
      <w:lvlText w:val="(%2)"/>
      <w:numFmt w:val="lowerRoman"/>
      <w:start w:val="1"/>
    </w:lvl>
  </w:abstractNum>
  <w:abstractNum w:abstractNumId="1065">
    <w:nsid w:val="2FECC4B7"/>
    <w:multiLevelType w:val="hybridMultilevel"/>
    <w:lvl w:ilvl="0">
      <w:lvlJc w:val="left"/>
      <w:lvlText w:val="(%1)"/>
      <w:numFmt w:val="lowerLetter"/>
      <w:start w:val="8"/>
    </w:lvl>
  </w:abstractNum>
  <w:abstractNum w:abstractNumId="1066">
    <w:nsid w:val="3D18E954"/>
    <w:multiLevelType w:val="hybridMultilevel"/>
    <w:lvl w:ilvl="0">
      <w:lvlJc w:val="left"/>
      <w:lvlText w:val="(%1)"/>
      <w:numFmt w:val="lowerLetter"/>
      <w:start w:val="1"/>
    </w:lvl>
  </w:abstractNum>
  <w:abstractNum w:abstractNumId="1067">
    <w:nsid w:val="32FFB4F"/>
    <w:multiLevelType w:val="hybridMultilevel"/>
    <w:lvl w:ilvl="0">
      <w:lvlJc w:val="left"/>
      <w:lvlText w:val="(%1)"/>
      <w:numFmt w:val="lowerLetter"/>
      <w:start w:val="3"/>
    </w:lvl>
  </w:abstractNum>
  <w:abstractNum w:abstractNumId="1068">
    <w:nsid w:val="534BFE3A"/>
    <w:multiLevelType w:val="hybridMultilevel"/>
    <w:lvl w:ilvl="0">
      <w:lvlJc w:val="left"/>
      <w:lvlText w:val="(%1)"/>
      <w:numFmt w:val="lowerLetter"/>
      <w:start w:val="1"/>
    </w:lvl>
    <w:lvl w:ilvl="1">
      <w:lvlJc w:val="left"/>
      <w:lvlText w:val="(%2)"/>
      <w:numFmt w:val="lowerRoman"/>
      <w:start w:val="1"/>
    </w:lvl>
  </w:abstractNum>
  <w:abstractNum w:abstractNumId="1069">
    <w:nsid w:val="42D4C8D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70">
    <w:nsid w:val="53988AB0"/>
    <w:multiLevelType w:val="hybridMultilevel"/>
    <w:lvl w:ilvl="0">
      <w:lvlJc w:val="left"/>
      <w:lvlText w:val="(%1)"/>
      <w:numFmt w:val="lowerLetter"/>
      <w:start w:val="2"/>
    </w:lvl>
  </w:abstractNum>
  <w:abstractNum w:abstractNumId="1071">
    <w:nsid w:val="40672824"/>
    <w:multiLevelType w:val="hybridMultilevel"/>
    <w:lvl w:ilvl="0">
      <w:lvlJc w:val="left"/>
      <w:lvlText w:val="(%1)"/>
      <w:numFmt w:val="lowerLetter"/>
      <w:start w:val="3"/>
    </w:lvl>
  </w:abstractNum>
  <w:abstractNum w:abstractNumId="1072">
    <w:nsid w:val="A4ABA00"/>
    <w:multiLevelType w:val="hybridMultilevel"/>
    <w:lvl w:ilvl="0">
      <w:lvlJc w:val="left"/>
      <w:lvlText w:val="(%1)"/>
      <w:numFmt w:val="lowerLetter"/>
      <w:start w:val="1"/>
    </w:lvl>
  </w:abstractNum>
  <w:abstractNum w:abstractNumId="1073">
    <w:nsid w:val="456855DA"/>
    <w:multiLevelType w:val="hybridMultilevel"/>
    <w:lvl w:ilvl="0">
      <w:lvlJc w:val="left"/>
      <w:lvlText w:val="(%1)"/>
      <w:numFmt w:val="lowerLetter"/>
      <w:start w:val="1"/>
    </w:lvl>
  </w:abstractNum>
  <w:abstractNum w:abstractNumId="1074">
    <w:nsid w:val="7350896E"/>
    <w:multiLevelType w:val="hybridMultilevel"/>
    <w:lvl w:ilvl="0">
      <w:lvlJc w:val="left"/>
      <w:lvlText w:val="(%1)"/>
      <w:numFmt w:val="lowerLetter"/>
      <w:start w:val="2"/>
    </w:lvl>
    <w:lvl w:ilvl="1">
      <w:lvlJc w:val="left"/>
      <w:lvlText w:val="(%2)"/>
      <w:numFmt w:val="lowerRoman"/>
      <w:start w:val="1"/>
    </w:lvl>
  </w:abstractNum>
  <w:abstractNum w:abstractNumId="1075">
    <w:nsid w:val="6D07551E"/>
    <w:multiLevelType w:val="hybridMultilevel"/>
    <w:lvl w:ilvl="0">
      <w:lvlJc w:val="left"/>
      <w:lvlText w:val="(%1)"/>
      <w:numFmt w:val="lowerLetter"/>
      <w:start w:val="1"/>
    </w:lvl>
  </w:abstractNum>
  <w:abstractNum w:abstractNumId="1076">
    <w:nsid w:val="577B64A5"/>
    <w:multiLevelType w:val="hybridMultilevel"/>
    <w:lvl w:ilvl="0">
      <w:lvlJc w:val="left"/>
      <w:lvlText w:val="(%1)"/>
      <w:numFmt w:val="lowerLetter"/>
      <w:start w:val="1"/>
    </w:lvl>
  </w:abstractNum>
  <w:abstractNum w:abstractNumId="1077">
    <w:nsid w:val="2A52A07A"/>
    <w:multiLevelType w:val="hybridMultilevel"/>
    <w:lvl w:ilvl="0">
      <w:lvlJc w:val="left"/>
      <w:lvlText w:val="(%1)"/>
      <w:numFmt w:val="lowerLetter"/>
      <w:start w:val="1"/>
    </w:lvl>
    <w:lvl w:ilvl="1">
      <w:lvlJc w:val="left"/>
      <w:lvlText w:val="(%2)"/>
      <w:numFmt w:val="lowerLetter"/>
      <w:start w:val="9"/>
    </w:lvl>
  </w:abstractNum>
  <w:abstractNum w:abstractNumId="1078">
    <w:nsid w:val="CEF5302"/>
    <w:multiLevelType w:val="hybridMultilevel"/>
    <w:lvl w:ilvl="0">
      <w:lvlJc w:val="left"/>
      <w:lvlText w:val="(%1)"/>
      <w:numFmt w:val="lowerRoman"/>
      <w:start w:val="2"/>
    </w:lvl>
  </w:abstractNum>
  <w:abstractNum w:abstractNumId="1079">
    <w:nsid w:val="32771D73"/>
    <w:multiLevelType w:val="hybridMultilevel"/>
    <w:lvl w:ilvl="0">
      <w:lvlJc w:val="left"/>
      <w:lvlText w:val="(%1)"/>
      <w:numFmt w:val="lowerLetter"/>
      <w:start w:val="2"/>
    </w:lvl>
  </w:abstractNum>
  <w:abstractNum w:abstractNumId="1080">
    <w:nsid w:val="726B9F7C"/>
    <w:multiLevelType w:val="hybridMultilevel"/>
    <w:lvl w:ilvl="0">
      <w:lvlJc w:val="left"/>
      <w:lvlText w:val="(%1)"/>
      <w:numFmt w:val="lowerLetter"/>
      <w:start w:val="1"/>
    </w:lvl>
  </w:abstractNum>
  <w:abstractNum w:abstractNumId="1081">
    <w:nsid w:val="5484CA8F"/>
    <w:multiLevelType w:val="hybridMultilevel"/>
    <w:lvl w:ilvl="0">
      <w:lvlJc w:val="left"/>
      <w:lvlText w:val="(%1)"/>
      <w:numFmt w:val="lowerLetter"/>
      <w:start w:val="5"/>
    </w:lvl>
  </w:abstractNum>
  <w:abstractNum w:abstractNumId="1082">
    <w:nsid w:val="7157351D"/>
    <w:multiLevelType w:val="hybridMultilevel"/>
    <w:lvl w:ilvl="0">
      <w:lvlJc w:val="left"/>
      <w:lvlText w:val="(%1)"/>
      <w:numFmt w:val="lowerLetter"/>
      <w:start w:val="1"/>
    </w:lvl>
  </w:abstractNum>
  <w:abstractNum w:abstractNumId="1083">
    <w:nsid w:val="C0AB9BD"/>
    <w:multiLevelType w:val="hybridMultilevel"/>
    <w:lvl w:ilvl="0">
      <w:lvlJc w:val="left"/>
      <w:lvlText w:val="%1."/>
      <w:numFmt w:val="decimal"/>
      <w:start w:val="29"/>
    </w:lvl>
    <w:lvl w:ilvl="1">
      <w:lvlJc w:val="left"/>
      <w:lvlText w:val="(%2)"/>
      <w:numFmt w:val="lowerLetter"/>
      <w:start w:val="1"/>
    </w:lvl>
  </w:abstractNum>
  <w:abstractNum w:abstractNumId="1084">
    <w:nsid w:val="367236F1"/>
    <w:multiLevelType w:val="hybridMultilevel"/>
    <w:lvl w:ilvl="0">
      <w:lvlJc w:val="left"/>
      <w:lvlText w:val="(%1)"/>
      <w:numFmt w:val="lowerLetter"/>
      <w:start w:val="1"/>
    </w:lvl>
  </w:abstractNum>
  <w:abstractNum w:abstractNumId="1085">
    <w:nsid w:val="1E418912"/>
    <w:multiLevelType w:val="hybridMultilevel"/>
    <w:lvl w:ilvl="0">
      <w:lvlJc w:val="left"/>
      <w:lvlText w:val="(%1)"/>
      <w:numFmt w:val="lowerLetter"/>
      <w:start w:val="1"/>
    </w:lvl>
  </w:abstractNum>
  <w:abstractNum w:abstractNumId="1086">
    <w:nsid w:val="13A1CB50"/>
    <w:multiLevelType w:val="hybridMultilevel"/>
    <w:lvl w:ilvl="0">
      <w:lvlJc w:val="left"/>
      <w:lvlText w:val="(%1)"/>
      <w:numFmt w:val="lowerLetter"/>
      <w:start w:val="1"/>
    </w:lvl>
  </w:abstractNum>
  <w:abstractNum w:abstractNumId="1087">
    <w:nsid w:val="1318EFF0"/>
    <w:multiLevelType w:val="hybridMultilevel"/>
    <w:lvl w:ilvl="0">
      <w:lvlJc w:val="left"/>
      <w:lvlText w:val="(%1)"/>
      <w:numFmt w:val="lowerLetter"/>
      <w:start w:val="1"/>
    </w:lvl>
    <w:lvl w:ilvl="1">
      <w:lvlJc w:val="left"/>
      <w:lvlText w:val="(%2)"/>
      <w:numFmt w:val="lowerRoman"/>
      <w:start w:val="1"/>
    </w:lvl>
  </w:abstractNum>
  <w:abstractNum w:abstractNumId="1088">
    <w:nsid w:val="47984755"/>
    <w:multiLevelType w:val="hybridMultilevel"/>
    <w:lvl w:ilvl="0">
      <w:lvlJc w:val="left"/>
      <w:lvlText w:val="%1."/>
      <w:numFmt w:val="decimal"/>
      <w:start w:val="31"/>
    </w:lvl>
    <w:lvl w:ilvl="1">
      <w:lvlJc w:val="left"/>
      <w:lvlText w:val="(%2)"/>
      <w:numFmt w:val="lowerLetter"/>
      <w:start w:val="1"/>
    </w:lvl>
  </w:abstractNum>
  <w:abstractNum w:abstractNumId="1089">
    <w:nsid w:val="D4A58"/>
    <w:multiLevelType w:val="hybridMultilevel"/>
    <w:lvl w:ilvl="0">
      <w:lvlJc w:val="left"/>
      <w:lvlText w:val="(%1)"/>
      <w:numFmt w:val="lowerLetter"/>
      <w:start w:val="1"/>
    </w:lvl>
  </w:abstractNum>
  <w:abstractNum w:abstractNumId="1090">
    <w:nsid w:val="3805771F"/>
    <w:multiLevelType w:val="hybridMultilevel"/>
    <w:lvl w:ilvl="0">
      <w:lvlJc w:val="left"/>
      <w:lvlText w:val="(%1)"/>
      <w:numFmt w:val="lowerLetter"/>
      <w:start w:val="1"/>
    </w:lvl>
  </w:abstractNum>
  <w:abstractNum w:abstractNumId="1091">
    <w:nsid w:val="363E4F1E"/>
    <w:multiLevelType w:val="hybridMultilevel"/>
    <w:lvl w:ilvl="0">
      <w:lvlJc w:val="left"/>
      <w:lvlText w:val="(%1)"/>
      <w:numFmt w:val="lowerLetter"/>
      <w:start w:val="2"/>
    </w:lvl>
    <w:lvl w:ilvl="1">
      <w:lvlJc w:val="left"/>
      <w:lvlText w:val="(%2)"/>
      <w:numFmt w:val="lowerRoman"/>
      <w:start w:val="1"/>
    </w:lvl>
  </w:abstractNum>
  <w:abstractNum w:abstractNumId="1092">
    <w:nsid w:val="35A80A34"/>
    <w:multiLevelType w:val="hybridMultilevel"/>
    <w:lvl w:ilvl="0">
      <w:lvlJc w:val="left"/>
      <w:lvlText w:val="(%1)"/>
      <w:numFmt w:val="lowerLetter"/>
      <w:start w:val="1"/>
    </w:lvl>
    <w:lvl w:ilvl="1">
      <w:lvlJc w:val="left"/>
      <w:lvlText w:val="(%2)"/>
      <w:numFmt w:val="lowerRoman"/>
      <w:start w:val="1"/>
    </w:lvl>
  </w:abstractNum>
  <w:abstractNum w:abstractNumId="1093">
    <w:nsid w:val="3081F595"/>
    <w:multiLevelType w:val="hybridMultilevel"/>
    <w:lvl w:ilvl="0">
      <w:lvlJc w:val="left"/>
      <w:lvlText w:val="(%1)"/>
      <w:numFmt w:val="lowerLetter"/>
      <w:start w:val="2"/>
    </w:lvl>
  </w:abstractNum>
  <w:abstractNum w:abstractNumId="1094">
    <w:nsid w:val="35C9B524"/>
    <w:multiLevelType w:val="hybridMultilevel"/>
    <w:lvl w:ilvl="0">
      <w:lvlJc w:val="left"/>
      <w:lvlText w:val="(%1)"/>
      <w:numFmt w:val="lowerLetter"/>
      <w:start w:val="5"/>
    </w:lvl>
    <w:lvl w:ilvl="1">
      <w:lvlJc w:val="left"/>
      <w:lvlText w:val="(%2)"/>
      <w:numFmt w:val="lowerRoman"/>
      <w:start w:val="1"/>
    </w:lvl>
  </w:abstractNum>
  <w:abstractNum w:abstractNumId="1095">
    <w:nsid w:val="60BA8C0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96">
    <w:nsid w:val="606EBA4C"/>
    <w:multiLevelType w:val="hybridMultilevel"/>
    <w:lvl w:ilvl="0">
      <w:lvlJc w:val="left"/>
      <w:lvlText w:val="(%1)"/>
      <w:numFmt w:val="lowerLetter"/>
      <w:start w:val="1"/>
    </w:lvl>
  </w:abstractNum>
  <w:abstractNum w:abstractNumId="1097">
    <w:nsid w:val="72E29E78"/>
    <w:multiLevelType w:val="hybridMultilevel"/>
    <w:lvl w:ilvl="0">
      <w:lvlJc w:val="left"/>
      <w:lvlText w:val="(%1)"/>
      <w:numFmt w:val="lowerLetter"/>
      <w:start w:val="1"/>
    </w:lvl>
  </w:abstractNum>
  <w:abstractNum w:abstractNumId="1098">
    <w:nsid w:val="63EA875E"/>
    <w:multiLevelType w:val="hybridMultilevel"/>
    <w:lvl w:ilvl="0">
      <w:lvlJc w:val="left"/>
      <w:lvlText w:val="(%1)"/>
      <w:numFmt w:val="lowerLetter"/>
      <w:start w:val="1"/>
    </w:lvl>
    <w:lvl w:ilvl="1">
      <w:lvlJc w:val="left"/>
      <w:lvlText w:val="(%2)"/>
      <w:numFmt w:val="lowerRoman"/>
      <w:start w:val="1"/>
    </w:lvl>
  </w:abstractNum>
  <w:abstractNum w:abstractNumId="1099">
    <w:nsid w:val="33BAB887"/>
    <w:multiLevelType w:val="hybridMultilevel"/>
    <w:lvl w:ilvl="0">
      <w:lvlJc w:val="left"/>
      <w:lvlText w:val="%1"/>
      <w:numFmt w:val="decimal"/>
      <w:start w:val="1"/>
    </w:lvl>
    <w:lvl w:ilvl="1">
      <w:lvlJc w:val="left"/>
      <w:lvlText w:val="(%2)"/>
      <w:numFmt w:val="lowerLetter"/>
      <w:start w:val="1"/>
    </w:lvl>
  </w:abstractNum>
  <w:abstractNum w:abstractNumId="1100">
    <w:nsid w:val="35B7674F"/>
    <w:multiLevelType w:val="hybridMultilevel"/>
    <w:lvl w:ilvl="0">
      <w:lvlJc w:val="left"/>
      <w:lvlText w:val="%1."/>
      <w:numFmt w:val="decimal"/>
      <w:start w:val="32"/>
    </w:lvl>
    <w:lvl w:ilvl="1">
      <w:lvlJc w:val="left"/>
      <w:lvlText w:val="%2"/>
      <w:numFmt w:val="lowerLetter"/>
      <w:start w:val="1"/>
    </w:lvl>
  </w:abstractNum>
  <w:abstractNum w:abstractNumId="1101">
    <w:nsid w:val="3783120E"/>
    <w:multiLevelType w:val="hybridMultilevel"/>
    <w:lvl w:ilvl="0">
      <w:lvlJc w:val="left"/>
      <w:lvlText w:val="(%1)"/>
      <w:numFmt w:val="lowerLetter"/>
      <w:start w:val="1"/>
    </w:lvl>
  </w:abstractNum>
  <w:abstractNum w:abstractNumId="1102">
    <w:nsid w:val="7421E0AB"/>
    <w:multiLevelType w:val="hybridMultilevel"/>
    <w:lvl w:ilvl="0">
      <w:lvlJc w:val="left"/>
      <w:lvlText w:val="(%1)"/>
      <w:numFmt w:val="lowerLetter"/>
      <w:start w:val="3"/>
    </w:lvl>
  </w:abstractNum>
  <w:abstractNum w:abstractNumId="1103">
    <w:nsid w:val="4002214F"/>
    <w:multiLevelType w:val="hybridMultilevel"/>
    <w:lvl w:ilvl="0">
      <w:lvlJc w:val="left"/>
      <w:lvlText w:val="(%1)"/>
      <w:numFmt w:val="lowerLetter"/>
      <w:start w:val="1"/>
    </w:lvl>
    <w:lvl w:ilvl="1">
      <w:lvlJc w:val="left"/>
      <w:lvlText w:val="(%2)"/>
      <w:numFmt w:val="lowerRoman"/>
      <w:start w:val="1"/>
    </w:lvl>
  </w:abstractNum>
  <w:abstractNum w:abstractNumId="1104">
    <w:nsid w:val="7CEB67E9"/>
    <w:multiLevelType w:val="hybridMultilevel"/>
    <w:lvl w:ilvl="0">
      <w:lvlJc w:val="left"/>
      <w:lvlText w:val="(%1)"/>
      <w:numFmt w:val="lowerLetter"/>
      <w:start w:val="2"/>
    </w:lvl>
  </w:abstractNum>
  <w:abstractNum w:abstractNumId="1105">
    <w:nsid w:val="67726A1A"/>
    <w:multiLevelType w:val="hybridMultilevel"/>
    <w:lvl w:ilvl="0">
      <w:lvlJc w:val="left"/>
      <w:lvlText w:val="(%1)"/>
      <w:numFmt w:val="lowerLetter"/>
      <w:start w:val="1"/>
    </w:lvl>
    <w:lvl w:ilvl="1">
      <w:lvlJc w:val="left"/>
      <w:lvlText w:val="(%2)"/>
      <w:numFmt w:val="lowerLetter"/>
      <w:start w:val="9"/>
    </w:lvl>
  </w:abstractNum>
  <w:abstractNum w:abstractNumId="1106">
    <w:nsid w:val="2D09766D"/>
    <w:multiLevelType w:val="hybridMultilevel"/>
    <w:lvl w:ilvl="0">
      <w:lvlJc w:val="left"/>
      <w:lvlText w:val="%1"/>
      <w:numFmt w:val="lowerLetter"/>
      <w:start w:val="1"/>
    </w:lvl>
    <w:lvl w:ilvl="1">
      <w:lvlJc w:val="left"/>
      <w:lvlText w:val="(%2)"/>
      <w:numFmt w:val="lowerRoman"/>
      <w:start w:val="2"/>
    </w:lvl>
  </w:abstractNum>
  <w:abstractNum w:abstractNumId="1107">
    <w:nsid w:val="5466CC8E"/>
    <w:multiLevelType w:val="hybridMultilevel"/>
    <w:lvl w:ilvl="0">
      <w:lvlJc w:val="left"/>
      <w:lvlText w:val="(%1)"/>
      <w:numFmt w:val="lowerLetter"/>
      <w:start w:val="2"/>
    </w:lvl>
    <w:lvl w:ilvl="1">
      <w:lvlJc w:val="left"/>
      <w:lvlText w:val="(%2)"/>
      <w:numFmt w:val="lowerRoman"/>
      <w:start w:val="1"/>
    </w:lvl>
  </w:abstractNum>
  <w:abstractNum w:abstractNumId="1108">
    <w:nsid w:val="11C50A94"/>
    <w:multiLevelType w:val="hybridMultilevel"/>
    <w:lvl w:ilvl="0">
      <w:lvlJc w:val="left"/>
      <w:lvlText w:val="%1"/>
      <w:numFmt w:val="lowerLetter"/>
      <w:start w:val="1"/>
    </w:lvl>
    <w:lvl w:ilvl="1">
      <w:lvlJc w:val="left"/>
      <w:lvlText w:val="(%2)"/>
      <w:numFmt w:val="lowerRoman"/>
      <w:start w:val="2"/>
    </w:lvl>
  </w:abstractNum>
  <w:abstractNum w:abstractNumId="1109">
    <w:nsid w:val="39F8C96F"/>
    <w:multiLevelType w:val="hybridMultilevel"/>
    <w:lvl w:ilvl="0">
      <w:lvlJc w:val="left"/>
      <w:lvlText w:val="(%1)"/>
      <w:numFmt w:val="lowerLetter"/>
      <w:start w:val="7"/>
    </w:lvl>
    <w:lvl w:ilvl="1">
      <w:lvlJc w:val="left"/>
      <w:lvlText w:val="(%2)"/>
      <w:numFmt w:val="lowerRoman"/>
      <w:start w:val="1"/>
    </w:lvl>
  </w:abstractNum>
  <w:abstractNum w:abstractNumId="1110">
    <w:nsid w:val="6DDEA01"/>
    <w:multiLevelType w:val="hybridMultilevel"/>
    <w:lvl w:ilvl="0">
      <w:lvlJc w:val="left"/>
      <w:lvlText w:val="(%1)"/>
      <w:numFmt w:val="lowerLetter"/>
      <w:start w:val="1"/>
    </w:lvl>
    <w:lvl w:ilvl="1">
      <w:lvlJc w:val="left"/>
      <w:lvlText w:val="(%2)"/>
      <w:numFmt w:val="lowerRoman"/>
      <w:start w:val="1"/>
    </w:lvl>
  </w:abstractNum>
  <w:abstractNum w:abstractNumId="1111">
    <w:nsid w:val="430AA11"/>
    <w:multiLevelType w:val="hybridMultilevel"/>
    <w:lvl w:ilvl="0">
      <w:lvlJc w:val="left"/>
      <w:lvlText w:val="%1."/>
      <w:numFmt w:val="decimal"/>
      <w:start w:val="34"/>
    </w:lvl>
  </w:abstractNum>
  <w:abstractNum w:abstractNumId="1112">
    <w:nsid w:val="E7D93FF"/>
    <w:multiLevelType w:val="hybridMultilevel"/>
    <w:lvl w:ilvl="0">
      <w:lvlJc w:val="left"/>
      <w:lvlText w:val="(%1)"/>
      <w:numFmt w:val="lowerLetter"/>
      <w:start w:val="1"/>
    </w:lvl>
  </w:abstractNum>
  <w:abstractNum w:abstractNumId="1113">
    <w:nsid w:val="78351F1E"/>
    <w:multiLevelType w:val="hybridMultilevel"/>
    <w:lvl w:ilvl="0">
      <w:lvlJc w:val="left"/>
      <w:lvlText w:val="%1."/>
      <w:numFmt w:val="decimal"/>
      <w:start w:val="35"/>
    </w:lvl>
  </w:abstractNum>
  <w:abstractNum w:abstractNumId="1114">
    <w:nsid w:val="103B63CE"/>
    <w:multiLevelType w:val="hybridMultilevel"/>
    <w:lvl w:ilvl="0">
      <w:lvlJc w:val="left"/>
      <w:lvlText w:val="%1."/>
      <w:numFmt w:val="decimal"/>
      <w:start w:val="37"/>
    </w:lvl>
  </w:abstractNum>
  <w:abstractNum w:abstractNumId="1115">
    <w:nsid w:val="44EFCAF0"/>
    <w:multiLevelType w:val="hybridMultilevel"/>
    <w:lvl w:ilvl="0">
      <w:lvlJc w:val="left"/>
      <w:lvlText w:val="(%1)"/>
      <w:numFmt w:val="lowerLetter"/>
      <w:start w:val="1"/>
    </w:lvl>
    <w:lvl w:ilvl="1">
      <w:lvlJc w:val="left"/>
      <w:lvlText w:val="(%2)"/>
      <w:numFmt w:val="lowerRoman"/>
      <w:start w:val="1"/>
    </w:lvl>
  </w:abstractNum>
  <w:abstractNum w:abstractNumId="1116">
    <w:nsid w:val="1676A831"/>
    <w:multiLevelType w:val="hybridMultilevel"/>
    <w:lvl w:ilvl="0">
      <w:lvlJc w:val="left"/>
      <w:lvlText w:val="(%1)"/>
      <w:numFmt w:val="lowerLetter"/>
      <w:start w:val="1"/>
    </w:lvl>
    <w:lvl w:ilvl="1">
      <w:lvlJc w:val="left"/>
      <w:lvlText w:val="(%2)"/>
      <w:numFmt w:val="lowerRoman"/>
      <w:start w:val="1"/>
    </w:lvl>
  </w:abstractNum>
  <w:abstractNum w:abstractNumId="1117">
    <w:nsid w:val="23DD2F1E"/>
    <w:multiLevelType w:val="hybridMultilevel"/>
    <w:lvl w:ilvl="0">
      <w:lvlJc w:val="left"/>
      <w:lvlText w:val="(%1)"/>
      <w:numFmt w:val="lowerRoman"/>
      <w:start w:val="9"/>
    </w:lvl>
  </w:abstractNum>
  <w:abstractNum w:abstractNumId="1118">
    <w:nsid w:val="5808BAE1"/>
    <w:multiLevelType w:val="hybridMultilevel"/>
    <w:lvl w:ilvl="0">
      <w:lvlJc w:val="left"/>
      <w:lvlText w:val="(%1)"/>
      <w:numFmt w:val="lowerLetter"/>
      <w:start w:val="2"/>
    </w:lvl>
    <w:lvl w:ilvl="1">
      <w:lvlJc w:val="left"/>
      <w:lvlText w:val="(%2)"/>
      <w:numFmt w:val="lowerRoman"/>
      <w:start w:val="1"/>
    </w:lvl>
  </w:abstractNum>
  <w:abstractNum w:abstractNumId="1119">
    <w:nsid w:val="5E0EEF86"/>
    <w:multiLevelType w:val="hybridMultilevel"/>
    <w:lvl w:ilvl="0">
      <w:lvlJc w:val="left"/>
      <w:lvlText w:val="(%1)"/>
      <w:numFmt w:val="lowerLetter"/>
      <w:start w:val="5"/>
    </w:lvl>
  </w:abstractNum>
  <w:abstractNum w:abstractNumId="1120">
    <w:nsid w:val="23EA7976"/>
    <w:multiLevelType w:val="hybridMultilevel"/>
    <w:lvl w:ilvl="0">
      <w:lvlJc w:val="left"/>
      <w:lvlText w:val="(%1)"/>
      <w:numFmt w:val="lowerLetter"/>
      <w:start w:val="1"/>
    </w:lvl>
    <w:lvl w:ilvl="1">
      <w:lvlJc w:val="left"/>
      <w:lvlText w:val="(%2)"/>
      <w:numFmt w:val="lowerRoman"/>
      <w:start w:val="1"/>
    </w:lvl>
  </w:abstractNum>
  <w:abstractNum w:abstractNumId="1121">
    <w:nsid w:val="100E3200"/>
    <w:multiLevelType w:val="hybridMultilevel"/>
    <w:lvl w:ilvl="0">
      <w:lvlJc w:val="left"/>
      <w:lvlText w:val="(%1)"/>
      <w:numFmt w:val="lowerLetter"/>
      <w:start w:val="1"/>
    </w:lvl>
  </w:abstractNum>
  <w:abstractNum w:abstractNumId="1122">
    <w:nsid w:val="144D3EA4"/>
    <w:multiLevelType w:val="hybridMultilevel"/>
    <w:lvl w:ilvl="0">
      <w:lvlJc w:val="left"/>
      <w:lvlText w:val="(%1)"/>
      <w:numFmt w:val="lowerLetter"/>
      <w:start w:val="2"/>
    </w:lvl>
  </w:abstractNum>
  <w:abstractNum w:abstractNumId="1123">
    <w:nsid w:val="599283AA"/>
    <w:multiLevelType w:val="hybridMultilevel"/>
    <w:lvl w:ilvl="0">
      <w:lvlJc w:val="left"/>
      <w:lvlText w:val="(%1)"/>
      <w:numFmt w:val="lowerLetter"/>
      <w:start w:val="1"/>
    </w:lvl>
    <w:lvl w:ilvl="1">
      <w:lvlJc w:val="left"/>
      <w:lvlText w:val="(%2)"/>
      <w:numFmt w:val="lowerRoman"/>
      <w:start w:val="1"/>
    </w:lvl>
  </w:abstractNum>
  <w:abstractNum w:abstractNumId="1124">
    <w:nsid w:val="40902795"/>
    <w:multiLevelType w:val="hybridMultilevel"/>
    <w:lvl w:ilvl="0">
      <w:lvlJc w:val="left"/>
      <w:lvlText w:val="(%1)"/>
      <w:numFmt w:val="lowerLetter"/>
      <w:start w:val="1"/>
    </w:lvl>
  </w:abstractNum>
  <w:abstractNum w:abstractNumId="1125">
    <w:nsid w:val="4A16F3C8"/>
    <w:multiLevelType w:val="hybridMultilevel"/>
    <w:lvl w:ilvl="0">
      <w:lvlJc w:val="left"/>
      <w:lvlText w:val="%1."/>
      <w:numFmt w:val="decimal"/>
      <w:start w:val="38"/>
    </w:lvl>
  </w:abstractNum>
  <w:abstractNum w:abstractNumId="1126">
    <w:nsid w:val="3A4D0FB9"/>
    <w:multiLevelType w:val="hybridMultilevel"/>
    <w:lvl w:ilvl="0">
      <w:lvlJc w:val="left"/>
      <w:lvlText w:val="(%1)"/>
      <w:numFmt w:val="lowerLetter"/>
      <w:start w:val="1"/>
    </w:lvl>
    <w:lvl w:ilvl="1">
      <w:lvlJc w:val="left"/>
      <w:lvlText w:val="(%2)"/>
      <w:numFmt w:val="lowerRoman"/>
      <w:start w:val="1"/>
    </w:lvl>
  </w:abstractNum>
  <w:abstractNum w:abstractNumId="1127">
    <w:nsid w:val="20FEE1E2"/>
    <w:multiLevelType w:val="hybridMultilevel"/>
    <w:lvl w:ilvl="0">
      <w:lvlJc w:val="left"/>
      <w:lvlText w:val="(%1)"/>
      <w:numFmt w:val="lowerRoman"/>
      <w:start w:val="5"/>
    </w:lvl>
  </w:abstractNum>
  <w:abstractNum w:abstractNumId="1128">
    <w:nsid w:val="3CF99241"/>
    <w:multiLevelType w:val="hybridMultilevel"/>
    <w:lvl w:ilvl="0">
      <w:lvlJc w:val="left"/>
      <w:lvlText w:val="%1"/>
      <w:numFmt w:val="lowerLetter"/>
      <w:start w:val="1"/>
    </w:lvl>
    <w:lvl w:ilvl="1">
      <w:lvlJc w:val="left"/>
      <w:lvlText w:val="(%2)"/>
      <w:numFmt w:val="upperLetter"/>
      <w:start w:val="1"/>
    </w:lvl>
  </w:abstractNum>
  <w:abstractNum w:abstractNumId="1129">
    <w:nsid w:val="1E379717"/>
    <w:multiLevelType w:val="hybridMultilevel"/>
    <w:lvl w:ilvl="0">
      <w:lvlJc w:val="left"/>
      <w:lvlText w:val="(%1)"/>
      <w:numFmt w:val="lowerLetter"/>
      <w:start w:val="3"/>
    </w:lvl>
    <w:lvl w:ilvl="1">
      <w:lvlJc w:val="left"/>
      <w:lvlText w:val="%2"/>
      <w:numFmt w:val="upperLetter"/>
      <w:start w:val="1"/>
    </w:lvl>
  </w:abstractNum>
  <w:abstractNum w:abstractNumId="1130">
    <w:nsid w:val="54B99A69"/>
    <w:multiLevelType w:val="hybridMultilevel"/>
    <w:lvl w:ilvl="0">
      <w:lvlJc w:val="left"/>
      <w:lvlText w:val="(%1)"/>
      <w:numFmt w:val="lowerLetter"/>
      <w:start w:val="5"/>
    </w:lvl>
  </w:abstractNum>
  <w:abstractNum w:abstractNumId="1131">
    <w:nsid w:val="72B0F990"/>
    <w:multiLevelType w:val="hybridMultilevel"/>
    <w:lvl w:ilvl="0">
      <w:lvlJc w:val="left"/>
      <w:lvlText w:val="(%1)"/>
      <w:numFmt w:val="lowerLetter"/>
      <w:start w:val="1"/>
    </w:lvl>
    <w:lvl w:ilvl="1">
      <w:lvlJc w:val="left"/>
      <w:lvlText w:val="(%2)"/>
      <w:numFmt w:val="lowerRoman"/>
      <w:start w:val="1"/>
    </w:lvl>
  </w:abstractNum>
  <w:abstractNum w:abstractNumId="1132">
    <w:nsid w:val="55BAA926"/>
    <w:multiLevelType w:val="hybridMultilevel"/>
    <w:lvl w:ilvl="0">
      <w:lvlJc w:val="left"/>
      <w:lvlText w:val="(%1)"/>
      <w:numFmt w:val="lowerLetter"/>
      <w:start w:val="2"/>
    </w:lvl>
    <w:lvl w:ilvl="1">
      <w:lvlJc w:val="left"/>
      <w:lvlText w:val="(%2)"/>
      <w:numFmt w:val="lowerRoman"/>
      <w:start w:val="1"/>
    </w:lvl>
  </w:abstractNum>
  <w:abstractNum w:abstractNumId="1133">
    <w:nsid w:val="48DB7B14"/>
    <w:multiLevelType w:val="hybridMultilevel"/>
    <w:lvl w:ilvl="0">
      <w:lvlJc w:val="left"/>
      <w:lvlText w:val="(%1)"/>
      <w:numFmt w:val="lowerLetter"/>
      <w:start w:val="1"/>
    </w:lvl>
  </w:abstractNum>
  <w:abstractNum w:abstractNumId="1134">
    <w:nsid w:val="32B31ADF"/>
    <w:multiLevelType w:val="hybridMultilevel"/>
    <w:lvl w:ilvl="0">
      <w:lvlJc w:val="left"/>
      <w:lvlText w:val="(%1)"/>
      <w:numFmt w:val="lowerLetter"/>
      <w:start w:val="1"/>
    </w:lvl>
  </w:abstractNum>
  <w:abstractNum w:abstractNumId="1135">
    <w:nsid w:val="52A6110F"/>
    <w:multiLevelType w:val="hybridMultilevel"/>
    <w:lvl w:ilvl="0">
      <w:lvlJc w:val="left"/>
      <w:lvlText w:val="%1."/>
      <w:numFmt w:val="decimal"/>
      <w:start w:val="39"/>
    </w:lvl>
  </w:abstractNum>
  <w:abstractNum w:abstractNumId="1136">
    <w:nsid w:val="304DE52E"/>
    <w:multiLevelType w:val="hybridMultilevel"/>
    <w:lvl w:ilvl="0">
      <w:lvlJc w:val="left"/>
      <w:lvlText w:val="%1."/>
      <w:numFmt w:val="decimal"/>
      <w:start w:val="41"/>
    </w:lvl>
  </w:abstractNum>
  <w:abstractNum w:abstractNumId="1137">
    <w:nsid w:val="5FBC914D"/>
    <w:multiLevelType w:val="hybridMultilevel"/>
    <w:lvl w:ilvl="0">
      <w:lvlJc w:val="left"/>
      <w:lvlText w:val="%1."/>
      <w:numFmt w:val="decimal"/>
      <w:start w:val="42"/>
    </w:lvl>
  </w:abstractNum>
  <w:abstractNum w:abstractNumId="1138">
    <w:nsid w:val="270CDD9D"/>
    <w:multiLevelType w:val="hybridMultilevel"/>
    <w:lvl w:ilvl="0">
      <w:lvlJc w:val="left"/>
      <w:lvlText w:val="(%1)"/>
      <w:numFmt w:val="lowerLetter"/>
      <w:start w:val="1"/>
    </w:lvl>
  </w:abstractNum>
  <w:abstractNum w:abstractNumId="1139">
    <w:nsid w:val="4212EFC3"/>
    <w:multiLevelType w:val="hybridMultilevel"/>
    <w:lvl w:ilvl="0">
      <w:lvlJc w:val="left"/>
      <w:lvlText w:val="(%1)"/>
      <w:numFmt w:val="lowerLetter"/>
      <w:start w:val="1"/>
    </w:lvl>
    <w:lvl w:ilvl="1">
      <w:lvlJc w:val="left"/>
      <w:lvlText w:val="(%2)"/>
      <w:numFmt w:val="lowerRoman"/>
      <w:start w:val="1"/>
    </w:lvl>
  </w:abstractNum>
  <w:abstractNum w:abstractNumId="1140">
    <w:nsid w:val="19B55ABC"/>
    <w:multiLevelType w:val="hybridMultilevel"/>
    <w:lvl w:ilvl="0">
      <w:lvlJc w:val="left"/>
      <w:lvlText w:val="%1."/>
      <w:numFmt w:val="decimal"/>
      <w:start w:val="1"/>
    </w:lvl>
    <w:lvl w:ilvl="1">
      <w:lvlJc w:val="left"/>
      <w:lvlText w:val="(%2)"/>
      <w:numFmt w:val="lowerLetter"/>
      <w:start w:val="1"/>
    </w:lvl>
  </w:abstractNum>
  <w:abstractNum w:abstractNumId="1141">
    <w:nsid w:val="2DEAC79E"/>
    <w:multiLevelType w:val="hybridMultilevel"/>
    <w:lvl w:ilvl="0">
      <w:lvlJc w:val="left"/>
      <w:lvlText w:val="%1."/>
      <w:numFmt w:val="decimal"/>
      <w:start w:val="11"/>
    </w:lvl>
  </w:abstractNum>
  <w:abstractNum w:abstractNumId="1142">
    <w:nsid w:val="464399D4"/>
    <w:multiLevelType w:val="hybridMultilevel"/>
    <w:lvl w:ilvl="0">
      <w:lvlJc w:val="left"/>
      <w:lvlText w:val="%1."/>
      <w:numFmt w:val="decimal"/>
      <w:start w:val="1"/>
    </w:lvl>
  </w:abstractNum>
  <w:abstractNum w:abstractNumId="1143">
    <w:nsid w:val="2832EEBB"/>
    <w:multiLevelType w:val="hybridMultilevel"/>
    <w:lvl w:ilvl="0">
      <w:lvlJc w:val="left"/>
      <w:lvlText w:val="%1."/>
      <w:numFmt w:val="decimal"/>
      <w:start w:val="3"/>
    </w:lvl>
    <w:lvl w:ilvl="1">
      <w:lvlJc w:val="left"/>
      <w:lvlText w:val="(%2)"/>
      <w:numFmt w:val="lowerLetter"/>
      <w:start w:val="1"/>
    </w:lvl>
  </w:abstractNum>
  <w:abstractNum w:abstractNumId="1144">
    <w:nsid w:val="261FE6BD"/>
    <w:multiLevelType w:val="hybridMultilevel"/>
    <w:lvl w:ilvl="0">
      <w:lvlJc w:val="left"/>
      <w:lvlText w:val="%1."/>
      <w:numFmt w:val="decimal"/>
      <w:start w:val="1"/>
    </w:lvl>
  </w:abstractNum>
  <w:abstractNum w:abstractNumId="1145">
    <w:nsid w:val="567EFDA2"/>
    <w:multiLevelType w:val="hybridMultilevel"/>
    <w:lvl w:ilvl="0">
      <w:lvlJc w:val="left"/>
      <w:lvlText w:val="%1."/>
      <w:numFmt w:val="decimal"/>
      <w:start w:val="1"/>
    </w:lvl>
    <w:lvl w:ilvl="1">
      <w:lvlJc w:val="left"/>
      <w:lvlText w:val="(%2)"/>
      <w:numFmt w:val="lowerLetter"/>
      <w:start w:val="1"/>
    </w:lvl>
  </w:abstractNum>
  <w:abstractNum w:abstractNumId="1146">
    <w:nsid w:val="6D22B9AC"/>
    <w:multiLevelType w:val="hybridMultilevel"/>
    <w:lvl w:ilvl="0">
      <w:lvlJc w:val="left"/>
      <w:lvlText w:val="%1."/>
      <w:numFmt w:val="decimal"/>
      <w:start w:val="5"/>
    </w:lvl>
  </w:abstractNum>
  <w:abstractNum w:abstractNumId="1147">
    <w:nsid w:val="3C968EEE"/>
    <w:multiLevelType w:val="hybridMultilevel"/>
    <w:lvl w:ilvl="0">
      <w:lvlJc w:val="left"/>
      <w:lvlText w:val="%1."/>
      <w:numFmt w:val="decimal"/>
      <w:start w:val="1"/>
    </w:lvl>
    <w:lvl w:ilvl="1">
      <w:lvlJc w:val="left"/>
      <w:lvlText w:val="(%2)"/>
      <w:numFmt w:val="lowerLetter"/>
      <w:start w:val="1"/>
    </w:lvl>
  </w:abstractNum>
  <w:abstractNum w:abstractNumId="1148">
    <w:nsid w:val="7A5C2CC0"/>
    <w:multiLevelType w:val="hybridMultilevel"/>
    <w:lvl w:ilvl="0">
      <w:lvlJc w:val="left"/>
      <w:lvlText w:val="%1."/>
      <w:numFmt w:val="decimal"/>
      <w:start w:val="7"/>
    </w:lvl>
  </w:abstractNum>
  <w:abstractNum w:abstractNumId="1149">
    <w:nsid w:val="452B74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150">
    <w:nsid w:val="1AA57E74"/>
    <w:multiLevelType w:val="hybridMultilevel"/>
    <w:lvl w:ilvl="0">
      <w:lvlJc w:val="left"/>
      <w:lvlText w:val="(%1)"/>
      <w:numFmt w:val="lowerRoman"/>
      <w:start w:val="2"/>
    </w:lvl>
  </w:abstractNum>
  <w:abstractNum w:abstractNumId="1151">
    <w:nsid w:val="1E46A636"/>
    <w:multiLevelType w:val="hybridMultilevel"/>
    <w:lvl w:ilvl="0">
      <w:lvlJc w:val="left"/>
      <w:lvlText w:val="%1"/>
      <w:numFmt w:val="decimal"/>
      <w:start w:val="1"/>
    </w:lvl>
    <w:lvl w:ilvl="1">
      <w:lvlJc w:val="left"/>
      <w:lvlText w:val="(%2)"/>
      <w:numFmt w:val="lowerLetter"/>
      <w:start w:val="3"/>
    </w:lvl>
  </w:abstractNum>
  <w:abstractNum w:abstractNumId="1152">
    <w:nsid w:val="5539A68D"/>
    <w:multiLevelType w:val="hybridMultilevel"/>
    <w:lvl w:ilvl="0">
      <w:lvlJc w:val="left"/>
      <w:lvlText w:val="%1."/>
      <w:numFmt w:val="decimal"/>
      <w:start w:val="6"/>
    </w:lvl>
    <w:lvl w:ilvl="1">
      <w:lvlJc w:val="left"/>
      <w:lvlText w:val="%2"/>
      <w:numFmt w:val="lowerLetter"/>
      <w:start w:val="1"/>
    </w:lvl>
  </w:abstractNum>
  <w:abstractNum w:abstractNumId="1153">
    <w:nsid w:val="2EF2BD18"/>
    <w:multiLevelType w:val="hybridMultilevel"/>
    <w:lvl w:ilvl="0">
      <w:lvlJc w:val="left"/>
      <w:lvlText w:val="*"/>
      <w:numFmt w:val="bullet"/>
      <w:start w:val="1"/>
    </w:lvl>
  </w:abstractNum>
  <w:abstractNum w:abstractNumId="1154">
    <w:nsid w:val="77D929E1"/>
    <w:multiLevelType w:val="hybridMultilevel"/>
    <w:lvl w:ilvl="0">
      <w:lvlJc w:val="left"/>
      <w:lvlText w:val="**"/>
      <w:numFmt w:val="bullet"/>
      <w:start w:val="1"/>
    </w:lvl>
  </w:abstractNum>
  <w:abstractNum w:abstractNumId="1155">
    <w:nsid w:val="15C9CE22"/>
    <w:multiLevelType w:val="hybridMultilevel"/>
    <w:lvl w:ilvl="0">
      <w:lvlJc w:val="left"/>
      <w:lvlText w:val="%1."/>
      <w:numFmt w:val="decimal"/>
      <w:start w:val="1"/>
    </w:lvl>
    <w:lvl w:ilvl="1">
      <w:lvlJc w:val="left"/>
      <w:lvlText w:val="(%2)"/>
      <w:numFmt w:val="lowerLetter"/>
      <w:start w:val="1"/>
    </w:lvl>
  </w:abstractNum>
  <w:abstractNum w:abstractNumId="1156">
    <w:nsid w:val="7909B0E1"/>
    <w:multiLevelType w:val="hybridMultilevel"/>
    <w:lvl w:ilvl="0">
      <w:lvlJc w:val="left"/>
      <w:lvlText w:val="%1."/>
      <w:numFmt w:val="decimal"/>
      <w:start w:val="1"/>
    </w:lvl>
  </w:abstractNum>
  <w:abstractNum w:abstractNumId="1157">
    <w:nsid w:val="3226399A"/>
    <w:multiLevelType w:val="hybridMultilevel"/>
    <w:lvl w:ilvl="0">
      <w:lvlJc w:val="left"/>
      <w:lvlText w:val="%1."/>
      <w:numFmt w:val="decimal"/>
      <w:start w:val="1"/>
    </w:lvl>
  </w:abstractNum>
  <w:abstractNum w:abstractNumId="1158">
    <w:nsid w:val="36C8B004"/>
    <w:multiLevelType w:val="hybridMultilevel"/>
    <w:lvl w:ilvl="0">
      <w:lvlJc w:val="left"/>
      <w:lvlText w:val="%1."/>
      <w:numFmt w:val="decimal"/>
      <w:start w:val="1"/>
    </w:lvl>
    <w:lvl w:ilvl="1">
      <w:lvlJc w:val="left"/>
      <w:lvlText w:val="(%2)"/>
      <w:numFmt w:val="lowerLetter"/>
      <w:start w:val="1"/>
    </w:lvl>
  </w:abstractNum>
  <w:abstractNum w:abstractNumId="1159">
    <w:nsid w:val="36034322"/>
    <w:multiLevelType w:val="hybridMultilevel"/>
    <w:lvl w:ilvl="0">
      <w:lvlJc w:val="left"/>
      <w:lvlText w:val="%1."/>
      <w:numFmt w:val="decimal"/>
      <w:start w:val="10"/>
    </w:lvl>
  </w:abstractNum>
  <w:abstractNum w:abstractNumId="1160">
    <w:nsid w:val="505DD0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61">
    <w:nsid w:val="B824A6D"/>
    <w:multiLevelType w:val="hybridMultilevel"/>
    <w:lvl w:ilvl="0">
      <w:lvlJc w:val="left"/>
      <w:lvlText w:val="(%1)"/>
      <w:numFmt w:val="lowerRoman"/>
      <w:start w:val="4"/>
    </w:lvl>
  </w:abstractNum>
  <w:abstractNum w:abstractNumId="1162">
    <w:nsid w:val="28B43CB2"/>
    <w:multiLevelType w:val="hybridMultilevel"/>
    <w:lvl w:ilvl="0">
      <w:lvlJc w:val="left"/>
      <w:lvlText w:val="(%1)"/>
      <w:numFmt w:val="upperLetter"/>
      <w:start w:val="1"/>
    </w:lvl>
  </w:abstractNum>
  <w:abstractNum w:abstractNumId="1163">
    <w:nsid w:val="261879D8"/>
    <w:multiLevelType w:val="hybridMultilevel"/>
    <w:lvl w:ilvl="0">
      <w:lvlJc w:val="left"/>
      <w:lvlText w:val="(%1)"/>
      <w:numFmt w:val="upperLetter"/>
      <w:start w:val="9"/>
    </w:lvl>
  </w:abstractNum>
  <w:abstractNum w:abstractNumId="1164">
    <w:nsid w:val="545DC582"/>
    <w:multiLevelType w:val="hybridMultilevel"/>
    <w:lvl w:ilvl="0">
      <w:lvlJc w:val="left"/>
      <w:lvlText w:val="(%1)"/>
      <w:numFmt w:val="upperLetter"/>
      <w:start w:val="35"/>
    </w:lvl>
  </w:abstractNum>
  <w:abstractNum w:abstractNumId="1165">
    <w:nsid w:val="5B675791"/>
    <w:multiLevelType w:val="hybridMultilevel"/>
    <w:lvl w:ilvl="0">
      <w:lvlJc w:val="left"/>
      <w:lvlText w:val="(%1)"/>
      <w:numFmt w:val="upperLetter"/>
      <w:start w:val="61"/>
    </w:lvl>
  </w:abstractNum>
  <w:abstractNum w:abstractNumId="1166">
    <w:nsid w:val="78BE8AE7"/>
    <w:multiLevelType w:val="hybridMultilevel"/>
    <w:lvl w:ilvl="0">
      <w:lvlJc w:val="left"/>
      <w:lvlText w:val="(%1)"/>
      <w:numFmt w:val="upperLetter"/>
      <w:start w:val="22"/>
    </w:lvl>
  </w:abstractNum>
  <w:abstractNum w:abstractNumId="1167">
    <w:nsid w:val="4ABAAB0"/>
    <w:multiLevelType w:val="hybridMultilevel"/>
    <w:lvl w:ilvl="0">
      <w:lvlJc w:val="left"/>
      <w:lvlText w:val="(%1)"/>
      <w:numFmt w:val="lowerLetter"/>
      <w:start w:val="2"/>
    </w:lvl>
    <w:lvl w:ilvl="1">
      <w:lvlJc w:val="left"/>
      <w:lvlText w:val="(%2)"/>
      <w:numFmt w:val="lowerRoman"/>
      <w:start w:val="1"/>
    </w:lvl>
  </w:abstractNum>
  <w:abstractNum w:abstractNumId="1168">
    <w:nsid w:val="3B23E8DE"/>
    <w:multiLevelType w:val="hybridMultilevel"/>
    <w:lvl w:ilvl="0">
      <w:lvlJc w:val="left"/>
      <w:lvlText w:val="(%1)"/>
      <w:numFmt w:val="lowerRoman"/>
      <w:start w:val="5"/>
    </w:lvl>
    <w:lvl w:ilvl="1">
      <w:lvlJc w:val="left"/>
      <w:lvlText w:val="(%2)"/>
      <w:numFmt w:val="upperLetter"/>
      <w:start w:val="1"/>
    </w:lvl>
  </w:abstractNum>
  <w:abstractNum w:abstractNumId="1169">
    <w:nsid w:val="1FCB6884"/>
    <w:multiLevelType w:val="hybridMultilevel"/>
    <w:lvl w:ilvl="0">
      <w:lvlJc w:val="left"/>
      <w:lvlText w:val="%1"/>
      <w:numFmt w:val="lowerRoman"/>
      <w:start w:val="1"/>
    </w:lvl>
    <w:lvl w:ilvl="1">
      <w:lvlJc w:val="left"/>
      <w:lvlText w:val="(%2)"/>
      <w:numFmt w:val="upperLetter"/>
      <w:start w:val="4"/>
    </w:lvl>
  </w:abstractNum>
  <w:abstractNum w:abstractNumId="1170">
    <w:nsid w:val="46BE9A73"/>
    <w:multiLevelType w:val="hybridMultilevel"/>
    <w:lvl w:ilvl="0">
      <w:lvlJc w:val="left"/>
      <w:lvlText w:val="(%1)"/>
      <w:numFmt w:val="lowerRoman"/>
      <w:start w:val="13"/>
    </w:lvl>
    <w:lvl w:ilvl="1">
      <w:lvlJc w:val="left"/>
      <w:lvlText w:val="%2"/>
      <w:numFmt w:val="upperLetter"/>
      <w:start w:val="1"/>
    </w:lvl>
  </w:abstractNum>
  <w:abstractNum w:abstractNumId="1171">
    <w:nsid w:val="54D9439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72">
    <w:nsid w:val="4DB630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73">
    <w:nsid w:val="D023447"/>
    <w:multiLevelType w:val="hybridMultilevel"/>
    <w:lvl w:ilvl="0">
      <w:lvlJc w:val="left"/>
      <w:lvlText w:val="(%1)"/>
      <w:numFmt w:val="lowerRoman"/>
      <w:start w:val="5"/>
    </w:lvl>
  </w:abstractNum>
  <w:abstractNum w:abstractNumId="1174">
    <w:nsid w:val="7D0C325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75">
    <w:nsid w:val="73D616DF"/>
    <w:multiLevelType w:val="hybridMultilevel"/>
    <w:lvl w:ilvl="0">
      <w:lvlJc w:val="left"/>
      <w:lvlText w:val="(%1)"/>
      <w:numFmt w:val="lowerRoman"/>
      <w:start w:val="4"/>
    </w:lvl>
    <w:lvl w:ilvl="1">
      <w:lvlJc w:val="left"/>
      <w:lvlText w:val="(%2)"/>
      <w:numFmt w:val="upperLetter"/>
      <w:start w:val="2"/>
    </w:lvl>
    <w:lvl w:ilvl="2">
      <w:lvlJc w:val="left"/>
      <w:lvlText w:val="(%3)"/>
      <w:numFmt w:val="upperLetter"/>
      <w:start w:val="1"/>
    </w:lvl>
  </w:abstractNum>
  <w:abstractNum w:abstractNumId="1176">
    <w:nsid w:val="638131E9"/>
    <w:multiLevelType w:val="hybridMultilevel"/>
    <w:lvl w:ilvl="0">
      <w:lvlJc w:val="left"/>
      <w:lvlText w:val="(%1)"/>
      <w:numFmt w:val="lowerRoman"/>
      <w:start w:val="9"/>
    </w:lvl>
  </w:abstractNum>
  <w:abstractNum w:abstractNumId="1177">
    <w:nsid w:val="6A2EEC02"/>
    <w:multiLevelType w:val="hybridMultilevel"/>
    <w:lvl w:ilvl="0">
      <w:lvlJc w:val="left"/>
      <w:lvlText w:val="%1"/>
      <w:numFmt w:val="lowerLetter"/>
      <w:start w:val="1"/>
    </w:lvl>
    <w:lvl w:ilvl="1">
      <w:lvlJc w:val="left"/>
      <w:lvlText w:val="(%2)"/>
      <w:numFmt w:val="lowerRoman"/>
      <w:start w:val="17"/>
    </w:lvl>
  </w:abstractNum>
  <w:abstractNum w:abstractNumId="1178">
    <w:nsid w:val="306CA5CD"/>
    <w:multiLevelType w:val="hybridMultilevel"/>
    <w:lvl w:ilvl="0">
      <w:lvlJc w:val="left"/>
      <w:lvlText w:val="(%1)"/>
      <w:numFmt w:val="lowerLetter"/>
      <w:start w:val="3"/>
    </w:lvl>
    <w:lvl w:ilvl="1">
      <w:lvlJc w:val="left"/>
      <w:lvlText w:val="(%2)"/>
      <w:numFmt w:val="lowerRoman"/>
      <w:start w:val="1"/>
    </w:lvl>
  </w:abstractNum>
  <w:abstractNum w:abstractNumId="1179">
    <w:nsid w:val="5DDD5EA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1180">
    <w:nsid w:val="2F5A608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1181">
    <w:nsid w:val="4B12244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upperLetter"/>
      <w:start w:val="1"/>
    </w:lvl>
  </w:abstractNum>
  <w:abstractNum w:abstractNumId="1182">
    <w:nsid w:val="7C2404E0"/>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3"/>
    </w:lvl>
    <w:lvl w:ilvl="3">
      <w:lvlJc w:val="left"/>
      <w:lvlText w:val="%4"/>
      <w:numFmt w:val="upperLetter"/>
      <w:start w:val="1"/>
    </w:lvl>
  </w:abstractNum>
  <w:abstractNum w:abstractNumId="1183">
    <w:nsid w:val="494071C"/>
    <w:multiLevelType w:val="hybridMultilevel"/>
    <w:lvl w:ilvl="0">
      <w:lvlJc w:val="left"/>
      <w:lvlText w:val="(%1)"/>
      <w:numFmt w:val="lowerRoman"/>
      <w:start w:val="2"/>
    </w:lvl>
  </w:abstractNum>
  <w:abstractNum w:abstractNumId="1184">
    <w:nsid w:val="7A04E15A"/>
    <w:multiLevelType w:val="hybridMultilevel"/>
    <w:lvl w:ilvl="0">
      <w:lvlJc w:val="left"/>
      <w:lvlText w:val="(%1)"/>
      <w:numFmt w:val="lowerRoman"/>
      <w:start w:val="3"/>
    </w:lvl>
    <w:lvl w:ilvl="1">
      <w:lvlJc w:val="left"/>
      <w:lvlText w:val="(%2)"/>
      <w:numFmt w:val="upperLetter"/>
      <w:start w:val="2"/>
    </w:lvl>
  </w:abstractNum>
  <w:abstractNum w:abstractNumId="1185">
    <w:nsid w:val="73FD2EC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86">
    <w:nsid w:val="1A5DD53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87">
    <w:nsid w:val="730E923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88">
    <w:nsid w:val="2623685B"/>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189">
    <w:nsid w:val="51268543"/>
    <w:multiLevelType w:val="hybridMultilevel"/>
    <w:lvl w:ilvl="0">
      <w:lvlJc w:val="left"/>
      <w:lvlText w:val="(%1)"/>
      <w:numFmt w:val="lowerRoman"/>
      <w:start w:val="2"/>
    </w:lvl>
  </w:abstractNum>
  <w:abstractNum w:abstractNumId="1190">
    <w:nsid w:val="2911D55D"/>
    <w:multiLevelType w:val="hybridMultilevel"/>
    <w:lvl w:ilvl="0">
      <w:lvlJc w:val="left"/>
      <w:lvlText w:val="(%1)"/>
      <w:numFmt w:val="lowerRoman"/>
      <w:start w:val="7"/>
    </w:lvl>
  </w:abstractNum>
  <w:abstractNum w:abstractNumId="1191">
    <w:nsid w:val="7681390D"/>
    <w:multiLevelType w:val="hybridMultilevel"/>
    <w:lvl w:ilvl="0">
      <w:lvlJc w:val="left"/>
      <w:lvlText w:val="(%1)"/>
      <w:numFmt w:val="lowerRoman"/>
      <w:start w:val="13"/>
    </w:lvl>
  </w:abstractNum>
  <w:abstractNum w:abstractNumId="1192">
    <w:nsid w:val="5CA8CFB1"/>
    <w:multiLevelType w:val="hybridMultilevel"/>
    <w:lvl w:ilvl="0">
      <w:lvlJc w:val="left"/>
      <w:lvlText w:val="%1."/>
      <w:numFmt w:val="decimal"/>
      <w:start w:val="7"/>
    </w:lvl>
    <w:lvl w:ilvl="1">
      <w:lvlJc w:val="left"/>
      <w:lvlText w:val="(%2)"/>
      <w:numFmt w:val="lowerLetter"/>
      <w:start w:val="1"/>
    </w:lvl>
  </w:abstractNum>
  <w:abstractNum w:abstractNumId="1193">
    <w:nsid w:val="51C6120F"/>
    <w:multiLevelType w:val="hybridMultilevel"/>
    <w:lvl w:ilvl="0">
      <w:lvlJc w:val="left"/>
      <w:lvlText w:val="%1."/>
      <w:numFmt w:val="decimal"/>
      <w:start w:val="10"/>
    </w:lvl>
    <w:lvl w:ilvl="1">
      <w:lvlJc w:val="left"/>
      <w:lvlText w:val="(%2)"/>
      <w:numFmt w:val="lowerLetter"/>
      <w:start w:val="1"/>
    </w:lvl>
  </w:abstractNum>
  <w:abstractNum w:abstractNumId="1194">
    <w:nsid w:val="1C99B2E5"/>
    <w:multiLevelType w:val="hybridMultilevel"/>
    <w:lvl w:ilvl="0">
      <w:lvlJc w:val="left"/>
      <w:lvlText w:val="%1."/>
      <w:numFmt w:val="decimal"/>
      <w:start w:val="12"/>
    </w:lvl>
    <w:lvl w:ilvl="1">
      <w:lvlJc w:val="left"/>
      <w:lvlText w:val="(%2)"/>
      <w:numFmt w:val="lowerLetter"/>
      <w:start w:val="1"/>
    </w:lvl>
  </w:abstractNum>
  <w:abstractNum w:abstractNumId="1195">
    <w:nsid w:val="31069533"/>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96">
    <w:nsid w:val="2D2D69A0"/>
    <w:multiLevelType w:val="hybridMultilevel"/>
    <w:lvl w:ilvl="0">
      <w:lvlJc w:val="left"/>
      <w:lvlText w:val="(%1)"/>
      <w:numFmt w:val="lowerRoman"/>
      <w:start w:val="2"/>
    </w:lvl>
  </w:abstractNum>
  <w:abstractNum w:abstractNumId="1197">
    <w:nsid w:val="15583DCC"/>
    <w:multiLevelType w:val="hybridMultilevel"/>
    <w:lvl w:ilvl="0">
      <w:lvlJc w:val="left"/>
      <w:lvlText w:val="(%1)"/>
      <w:numFmt w:val="lowerLetter"/>
      <w:start w:val="3"/>
    </w:lvl>
    <w:lvl w:ilvl="1">
      <w:lvlJc w:val="left"/>
      <w:lvlText w:val="(%2)"/>
      <w:numFmt w:val="lowerRoman"/>
      <w:start w:val="1"/>
    </w:lvl>
  </w:abstractNum>
  <w:abstractNum w:abstractNumId="1198">
    <w:nsid w:val="35B23FE3"/>
    <w:multiLevelType w:val="hybridMultilevel"/>
    <w:lvl w:ilvl="0">
      <w:lvlJc w:val="left"/>
      <w:lvlText w:val="(%1)"/>
      <w:numFmt w:val="decimal"/>
      <w:start w:val="1"/>
    </w:lvl>
  </w:abstractNum>
  <w:abstractNum w:abstractNumId="1199">
    <w:nsid w:val="6851527F"/>
    <w:multiLevelType w:val="hybridMultilevel"/>
    <w:lvl w:ilvl="0">
      <w:lvlJc w:val="left"/>
      <w:lvlText w:val="(%1)"/>
      <w:numFmt w:val="decimal"/>
      <w:start w:val="1"/>
    </w:lvl>
  </w:abstractNum>
  <w:abstractNum w:abstractNumId="1200">
    <w:nsid w:val="3523A650"/>
    <w:multiLevelType w:val="hybridMultilevel"/>
    <w:lvl w:ilvl="0">
      <w:lvlJc w:val="left"/>
      <w:lvlText w:val="(%1)"/>
      <w:numFmt w:val="decimal"/>
      <w:start w:val="1"/>
    </w:lvl>
  </w:abstractNum>
  <w:abstractNum w:abstractNumId="1201">
    <w:nsid w:val="7C70DA57"/>
    <w:multiLevelType w:val="hybridMultilevel"/>
    <w:lvl w:ilvl="0">
      <w:lvlJc w:val="left"/>
      <w:lvlText w:val="(%1)"/>
      <w:numFmt w:val="decimal"/>
      <w:start w:val="1"/>
    </w:lvl>
  </w:abstractNum>
  <w:abstractNum w:abstractNumId="1202">
    <w:nsid w:val="3D2A961A"/>
    <w:multiLevelType w:val="hybridMultilevel"/>
    <w:lvl w:ilvl="0">
      <w:lvlJc w:val="left"/>
      <w:lvlText w:val="(%1)"/>
      <w:numFmt w:val="decimal"/>
      <w:start w:val="1"/>
    </w:lvl>
  </w:abstractNum>
  <w:abstractNum w:abstractNumId="1203">
    <w:nsid w:val="2D9D673"/>
    <w:multiLevelType w:val="hybridMultilevel"/>
    <w:lvl w:ilvl="0">
      <w:lvlJc w:val="left"/>
      <w:lvlText w:val="(%1)"/>
      <w:numFmt w:val="decimal"/>
      <w:start w:val="1"/>
    </w:lvl>
  </w:abstractNum>
  <w:abstractNum w:abstractNumId="1204">
    <w:nsid w:val="9730E9E"/>
    <w:multiLevelType w:val="hybridMultilevel"/>
    <w:lvl w:ilvl="0">
      <w:lvlJc w:val="left"/>
      <w:lvlText w:val="(%1)"/>
      <w:numFmt w:val="decimal"/>
      <w:start w:val="10"/>
    </w:lvl>
  </w:abstractNum>
  <w:abstractNum w:abstractNumId="1205">
    <w:nsid w:val="3A36C870"/>
    <w:multiLevelType w:val="hybridMultilevel"/>
    <w:lvl w:ilvl="0">
      <w:lvlJc w:val="left"/>
      <w:lvlText w:val="(%1)"/>
      <w:numFmt w:val="decimal"/>
      <w:start w:val="1"/>
    </w:lvl>
  </w:abstractNum>
  <w:abstractNum w:abstractNumId="1206">
    <w:nsid w:val="76AFED52"/>
    <w:multiLevelType w:val="hybridMultilevel"/>
    <w:lvl w:ilvl="0">
      <w:lvlJc w:val="left"/>
      <w:lvlText w:val="(%1)"/>
      <w:numFmt w:val="decimal"/>
      <w:start w:val="1"/>
    </w:lvl>
  </w:abstractNum>
  <w:abstractNum w:abstractNumId="1207">
    <w:nsid w:val="6CF44088"/>
    <w:multiLevelType w:val="hybridMultilevel"/>
    <w:lvl w:ilvl="0">
      <w:lvlJc w:val="left"/>
      <w:lvlText w:val="(%1)"/>
      <w:numFmt w:val="decimal"/>
      <w:start w:val="1"/>
    </w:lvl>
  </w:abstractNum>
  <w:abstractNum w:abstractNumId="1208">
    <w:nsid w:val="2465B473"/>
    <w:multiLevelType w:val="hybridMultilevel"/>
    <w:lvl w:ilvl="0">
      <w:lvlJc w:val="left"/>
      <w:lvlText w:val="%1"/>
      <w:numFmt w:val="decimal"/>
      <w:start w:val="1"/>
    </w:lvl>
    <w:lvl w:ilvl="1">
      <w:lvlJc w:val="left"/>
      <w:lvlText w:val="(%2)"/>
      <w:numFmt w:val="decimal"/>
      <w:start w:val="3"/>
    </w:lvl>
  </w:abstractNum>
  <w:abstractNum w:abstractNumId="1209">
    <w:nsid w:val="271C9320"/>
    <w:multiLevelType w:val="hybridMultilevel"/>
    <w:lvl w:ilvl="0">
      <w:lvlJc w:val="left"/>
      <w:lvlText w:val="(%1)"/>
      <w:numFmt w:val="decimal"/>
      <w:start w:val="1"/>
    </w:lvl>
    <w:lvl w:ilvl="1">
      <w:lvlJc w:val="left"/>
      <w:lvlText w:val="%2"/>
      <w:numFmt w:val="decimal"/>
      <w:start w:val="1"/>
    </w:lvl>
  </w:abstractNum>
  <w:abstractNum w:abstractNumId="1210">
    <w:nsid w:val="4AD19F31"/>
    <w:multiLevelType w:val="hybridMultilevel"/>
    <w:lvl w:ilvl="0">
      <w:lvlJc w:val="left"/>
      <w:lvlText w:val="(%1)"/>
      <w:numFmt w:val="decimal"/>
      <w:start w:val="1"/>
    </w:lvl>
    <w:lvl w:ilvl="1">
      <w:lvlJc w:val="left"/>
      <w:lvlText w:val="(%2)"/>
      <w:numFmt w:val="lowerLetter"/>
      <w:start w:val="1"/>
    </w:lvl>
  </w:abstractNum>
  <w:abstractNum w:abstractNumId="1211">
    <w:nsid w:val="53C01502"/>
    <w:multiLevelType w:val="hybridMultilevel"/>
    <w:lvl w:ilvl="0">
      <w:lvlJc w:val="left"/>
      <w:lvlText w:val="(%1)"/>
      <w:numFmt w:val="decimal"/>
      <w:start w:val="1"/>
    </w:lvl>
  </w:abstractNum>
  <w:abstractNum w:abstractNumId="1212">
    <w:nsid w:val="722EB761"/>
    <w:multiLevelType w:val="hybridMultilevel"/>
    <w:lvl w:ilvl="0">
      <w:lvlJc w:val="left"/>
      <w:lvlText w:val="(%1)"/>
      <w:numFmt w:val="decimal"/>
      <w:start w:val="1"/>
    </w:lvl>
  </w:abstractNum>
  <w:abstractNum w:abstractNumId="1213">
    <w:nsid w:val="46F5A411"/>
    <w:multiLevelType w:val="hybridMultilevel"/>
    <w:lvl w:ilvl="0">
      <w:lvlJc w:val="left"/>
      <w:lvlText w:val="(%1)"/>
      <w:numFmt w:val="decimal"/>
      <w:start w:val="1"/>
    </w:lvl>
  </w:abstractNum>
  <w:abstractNum w:abstractNumId="1214">
    <w:nsid w:val="58541C1F"/>
    <w:multiLevelType w:val="hybridMultilevel"/>
    <w:lvl w:ilvl="0">
      <w:lvlJc w:val="left"/>
      <w:lvlText w:val="(%1)"/>
      <w:numFmt w:val="decimal"/>
      <w:start w:val="1"/>
    </w:lvl>
  </w:abstractNum>
  <w:abstractNum w:abstractNumId="1215">
    <w:nsid w:val="6C3398BB"/>
    <w:multiLevelType w:val="hybridMultilevel"/>
    <w:lvl w:ilvl="0">
      <w:lvlJc w:val="left"/>
      <w:lvlText w:val="%1"/>
      <w:numFmt w:val="lowerRoman"/>
      <w:start w:val="1"/>
    </w:lvl>
    <w:lvl w:ilvl="1">
      <w:lvlJc w:val="left"/>
      <w:lvlText w:val="(%2)"/>
      <w:numFmt w:val="decimal"/>
      <w:start w:val="1"/>
    </w:lvl>
  </w:abstractNum>
  <w:abstractNum w:abstractNumId="1216">
    <w:nsid w:val="3AF2D2D2"/>
    <w:multiLevelType w:val="hybridMultilevel"/>
    <w:lvl w:ilvl="0">
      <w:lvlJc w:val="left"/>
      <w:lvlText w:val="(%1)"/>
      <w:numFmt w:val="lowerRoman"/>
      <w:start w:val="2"/>
    </w:lvl>
    <w:lvl w:ilvl="1">
      <w:lvlJc w:val="left"/>
      <w:lvlText w:val="(%2)"/>
      <w:numFmt w:val="decimal"/>
      <w:start w:val="2"/>
    </w:lvl>
  </w:abstractNum>
  <w:abstractNum w:abstractNumId="1217">
    <w:nsid w:val="72B1F15E"/>
    <w:multiLevelType w:val="hybridMultilevel"/>
    <w:lvl w:ilvl="0">
      <w:lvlJc w:val="left"/>
      <w:lvlText w:val="(%1)"/>
      <w:numFmt w:val="decimal"/>
      <w:start w:val="4"/>
    </w:lvl>
  </w:abstractNum>
  <w:abstractNum w:abstractNumId="1218">
    <w:nsid w:val="5F422AF6"/>
    <w:multiLevelType w:val="hybridMultilevel"/>
    <w:lvl w:ilvl="0">
      <w:lvlJc w:val="left"/>
      <w:lvlText w:val="(%1)"/>
      <w:numFmt w:val="lowerLetter"/>
      <w:start w:val="1"/>
    </w:lvl>
  </w:abstractNum>
  <w:abstractNum w:abstractNumId="1219">
    <w:nsid w:val="61163B2E"/>
    <w:multiLevelType w:val="hybridMultilevel"/>
    <w:lvl w:ilvl="0">
      <w:lvlJc w:val="left"/>
      <w:lvlText w:val="(%1)"/>
      <w:numFmt w:val="decimal"/>
      <w:start w:val="1"/>
    </w:lvl>
  </w:abstractNum>
  <w:abstractNum w:abstractNumId="1220">
    <w:nsid w:val="43D876A1"/>
    <w:multiLevelType w:val="hybridMultilevel"/>
    <w:lvl w:ilvl="0">
      <w:lvlJc w:val="left"/>
      <w:lvlText w:val="(%1)"/>
      <w:numFmt w:val="decimal"/>
      <w:start w:val="1"/>
    </w:lvl>
  </w:abstractNum>
  <w:abstractNum w:abstractNumId="1221">
    <w:nsid w:val="8540053"/>
    <w:multiLevelType w:val="hybridMultilevel"/>
    <w:lvl w:ilvl="0">
      <w:lvlJc w:val="left"/>
      <w:lvlText w:val="(%1)"/>
      <w:numFmt w:val="upperLetter"/>
      <w:start w:val="1"/>
    </w:lvl>
  </w:abstractNum>
  <w:abstractNum w:abstractNumId="1222">
    <w:nsid w:val="5797743B"/>
    <w:multiLevelType w:val="hybridMultilevel"/>
    <w:lvl w:ilvl="0">
      <w:lvlJc w:val="left"/>
      <w:lvlText w:val="%1"/>
      <w:numFmt w:val="lowerLetter"/>
      <w:start w:val="1"/>
    </w:lvl>
    <w:lvl w:ilvl="1">
      <w:lvlJc w:val="left"/>
      <w:lvlText w:val="(%2)"/>
      <w:numFmt w:val="decimal"/>
      <w:start w:val="1"/>
    </w:lvl>
  </w:abstractNum>
  <w:abstractNum w:abstractNumId="1223">
    <w:nsid w:val="20814652"/>
    <w:multiLevelType w:val="hybridMultilevel"/>
    <w:lvl w:ilvl="0">
      <w:lvlJc w:val="left"/>
      <w:lvlText w:val="(%1)"/>
      <w:numFmt w:val="lowerLetter"/>
      <w:start w:val="1"/>
    </w:lvl>
    <w:lvl w:ilvl="1">
      <w:lvlJc w:val="left"/>
      <w:lvlText w:val="(%2)"/>
      <w:numFmt w:val="decimal"/>
      <w:start w:val="2"/>
    </w:lvl>
  </w:abstractNum>
  <w:abstractNum w:abstractNumId="1224">
    <w:nsid w:val="5A1A1262"/>
    <w:multiLevelType w:val="hybridMultilevel"/>
    <w:lvl w:ilvl="0">
      <w:lvlJc w:val="left"/>
      <w:lvlText w:val="(%1)"/>
      <w:numFmt w:val="decimal"/>
      <w:start w:val="1"/>
    </w:lvl>
  </w:abstractNum>
  <w:abstractNum w:abstractNumId="1225">
    <w:nsid w:val="74312721"/>
    <w:multiLevelType w:val="hybridMultilevel"/>
    <w:lvl w:ilvl="0">
      <w:lvlJc w:val="left"/>
      <w:lvlText w:val="(%1)"/>
      <w:numFmt w:val="decimal"/>
      <w:start w:val="1"/>
    </w:lvl>
  </w:abstractNum>
  <w:abstractNum w:abstractNumId="1226">
    <w:nsid w:val="5187DB85"/>
    <w:multiLevelType w:val="hybridMultilevel"/>
    <w:lvl w:ilvl="0">
      <w:lvlJc w:val="left"/>
      <w:lvlText w:val="%1"/>
      <w:numFmt w:val="decimal"/>
      <w:start w:val="1"/>
    </w:lvl>
    <w:lvl w:ilvl="1">
      <w:lvlJc w:val="left"/>
      <w:lvlText w:val="(%2)"/>
      <w:numFmt w:val="upperLetter"/>
      <w:start w:val="1"/>
    </w:lvl>
  </w:abstractNum>
  <w:abstractNum w:abstractNumId="1227">
    <w:nsid w:val="7477C03"/>
    <w:multiLevelType w:val="hybridMultilevel"/>
    <w:lvl w:ilvl="0">
      <w:lvlJc w:val="left"/>
      <w:lvlText w:val="(%1)"/>
      <w:numFmt w:val="decimal"/>
      <w:start w:val="4"/>
    </w:lvl>
    <w:lvl w:ilvl="1">
      <w:lvlJc w:val="left"/>
      <w:lvlText w:val="%2"/>
      <w:numFmt w:val="upperLetter"/>
      <w:start w:val="1"/>
    </w:lvl>
  </w:abstractNum>
  <w:abstractNum w:abstractNumId="1228">
    <w:nsid w:val="98964ED"/>
    <w:multiLevelType w:val="hybridMultilevel"/>
    <w:lvl w:ilvl="0">
      <w:lvlJc w:val="left"/>
      <w:lvlText w:val="%1"/>
      <w:numFmt w:val="lowerLetter"/>
      <w:start w:val="1"/>
    </w:lvl>
    <w:lvl w:ilvl="1">
      <w:lvlJc w:val="left"/>
      <w:lvlText w:val="(%2)"/>
      <w:numFmt w:val="decimal"/>
      <w:start w:val="12"/>
    </w:lvl>
  </w:abstractNum>
  <w:abstractNum w:abstractNumId="1229">
    <w:nsid w:val="73A1B69"/>
    <w:multiLevelType w:val="hybridMultilevel"/>
    <w:lvl w:ilvl="0">
      <w:lvlJc w:val="left"/>
      <w:lvlText w:val="(%1)"/>
      <w:numFmt w:val="lowerLetter"/>
      <w:start w:val="25"/>
    </w:lvl>
    <w:lvl w:ilvl="1">
      <w:lvlJc w:val="left"/>
      <w:lvlText w:val="(%2)"/>
      <w:numFmt w:val="decimal"/>
      <w:start w:val="22"/>
    </w:lvl>
  </w:abstractNum>
  <w:abstractNum w:abstractNumId="1230">
    <w:nsid w:val="6F98CE82"/>
    <w:multiLevelType w:val="hybridMultilevel"/>
    <w:lvl w:ilvl="0">
      <w:lvlJc w:val="left"/>
      <w:lvlText w:val="(%1)"/>
      <w:numFmt w:val="decimal"/>
      <w:start w:val="24"/>
    </w:lvl>
  </w:abstractNum>
  <w:abstractNum w:abstractNumId="1231">
    <w:nsid w:val="3EAD0B3E"/>
    <w:multiLevelType w:val="hybridMultilevel"/>
    <w:lvl w:ilvl="0">
      <w:lvlJc w:val="left"/>
      <w:lvlText w:val="(%1)"/>
      <w:numFmt w:val="decimal"/>
      <w:start w:val="1"/>
    </w:lvl>
  </w:abstractNum>
  <w:abstractNum w:abstractNumId="1232">
    <w:nsid w:val="3AAF5C0"/>
    <w:multiLevelType w:val="hybridMultilevel"/>
    <w:lvl w:ilvl="0">
      <w:lvlJc w:val="left"/>
      <w:lvlText w:val="(%1)"/>
      <w:numFmt w:val="decimal"/>
      <w:start w:val="8"/>
    </w:lvl>
  </w:abstractNum>
  <w:abstractNum w:abstractNumId="1233">
    <w:nsid w:val="2CC3649C"/>
    <w:multiLevelType w:val="hybridMultilevel"/>
    <w:lvl w:ilvl="0">
      <w:lvlJc w:val="left"/>
      <w:lvlText w:val="(%1)"/>
      <w:numFmt w:val="decimal"/>
      <w:start w:val="12"/>
    </w:lvl>
    <w:lvl w:ilvl="1">
      <w:lvlJc w:val="left"/>
      <w:lvlText w:val="(%2)"/>
      <w:numFmt w:val="upperLetter"/>
      <w:start w:val="1"/>
    </w:lvl>
  </w:abstractNum>
  <w:abstractNum w:abstractNumId="1234">
    <w:nsid w:val="4186E1B1"/>
    <w:multiLevelType w:val="hybridMultilevel"/>
    <w:lvl w:ilvl="0">
      <w:lvlJc w:val="left"/>
      <w:lvlText w:val="(%1)"/>
      <w:numFmt w:val="decimal"/>
      <w:start w:val="22"/>
    </w:lvl>
  </w:abstractNum>
  <w:abstractNum w:abstractNumId="1235">
    <w:nsid w:val="D1E045E"/>
    <w:multiLevelType w:val="hybridMultilevel"/>
    <w:lvl w:ilvl="0">
      <w:lvlJc w:val="left"/>
      <w:lvlText w:val="(%1)"/>
      <w:numFmt w:val="decimal"/>
      <w:start w:val="1"/>
    </w:lvl>
  </w:abstractNum>
  <w:abstractNum w:abstractNumId="1236">
    <w:nsid w:val="66FA2D0C"/>
    <w:multiLevelType w:val="hybridMultilevel"/>
    <w:lvl w:ilvl="0">
      <w:lvlJc w:val="left"/>
      <w:lvlText w:val="(%1)"/>
      <w:numFmt w:val="decimal"/>
      <w:start w:val="1"/>
    </w:lvl>
  </w:abstractNum>
  <w:abstractNum w:abstractNumId="1237">
    <w:nsid w:val="3836CF03"/>
    <w:multiLevelType w:val="hybridMultilevel"/>
    <w:lvl w:ilvl="0">
      <w:lvlJc w:val="left"/>
      <w:lvlText w:val="(%1)"/>
      <w:numFmt w:val="decimal"/>
      <w:start w:val="1"/>
    </w:lvl>
  </w:abstractNum>
  <w:abstractNum w:abstractNumId="1238">
    <w:nsid w:val="7A1244E6"/>
    <w:multiLevelType w:val="hybridMultilevel"/>
    <w:lvl w:ilvl="0">
      <w:lvlJc w:val="left"/>
      <w:lvlText w:val="(%1)"/>
      <w:numFmt w:val="decimal"/>
      <w:start w:val="1"/>
    </w:lvl>
  </w:abstractNum>
  <w:abstractNum w:abstractNumId="1239">
    <w:nsid w:val="B5FE17F"/>
    <w:multiLevelType w:val="hybridMultilevel"/>
    <w:lvl w:ilvl="0">
      <w:lvlJc w:val="left"/>
      <w:lvlText w:val="(%1)"/>
      <w:numFmt w:val="decimal"/>
      <w:start w:val="1"/>
    </w:lvl>
  </w:abstractNum>
  <w:abstractNum w:abstractNumId="1240">
    <w:nsid w:val="5F536223"/>
    <w:multiLevelType w:val="hybridMultilevel"/>
    <w:lvl w:ilvl="0">
      <w:lvlJc w:val="left"/>
      <w:lvlText w:val="(%1)"/>
      <w:numFmt w:val="decimal"/>
      <w:start w:val="1"/>
    </w:lvl>
  </w:abstractNum>
  <w:abstractNum w:abstractNumId="1241">
    <w:nsid w:val="44E3E418"/>
    <w:multiLevelType w:val="hybridMultilevel"/>
    <w:lvl w:ilvl="0">
      <w:lvlJc w:val="left"/>
      <w:lvlText w:val="%1."/>
      <w:numFmt w:val="decimal"/>
      <w:start w:val="1"/>
    </w:lvl>
    <w:lvl w:ilvl="1">
      <w:lvlJc w:val="left"/>
      <w:lvlText w:val="(%2)"/>
      <w:numFmt w:val="lowerLetter"/>
      <w:start w:val="1"/>
    </w:lvl>
  </w:abstractNum>
  <w:abstractNum w:abstractNumId="1242">
    <w:nsid w:val="5F1FF682"/>
    <w:multiLevelType w:val="hybridMultilevel"/>
    <w:lvl w:ilvl="0">
      <w:lvlJc w:val="left"/>
      <w:lvlText w:val="%1."/>
      <w:numFmt w:val="decimal"/>
      <w:start w:val="4"/>
    </w:lvl>
    <w:lvl w:ilvl="1">
      <w:lvlJc w:val="left"/>
      <w:lvlText w:val="(%2)"/>
      <w:numFmt w:val="lowerLetter"/>
      <w:start w:val="1"/>
    </w:lvl>
  </w:abstractNum>
  <w:abstractNum w:abstractNumId="1243">
    <w:nsid w:val="51821985"/>
    <w:multiLevelType w:val="hybridMultilevel"/>
    <w:lvl w:ilvl="0">
      <w:lvlJc w:val="left"/>
      <w:lvlText w:val="%1."/>
      <w:numFmt w:val="decimal"/>
      <w:start w:val="1"/>
    </w:lvl>
    <w:lvl w:ilvl="1">
      <w:lvlJc w:val="left"/>
      <w:lvlText w:val="(%2)"/>
      <w:numFmt w:val="lowerLetter"/>
      <w:start w:val="1"/>
    </w:lvl>
  </w:abstractNum>
  <w:abstractNum w:abstractNumId="1244">
    <w:nsid w:val="BD98829"/>
    <w:multiLevelType w:val="hybridMultilevel"/>
    <w:lvl w:ilvl="0">
      <w:lvlJc w:val="left"/>
      <w:lvlText w:val="%1"/>
      <w:numFmt w:val="decimal"/>
      <w:start w:val="1"/>
    </w:lvl>
    <w:lvl w:ilvl="1">
      <w:lvlJc w:val="left"/>
      <w:lvlText w:val="(%2)"/>
      <w:numFmt w:val="lowerLetter"/>
      <w:start w:val="9"/>
    </w:lvl>
  </w:abstractNum>
  <w:abstractNum w:abstractNumId="1245">
    <w:nsid w:val="377412A1"/>
    <w:multiLevelType w:val="hybridMultilevel"/>
    <w:lvl w:ilvl="0">
      <w:lvlJc w:val="left"/>
      <w:lvlText w:val="%1."/>
      <w:numFmt w:val="decimal"/>
      <w:start w:val="2"/>
    </w:lvl>
    <w:lvl w:ilvl="1">
      <w:lvlJc w:val="left"/>
      <w:lvlText w:val="(%2)"/>
      <w:numFmt w:val="lowerLetter"/>
      <w:start w:val="1"/>
    </w:lvl>
  </w:abstractNum>
  <w:abstractNum w:abstractNumId="1246">
    <w:nsid w:val="3DB5B240"/>
    <w:multiLevelType w:val="hybridMultilevel"/>
    <w:lvl w:ilvl="0">
      <w:lvlJc w:val="left"/>
      <w:lvlText w:val="(%1)"/>
      <w:numFmt w:val="lowerLetter"/>
      <w:start w:val="3"/>
    </w:lvl>
  </w:abstractNum>
  <w:abstractNum w:abstractNumId="1247">
    <w:nsid w:val="46CC5AFC"/>
    <w:multiLevelType w:val="hybridMultilevel"/>
    <w:lvl w:ilvl="0">
      <w:lvlJc w:val="left"/>
      <w:lvlText w:val="%1."/>
      <w:numFmt w:val="decimal"/>
      <w:start w:val="5"/>
    </w:lvl>
    <w:lvl w:ilvl="1">
      <w:lvlJc w:val="left"/>
      <w:lvlText w:val="(%2)"/>
      <w:numFmt w:val="lowerLetter"/>
      <w:start w:val="1"/>
    </w:lvl>
  </w:abstractNum>
  <w:abstractNum w:abstractNumId="1248">
    <w:nsid w:val="2A2603FF"/>
    <w:multiLevelType w:val="hybridMultilevel"/>
    <w:lvl w:ilvl="0">
      <w:lvlJc w:val="left"/>
      <w:lvlText w:val="%1."/>
      <w:numFmt w:val="decimal"/>
      <w:start w:val="1"/>
    </w:lvl>
    <w:lvl w:ilvl="1">
      <w:lvlJc w:val="left"/>
      <w:lvlText w:val="(%2)"/>
      <w:numFmt w:val="lowerLetter"/>
      <w:start w:val="1"/>
    </w:lvl>
  </w:abstractNum>
  <w:abstractNum w:abstractNumId="1249">
    <w:nsid w:val="1CF7DD37"/>
    <w:multiLevelType w:val="hybridMultilevel"/>
    <w:lvl w:ilvl="0">
      <w:lvlJc w:val="left"/>
      <w:lvlText w:val="(%1)"/>
      <w:numFmt w:val="lowerLetter"/>
      <w:start w:val="11"/>
    </w:lvl>
  </w:abstractNum>
  <w:abstractNum w:abstractNumId="1250">
    <w:nsid w:val="27E2962A"/>
    <w:multiLevelType w:val="hybridMultilevel"/>
    <w:lvl w:ilvl="0">
      <w:lvlJc w:val="left"/>
      <w:lvlText w:val="(%1)"/>
      <w:numFmt w:val="lowerLetter"/>
      <w:start w:val="25"/>
    </w:lvl>
  </w:abstractNum>
  <w:abstractNum w:abstractNumId="1251">
    <w:nsid w:val="6DFE7AA0"/>
    <w:multiLevelType w:val="hybridMultilevel"/>
    <w:lvl w:ilvl="0">
      <w:lvlJc w:val="left"/>
      <w:lvlText w:val="(%1)"/>
      <w:numFmt w:val="lowerLetter"/>
      <w:start w:val="27"/>
    </w:lvl>
  </w:abstractNum>
  <w:abstractNum w:abstractNumId="1252">
    <w:nsid w:val="254BDD8A"/>
    <w:multiLevelType w:val="hybridMultilevel"/>
    <w:lvl w:ilvl="0">
      <w:lvlJc w:val="left"/>
      <w:lvlText w:val="%1"/>
      <w:numFmt w:val="decimal"/>
      <w:start w:val="1"/>
    </w:lvl>
    <w:lvl w:ilvl="1">
      <w:lvlJc w:val="left"/>
      <w:lvlText w:val="(%2)"/>
      <w:numFmt w:val="lowerLetter"/>
      <w:start w:val="43"/>
    </w:lvl>
  </w:abstractNum>
  <w:abstractNum w:abstractNumId="1253">
    <w:nsid w:val="7F7A0A65"/>
    <w:multiLevelType w:val="hybridMultilevel"/>
    <w:lvl w:ilvl="0">
      <w:lvlJc w:val="left"/>
      <w:lvlText w:val="%1."/>
      <w:numFmt w:val="decimal"/>
      <w:start w:val="2"/>
    </w:lvl>
    <w:lvl w:ilvl="1">
      <w:lvlJc w:val="left"/>
      <w:lvlText w:val="(%2)"/>
      <w:numFmt w:val="lowerLetter"/>
      <w:start w:val="1"/>
    </w:lvl>
  </w:abstractNum>
  <w:abstractNum w:abstractNumId="1254">
    <w:nsid w:val="E7FC0F3"/>
    <w:multiLevelType w:val="hybridMultilevel"/>
    <w:lvl w:ilvl="0">
      <w:lvlJc w:val="left"/>
      <w:lvlText w:val="%1."/>
      <w:numFmt w:val="decimal"/>
      <w:start w:val="1"/>
    </w:lvl>
  </w:abstractNum>
  <w:abstractNum w:abstractNumId="1255">
    <w:nsid w:val="7F65EFED"/>
    <w:multiLevelType w:val="hybridMultilevel"/>
    <w:lvl w:ilvl="0">
      <w:lvlJc w:val="left"/>
      <w:lvlText w:val="%1."/>
      <w:numFmt w:val="decimal"/>
      <w:start w:val="1"/>
    </w:lvl>
    <w:lvl w:ilvl="1">
      <w:lvlJc w:val="left"/>
      <w:lvlText w:val="(%2)"/>
      <w:numFmt w:val="lowerLetter"/>
      <w:start w:val="1"/>
    </w:lvl>
  </w:abstractNum>
  <w:abstractNum w:abstractNumId="1256">
    <w:nsid w:val="73AB3186"/>
    <w:multiLevelType w:val="hybridMultilevel"/>
    <w:lvl w:ilvl="0">
      <w:lvlJc w:val="left"/>
      <w:lvlText w:val="%1."/>
      <w:numFmt w:val="decimal"/>
      <w:start w:val="1"/>
    </w:lvl>
    <w:lvl w:ilvl="1">
      <w:lvlJc w:val="left"/>
      <w:lvlText w:val="(%2)"/>
      <w:numFmt w:val="lowerLetter"/>
      <w:start w:val="1"/>
    </w:lvl>
  </w:abstractNum>
  <w:abstractNum w:abstractNumId="1257">
    <w:nsid w:val="60079C78"/>
    <w:multiLevelType w:val="hybridMultilevel"/>
    <w:lvl w:ilvl="0">
      <w:lvlJc w:val="left"/>
      <w:lvlText w:val="%1."/>
      <w:numFmt w:val="decimal"/>
      <w:start w:val="1"/>
    </w:lvl>
  </w:abstractNum>
  <w:abstractNum w:abstractNumId="1258">
    <w:nsid w:val="6AD6B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80" Type="http://schemas.openxmlformats.org/officeDocument/2006/relationships/image" Target="media/image163.png"/><Relationship Id="rId188" Type="http://schemas.openxmlformats.org/officeDocument/2006/relationships/image" Target="media/image164.png"/><Relationship Id="rId198" Type="http://schemas.openxmlformats.org/officeDocument/2006/relationships/image" Target="media/image165.png"/><Relationship Id="rId210"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33" Type="http://schemas.openxmlformats.org/officeDocument/2006/relationships/image" Target="media/image287.png"/><Relationship Id="rId334"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96" Type="http://schemas.openxmlformats.org/officeDocument/2006/relationships/image" Target="media/image350.png"/><Relationship Id="rId397" Type="http://schemas.openxmlformats.org/officeDocument/2006/relationships/image" Target="media/image351.png"/><Relationship Id="rId398"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403" Type="http://schemas.openxmlformats.org/officeDocument/2006/relationships/image" Target="media/image357.png"/><Relationship Id="rId404" Type="http://schemas.openxmlformats.org/officeDocument/2006/relationships/image" Target="media/image358.png"/><Relationship Id="rId405"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422" Type="http://schemas.openxmlformats.org/officeDocument/2006/relationships/image" Target="media/image376.png"/><Relationship Id="rId423" Type="http://schemas.openxmlformats.org/officeDocument/2006/relationships/image" Target="media/image377.png"/><Relationship Id="rId424" Type="http://schemas.openxmlformats.org/officeDocument/2006/relationships/image" Target="media/image378.png"/><Relationship Id="rId425" Type="http://schemas.openxmlformats.org/officeDocument/2006/relationships/image" Target="media/image379.png"/><Relationship Id="rId426" Type="http://schemas.openxmlformats.org/officeDocument/2006/relationships/image" Target="media/image380.png"/><Relationship Id="rId427" Type="http://schemas.openxmlformats.org/officeDocument/2006/relationships/image" Target="media/image381.png"/><Relationship Id="rId428" Type="http://schemas.openxmlformats.org/officeDocument/2006/relationships/image" Target="media/image382.png"/><Relationship Id="rId429" Type="http://schemas.openxmlformats.org/officeDocument/2006/relationships/image" Target="media/image383.png"/><Relationship Id="rId430" Type="http://schemas.openxmlformats.org/officeDocument/2006/relationships/image" Target="media/image384.png"/><Relationship Id="rId431" Type="http://schemas.openxmlformats.org/officeDocument/2006/relationships/image" Target="media/image385.png"/><Relationship Id="rId432" Type="http://schemas.openxmlformats.org/officeDocument/2006/relationships/image" Target="media/image386.png"/><Relationship Id="rId433" Type="http://schemas.openxmlformats.org/officeDocument/2006/relationships/image" Target="media/image387.png"/><Relationship Id="rId434" Type="http://schemas.openxmlformats.org/officeDocument/2006/relationships/image" Target="media/image388.png"/><Relationship Id="rId435" Type="http://schemas.openxmlformats.org/officeDocument/2006/relationships/image" Target="media/image389.png"/><Relationship Id="rId436" Type="http://schemas.openxmlformats.org/officeDocument/2006/relationships/image" Target="media/image390.png"/><Relationship Id="rId437" Type="http://schemas.openxmlformats.org/officeDocument/2006/relationships/image" Target="media/image391.png"/><Relationship Id="rId438" Type="http://schemas.openxmlformats.org/officeDocument/2006/relationships/image" Target="media/image392.png"/><Relationship Id="rId439" Type="http://schemas.openxmlformats.org/officeDocument/2006/relationships/image" Target="media/image393.png"/><Relationship Id="rId440" Type="http://schemas.openxmlformats.org/officeDocument/2006/relationships/image" Target="media/image394.png"/><Relationship Id="rId441" Type="http://schemas.openxmlformats.org/officeDocument/2006/relationships/image" Target="media/image395.png"/><Relationship Id="rId442" Type="http://schemas.openxmlformats.org/officeDocument/2006/relationships/image" Target="media/image396.png"/><Relationship Id="rId443" Type="http://schemas.openxmlformats.org/officeDocument/2006/relationships/image" Target="media/image397.png"/><Relationship Id="rId444" Type="http://schemas.openxmlformats.org/officeDocument/2006/relationships/image" Target="media/image398.png"/><Relationship Id="rId445" Type="http://schemas.openxmlformats.org/officeDocument/2006/relationships/image" Target="media/image399.png"/><Relationship Id="rId446" Type="http://schemas.openxmlformats.org/officeDocument/2006/relationships/image" Target="media/image400.png"/><Relationship Id="rId447" Type="http://schemas.openxmlformats.org/officeDocument/2006/relationships/image" Target="media/image401.png"/><Relationship Id="rId448" Type="http://schemas.openxmlformats.org/officeDocument/2006/relationships/image" Target="media/image402.png"/><Relationship Id="rId449" Type="http://schemas.openxmlformats.org/officeDocument/2006/relationships/image" Target="media/image403.png"/><Relationship Id="rId450" Type="http://schemas.openxmlformats.org/officeDocument/2006/relationships/image" Target="media/image404.png"/><Relationship Id="rId451" Type="http://schemas.openxmlformats.org/officeDocument/2006/relationships/image" Target="media/image405.png"/><Relationship Id="rId452" Type="http://schemas.openxmlformats.org/officeDocument/2006/relationships/image" Target="media/image406.png"/><Relationship Id="rId453" Type="http://schemas.openxmlformats.org/officeDocument/2006/relationships/image" Target="media/image407.png"/><Relationship Id="rId454" Type="http://schemas.openxmlformats.org/officeDocument/2006/relationships/image" Target="media/image408.png"/><Relationship Id="rId455" Type="http://schemas.openxmlformats.org/officeDocument/2006/relationships/image" Target="media/image409.png"/><Relationship Id="rId456" Type="http://schemas.openxmlformats.org/officeDocument/2006/relationships/image" Target="media/image410.png"/><Relationship Id="rId457" Type="http://schemas.openxmlformats.org/officeDocument/2006/relationships/image" Target="media/image411.png"/><Relationship Id="rId458" Type="http://schemas.openxmlformats.org/officeDocument/2006/relationships/image" Target="media/image412.png"/><Relationship Id="rId459" Type="http://schemas.openxmlformats.org/officeDocument/2006/relationships/image" Target="media/image413.png"/><Relationship Id="rId460" Type="http://schemas.openxmlformats.org/officeDocument/2006/relationships/image" Target="media/image414.png"/><Relationship Id="rId461" Type="http://schemas.openxmlformats.org/officeDocument/2006/relationships/image" Target="media/image415.png"/><Relationship Id="rId462" Type="http://schemas.openxmlformats.org/officeDocument/2006/relationships/image" Target="media/image416.png"/><Relationship Id="rId463" Type="http://schemas.openxmlformats.org/officeDocument/2006/relationships/image" Target="media/image417.png"/><Relationship Id="rId464" Type="http://schemas.openxmlformats.org/officeDocument/2006/relationships/image" Target="media/image418.png"/><Relationship Id="rId465" Type="http://schemas.openxmlformats.org/officeDocument/2006/relationships/image" Target="media/image419.png"/><Relationship Id="rId466" Type="http://schemas.openxmlformats.org/officeDocument/2006/relationships/image" Target="media/image420.png"/><Relationship Id="rId467" Type="http://schemas.openxmlformats.org/officeDocument/2006/relationships/image" Target="media/image421.png"/><Relationship Id="rId468" Type="http://schemas.openxmlformats.org/officeDocument/2006/relationships/image" Target="media/image422.png"/><Relationship Id="rId469" Type="http://schemas.openxmlformats.org/officeDocument/2006/relationships/image" Target="media/image423.png"/><Relationship Id="rId470" Type="http://schemas.openxmlformats.org/officeDocument/2006/relationships/image" Target="media/image424.png"/><Relationship Id="rId471" Type="http://schemas.openxmlformats.org/officeDocument/2006/relationships/image" Target="media/image425.png"/><Relationship Id="rId472" Type="http://schemas.openxmlformats.org/officeDocument/2006/relationships/image" Target="media/image426.png"/><Relationship Id="rId473" Type="http://schemas.openxmlformats.org/officeDocument/2006/relationships/image" Target="media/image427.png"/><Relationship Id="rId474" Type="http://schemas.openxmlformats.org/officeDocument/2006/relationships/image" Target="media/image428.png"/><Relationship Id="rId475" Type="http://schemas.openxmlformats.org/officeDocument/2006/relationships/image" Target="media/image429.png"/><Relationship Id="rId476" Type="http://schemas.openxmlformats.org/officeDocument/2006/relationships/image" Target="media/image430.png"/><Relationship Id="rId477" Type="http://schemas.openxmlformats.org/officeDocument/2006/relationships/image" Target="media/image431.png"/><Relationship Id="rId478" Type="http://schemas.openxmlformats.org/officeDocument/2006/relationships/image" Target="media/image432.png"/><Relationship Id="rId479" Type="http://schemas.openxmlformats.org/officeDocument/2006/relationships/image" Target="media/image433.png"/><Relationship Id="rId480" Type="http://schemas.openxmlformats.org/officeDocument/2006/relationships/image" Target="media/image434.png"/><Relationship Id="rId481" Type="http://schemas.openxmlformats.org/officeDocument/2006/relationships/image" Target="media/image435.png"/><Relationship Id="rId482" Type="http://schemas.openxmlformats.org/officeDocument/2006/relationships/image" Target="media/image436.png"/><Relationship Id="rId483" Type="http://schemas.openxmlformats.org/officeDocument/2006/relationships/image" Target="media/image437.png"/><Relationship Id="rId484" Type="http://schemas.openxmlformats.org/officeDocument/2006/relationships/image" Target="media/image438.png"/><Relationship Id="rId485" Type="http://schemas.openxmlformats.org/officeDocument/2006/relationships/image" Target="media/image439.png"/><Relationship Id="rId486" Type="http://schemas.openxmlformats.org/officeDocument/2006/relationships/image" Target="media/image440.png"/><Relationship Id="rId487" Type="http://schemas.openxmlformats.org/officeDocument/2006/relationships/image" Target="media/image441.png"/><Relationship Id="rId488" Type="http://schemas.openxmlformats.org/officeDocument/2006/relationships/image" Target="media/image442.png"/><Relationship Id="rId489" Type="http://schemas.openxmlformats.org/officeDocument/2006/relationships/image" Target="media/image443.png"/><Relationship Id="rId490" Type="http://schemas.openxmlformats.org/officeDocument/2006/relationships/image" Target="media/image444.png"/><Relationship Id="rId491" Type="http://schemas.openxmlformats.org/officeDocument/2006/relationships/image" Target="media/image445.png"/><Relationship Id="rId492" Type="http://schemas.openxmlformats.org/officeDocument/2006/relationships/image" Target="media/image446.png"/><Relationship Id="rId493" Type="http://schemas.openxmlformats.org/officeDocument/2006/relationships/image" Target="media/image447.png"/><Relationship Id="rId494" Type="http://schemas.openxmlformats.org/officeDocument/2006/relationships/image" Target="media/image448.png"/><Relationship Id="rId495" Type="http://schemas.openxmlformats.org/officeDocument/2006/relationships/image" Target="media/image449.png"/><Relationship Id="rId496" Type="http://schemas.openxmlformats.org/officeDocument/2006/relationships/image" Target="media/image450.png"/><Relationship Id="rId497" Type="http://schemas.openxmlformats.org/officeDocument/2006/relationships/image" Target="media/image451.png"/><Relationship Id="rId498" Type="http://schemas.openxmlformats.org/officeDocument/2006/relationships/image" Target="media/image452.png"/><Relationship Id="rId499" Type="http://schemas.openxmlformats.org/officeDocument/2006/relationships/image" Target="media/image453.png"/><Relationship Id="rId500" Type="http://schemas.openxmlformats.org/officeDocument/2006/relationships/image" Target="media/image454.png"/><Relationship Id="rId501" Type="http://schemas.openxmlformats.org/officeDocument/2006/relationships/image" Target="media/image455.png"/><Relationship Id="rId502" Type="http://schemas.openxmlformats.org/officeDocument/2006/relationships/image" Target="media/image456.png"/><Relationship Id="rId503" Type="http://schemas.openxmlformats.org/officeDocument/2006/relationships/image" Target="media/image457.png"/><Relationship Id="rId504" Type="http://schemas.openxmlformats.org/officeDocument/2006/relationships/image" Target="media/image458.png"/><Relationship Id="rId505" Type="http://schemas.openxmlformats.org/officeDocument/2006/relationships/image" Target="media/image459.png"/><Relationship Id="rId506" Type="http://schemas.openxmlformats.org/officeDocument/2006/relationships/image" Target="media/image460.png"/><Relationship Id="rId507" Type="http://schemas.openxmlformats.org/officeDocument/2006/relationships/image" Target="media/image461.png"/><Relationship Id="rId508" Type="http://schemas.openxmlformats.org/officeDocument/2006/relationships/image" Target="media/image462.png"/><Relationship Id="rId509" Type="http://schemas.openxmlformats.org/officeDocument/2006/relationships/image" Target="media/image463.png"/><Relationship Id="rId510" Type="http://schemas.openxmlformats.org/officeDocument/2006/relationships/image" Target="media/image464.png"/><Relationship Id="rId511" Type="http://schemas.openxmlformats.org/officeDocument/2006/relationships/image" Target="media/image465.png"/><Relationship Id="rId512" Type="http://schemas.openxmlformats.org/officeDocument/2006/relationships/image" Target="media/image466.png"/><Relationship Id="rId513" Type="http://schemas.openxmlformats.org/officeDocument/2006/relationships/image" Target="media/image467.png"/><Relationship Id="rId514" Type="http://schemas.openxmlformats.org/officeDocument/2006/relationships/image" Target="media/image468.png"/><Relationship Id="rId515" Type="http://schemas.openxmlformats.org/officeDocument/2006/relationships/image" Target="media/image469.png"/><Relationship Id="rId516" Type="http://schemas.openxmlformats.org/officeDocument/2006/relationships/image" Target="media/image470.png"/><Relationship Id="rId517" Type="http://schemas.openxmlformats.org/officeDocument/2006/relationships/image" Target="media/image471.png"/><Relationship Id="rId518" Type="http://schemas.openxmlformats.org/officeDocument/2006/relationships/image" Target="media/image472.png"/><Relationship Id="rId519" Type="http://schemas.openxmlformats.org/officeDocument/2006/relationships/image" Target="media/image473.png"/><Relationship Id="rId520" Type="http://schemas.openxmlformats.org/officeDocument/2006/relationships/image" Target="media/image474.png"/><Relationship Id="rId521" Type="http://schemas.openxmlformats.org/officeDocument/2006/relationships/image" Target="media/image475.png"/><Relationship Id="rId522" Type="http://schemas.openxmlformats.org/officeDocument/2006/relationships/image" Target="media/image476.png"/><Relationship Id="rId523" Type="http://schemas.openxmlformats.org/officeDocument/2006/relationships/image" Target="media/image477.png"/><Relationship Id="rId524" Type="http://schemas.openxmlformats.org/officeDocument/2006/relationships/image" Target="media/image478.png"/><Relationship Id="rId525" Type="http://schemas.openxmlformats.org/officeDocument/2006/relationships/image" Target="media/image479.png"/><Relationship Id="rId526" Type="http://schemas.openxmlformats.org/officeDocument/2006/relationships/image" Target="media/image480.png"/><Relationship Id="rId527" Type="http://schemas.openxmlformats.org/officeDocument/2006/relationships/image" Target="media/image481.png"/><Relationship Id="rId528" Type="http://schemas.openxmlformats.org/officeDocument/2006/relationships/image" Target="media/image482.png"/><Relationship Id="rId529" Type="http://schemas.openxmlformats.org/officeDocument/2006/relationships/image" Target="media/image483.png"/><Relationship Id="rId530" Type="http://schemas.openxmlformats.org/officeDocument/2006/relationships/image" Target="media/image484.png"/><Relationship Id="rId531" Type="http://schemas.openxmlformats.org/officeDocument/2006/relationships/image" Target="media/image485.png"/><Relationship Id="rId532" Type="http://schemas.openxmlformats.org/officeDocument/2006/relationships/image" Target="media/image486.png"/><Relationship Id="rId533" Type="http://schemas.openxmlformats.org/officeDocument/2006/relationships/image" Target="media/image487.png"/><Relationship Id="rId534" Type="http://schemas.openxmlformats.org/officeDocument/2006/relationships/image" Target="media/image488.png"/><Relationship Id="rId535" Type="http://schemas.openxmlformats.org/officeDocument/2006/relationships/image" Target="media/image489.png"/><Relationship Id="rId536" Type="http://schemas.openxmlformats.org/officeDocument/2006/relationships/image" Target="media/image490.png"/><Relationship Id="rId537" Type="http://schemas.openxmlformats.org/officeDocument/2006/relationships/image" Target="media/image491.png"/><Relationship Id="rId538" Type="http://schemas.openxmlformats.org/officeDocument/2006/relationships/image" Target="media/image492.png"/><Relationship Id="rId539" Type="http://schemas.openxmlformats.org/officeDocument/2006/relationships/image" Target="media/image493.png"/><Relationship Id="rId540" Type="http://schemas.openxmlformats.org/officeDocument/2006/relationships/image" Target="media/image494.png"/><Relationship Id="rId541" Type="http://schemas.openxmlformats.org/officeDocument/2006/relationships/image" Target="media/image495.png"/><Relationship Id="rId542" Type="http://schemas.openxmlformats.org/officeDocument/2006/relationships/image" Target="media/image496.png"/><Relationship Id="rId543" Type="http://schemas.openxmlformats.org/officeDocument/2006/relationships/image" Target="media/image497.png"/><Relationship Id="rId544" Type="http://schemas.openxmlformats.org/officeDocument/2006/relationships/image" Target="media/image498.png"/><Relationship Id="rId545" Type="http://schemas.openxmlformats.org/officeDocument/2006/relationships/image" Target="media/image499.png"/><Relationship Id="rId546" Type="http://schemas.openxmlformats.org/officeDocument/2006/relationships/image" Target="media/image500.png"/><Relationship Id="rId547" Type="http://schemas.openxmlformats.org/officeDocument/2006/relationships/image" Target="media/image501.png"/><Relationship Id="rId548" Type="http://schemas.openxmlformats.org/officeDocument/2006/relationships/image" Target="media/image502.png"/><Relationship Id="rId549" Type="http://schemas.openxmlformats.org/officeDocument/2006/relationships/image" Target="media/image503.png"/><Relationship Id="rId550" Type="http://schemas.openxmlformats.org/officeDocument/2006/relationships/image" Target="media/image504.png"/><Relationship Id="rId551" Type="http://schemas.openxmlformats.org/officeDocument/2006/relationships/image" Target="media/image505.png"/><Relationship Id="rId552" Type="http://schemas.openxmlformats.org/officeDocument/2006/relationships/image" Target="media/image506.png"/><Relationship Id="rId553" Type="http://schemas.openxmlformats.org/officeDocument/2006/relationships/image" Target="media/image507.png"/><Relationship Id="rId554" Type="http://schemas.openxmlformats.org/officeDocument/2006/relationships/image" Target="media/image508.png"/><Relationship Id="rId555" Type="http://schemas.openxmlformats.org/officeDocument/2006/relationships/image" Target="media/image509.png"/><Relationship Id="rId556" Type="http://schemas.openxmlformats.org/officeDocument/2006/relationships/image" Target="media/image510.png"/><Relationship Id="rId557" Type="http://schemas.openxmlformats.org/officeDocument/2006/relationships/image" Target="media/image511.png"/><Relationship Id="rId558" Type="http://schemas.openxmlformats.org/officeDocument/2006/relationships/image" Target="media/image512.png"/><Relationship Id="rId559" Type="http://schemas.openxmlformats.org/officeDocument/2006/relationships/image" Target="media/image513.png"/><Relationship Id="rId560" Type="http://schemas.openxmlformats.org/officeDocument/2006/relationships/image" Target="media/image514.png"/><Relationship Id="rId561" Type="http://schemas.openxmlformats.org/officeDocument/2006/relationships/image" Target="media/image515.png"/><Relationship Id="rId562" Type="http://schemas.openxmlformats.org/officeDocument/2006/relationships/image" Target="media/image516.png"/><Relationship Id="rId563" Type="http://schemas.openxmlformats.org/officeDocument/2006/relationships/image" Target="media/image517.png"/><Relationship Id="rId564" Type="http://schemas.openxmlformats.org/officeDocument/2006/relationships/image" Target="media/image518.png"/><Relationship Id="rId565" Type="http://schemas.openxmlformats.org/officeDocument/2006/relationships/image" Target="media/image519.png"/><Relationship Id="rId566" Type="http://schemas.openxmlformats.org/officeDocument/2006/relationships/image" Target="media/image520.png"/><Relationship Id="rId567" Type="http://schemas.openxmlformats.org/officeDocument/2006/relationships/image" Target="media/image521.png"/><Relationship Id="rId568" Type="http://schemas.openxmlformats.org/officeDocument/2006/relationships/image" Target="media/image522.png"/><Relationship Id="rId569" Type="http://schemas.openxmlformats.org/officeDocument/2006/relationships/image" Target="media/image523.png"/><Relationship Id="rId570" Type="http://schemas.openxmlformats.org/officeDocument/2006/relationships/image" Target="media/image524.png"/><Relationship Id="rId571" Type="http://schemas.openxmlformats.org/officeDocument/2006/relationships/image" Target="media/image525.png"/><Relationship Id="rId572" Type="http://schemas.openxmlformats.org/officeDocument/2006/relationships/image" Target="media/image526.png"/><Relationship Id="rId573" Type="http://schemas.openxmlformats.org/officeDocument/2006/relationships/image" Target="media/image527.png"/><Relationship Id="rId574" Type="http://schemas.openxmlformats.org/officeDocument/2006/relationships/image" Target="media/image528.png"/><Relationship Id="rId575" Type="http://schemas.openxmlformats.org/officeDocument/2006/relationships/image" Target="media/image529.png"/><Relationship Id="rId576" Type="http://schemas.openxmlformats.org/officeDocument/2006/relationships/image" Target="media/image530.png"/><Relationship Id="rId577" Type="http://schemas.openxmlformats.org/officeDocument/2006/relationships/image" Target="media/image531.png"/><Relationship Id="rId578" Type="http://schemas.openxmlformats.org/officeDocument/2006/relationships/image" Target="media/image532.png"/><Relationship Id="rId579" Type="http://schemas.openxmlformats.org/officeDocument/2006/relationships/image" Target="media/image533.png"/><Relationship Id="rId580" Type="http://schemas.openxmlformats.org/officeDocument/2006/relationships/image" Target="media/image534.png"/><Relationship Id="rId581" Type="http://schemas.openxmlformats.org/officeDocument/2006/relationships/image" Target="media/image535.png"/><Relationship Id="rId582" Type="http://schemas.openxmlformats.org/officeDocument/2006/relationships/image" Target="media/image536.png"/><Relationship Id="rId583" Type="http://schemas.openxmlformats.org/officeDocument/2006/relationships/image" Target="media/image537.png"/><Relationship Id="rId584" Type="http://schemas.openxmlformats.org/officeDocument/2006/relationships/image" Target="media/image538.png"/><Relationship Id="rId585" Type="http://schemas.openxmlformats.org/officeDocument/2006/relationships/image" Target="media/image539.png"/><Relationship Id="rId586" Type="http://schemas.openxmlformats.org/officeDocument/2006/relationships/image" Target="media/image540.png"/><Relationship Id="rId587" Type="http://schemas.openxmlformats.org/officeDocument/2006/relationships/image" Target="media/image541.png"/><Relationship Id="rId588" Type="http://schemas.openxmlformats.org/officeDocument/2006/relationships/image" Target="media/image542.png"/><Relationship Id="rId589" Type="http://schemas.openxmlformats.org/officeDocument/2006/relationships/image" Target="media/image543.png"/><Relationship Id="rId590" Type="http://schemas.openxmlformats.org/officeDocument/2006/relationships/image" Target="media/image544.png"/><Relationship Id="rId591" Type="http://schemas.openxmlformats.org/officeDocument/2006/relationships/image" Target="media/image545.png"/><Relationship Id="rId592" Type="http://schemas.openxmlformats.org/officeDocument/2006/relationships/image" Target="media/image546.png"/><Relationship Id="rId593" Type="http://schemas.openxmlformats.org/officeDocument/2006/relationships/image" Target="media/image547.png"/><Relationship Id="rId594" Type="http://schemas.openxmlformats.org/officeDocument/2006/relationships/image" Target="media/image548.png"/><Relationship Id="rId595" Type="http://schemas.openxmlformats.org/officeDocument/2006/relationships/image" Target="media/image549.png"/><Relationship Id="rId596" Type="http://schemas.openxmlformats.org/officeDocument/2006/relationships/image" Target="media/image550.png"/><Relationship Id="rId597" Type="http://schemas.openxmlformats.org/officeDocument/2006/relationships/image" Target="media/image551.png"/><Relationship Id="rId598" Type="http://schemas.openxmlformats.org/officeDocument/2006/relationships/image" Target="media/image552.png"/><Relationship Id="rId599" Type="http://schemas.openxmlformats.org/officeDocument/2006/relationships/image" Target="media/image553.png"/><Relationship Id="rId600" Type="http://schemas.openxmlformats.org/officeDocument/2006/relationships/image" Target="media/image554.png"/><Relationship Id="rId601" Type="http://schemas.openxmlformats.org/officeDocument/2006/relationships/image" Target="media/image555.png"/><Relationship Id="rId602" Type="http://schemas.openxmlformats.org/officeDocument/2006/relationships/image" Target="media/image556.png"/><Relationship Id="rId603" Type="http://schemas.openxmlformats.org/officeDocument/2006/relationships/image" Target="media/image557.png"/><Relationship Id="rId604" Type="http://schemas.openxmlformats.org/officeDocument/2006/relationships/image" Target="media/image558.png"/><Relationship Id="rId605" Type="http://schemas.openxmlformats.org/officeDocument/2006/relationships/image" Target="media/image559.png"/><Relationship Id="rId606" Type="http://schemas.openxmlformats.org/officeDocument/2006/relationships/image" Target="media/image560.png"/><Relationship Id="rId607" Type="http://schemas.openxmlformats.org/officeDocument/2006/relationships/image" Target="media/image561.png"/><Relationship Id="rId608" Type="http://schemas.openxmlformats.org/officeDocument/2006/relationships/image" Target="media/image562.png"/><Relationship Id="rId609" Type="http://schemas.openxmlformats.org/officeDocument/2006/relationships/image" Target="media/image563.png"/><Relationship Id="rId610" Type="http://schemas.openxmlformats.org/officeDocument/2006/relationships/image" Target="media/image564.png"/><Relationship Id="rId611" Type="http://schemas.openxmlformats.org/officeDocument/2006/relationships/image" Target="media/image565.png"/><Relationship Id="rId612" Type="http://schemas.openxmlformats.org/officeDocument/2006/relationships/image" Target="media/image566.png"/><Relationship Id="rId613" Type="http://schemas.openxmlformats.org/officeDocument/2006/relationships/image" Target="media/image567.png"/><Relationship Id="rId614" Type="http://schemas.openxmlformats.org/officeDocument/2006/relationships/image" Target="media/image568.png"/><Relationship Id="rId615" Type="http://schemas.openxmlformats.org/officeDocument/2006/relationships/image" Target="media/image569.png"/><Relationship Id="rId616" Type="http://schemas.openxmlformats.org/officeDocument/2006/relationships/image" Target="media/image570.png"/><Relationship Id="rId617" Type="http://schemas.openxmlformats.org/officeDocument/2006/relationships/image" Target="media/image571.png"/><Relationship Id="rId618" Type="http://schemas.openxmlformats.org/officeDocument/2006/relationships/image" Target="media/image572.png"/><Relationship Id="rId619" Type="http://schemas.openxmlformats.org/officeDocument/2006/relationships/image" Target="media/image573.png"/><Relationship Id="rId620" Type="http://schemas.openxmlformats.org/officeDocument/2006/relationships/image" Target="media/image574.png"/><Relationship Id="rId621" Type="http://schemas.openxmlformats.org/officeDocument/2006/relationships/image" Target="media/image575.png"/><Relationship Id="rId622" Type="http://schemas.openxmlformats.org/officeDocument/2006/relationships/image" Target="media/image576.png"/><Relationship Id="rId623" Type="http://schemas.openxmlformats.org/officeDocument/2006/relationships/image" Target="media/image577.png"/><Relationship Id="rId624" Type="http://schemas.openxmlformats.org/officeDocument/2006/relationships/image" Target="media/image578.png"/><Relationship Id="rId625" Type="http://schemas.openxmlformats.org/officeDocument/2006/relationships/image" Target="media/image579.png"/><Relationship Id="rId626" Type="http://schemas.openxmlformats.org/officeDocument/2006/relationships/image" Target="media/image580.png"/><Relationship Id="rId627" Type="http://schemas.openxmlformats.org/officeDocument/2006/relationships/image" Target="media/image581.png"/><Relationship Id="rId628" Type="http://schemas.openxmlformats.org/officeDocument/2006/relationships/image" Target="media/image582.png"/><Relationship Id="rId629" Type="http://schemas.openxmlformats.org/officeDocument/2006/relationships/image" Target="media/image583.png"/><Relationship Id="rId630" Type="http://schemas.openxmlformats.org/officeDocument/2006/relationships/image" Target="media/image584.png"/><Relationship Id="rId631" Type="http://schemas.openxmlformats.org/officeDocument/2006/relationships/image" Target="media/image585.png"/><Relationship Id="rId632" Type="http://schemas.openxmlformats.org/officeDocument/2006/relationships/image" Target="media/image586.png"/><Relationship Id="rId633" Type="http://schemas.openxmlformats.org/officeDocument/2006/relationships/image" Target="media/image587.png"/><Relationship Id="rId634" Type="http://schemas.openxmlformats.org/officeDocument/2006/relationships/image" Target="media/image588.png"/><Relationship Id="rId635" Type="http://schemas.openxmlformats.org/officeDocument/2006/relationships/image" Target="media/image589.png"/><Relationship Id="rId636" Type="http://schemas.openxmlformats.org/officeDocument/2006/relationships/image" Target="media/image590.png"/><Relationship Id="rId637" Type="http://schemas.openxmlformats.org/officeDocument/2006/relationships/image" Target="media/image591.png"/><Relationship Id="rId638" Type="http://schemas.openxmlformats.org/officeDocument/2006/relationships/image" Target="media/image592.png"/><Relationship Id="rId639" Type="http://schemas.openxmlformats.org/officeDocument/2006/relationships/image" Target="media/image593.png"/><Relationship Id="rId640" Type="http://schemas.openxmlformats.org/officeDocument/2006/relationships/image" Target="media/image594.png"/><Relationship Id="rId641" Type="http://schemas.openxmlformats.org/officeDocument/2006/relationships/image" Target="media/image595.png"/><Relationship Id="rId642" Type="http://schemas.openxmlformats.org/officeDocument/2006/relationships/image" Target="media/image596.png"/><Relationship Id="rId643" Type="http://schemas.openxmlformats.org/officeDocument/2006/relationships/image" Target="media/image597.png"/><Relationship Id="rId644" Type="http://schemas.openxmlformats.org/officeDocument/2006/relationships/image" Target="media/image598.png"/><Relationship Id="rId645" Type="http://schemas.openxmlformats.org/officeDocument/2006/relationships/image" Target="media/image599.png"/><Relationship Id="rId646" Type="http://schemas.openxmlformats.org/officeDocument/2006/relationships/image" Target="media/image600.png"/><Relationship Id="rId647" Type="http://schemas.openxmlformats.org/officeDocument/2006/relationships/image" Target="media/image601.png"/><Relationship Id="rId648" Type="http://schemas.openxmlformats.org/officeDocument/2006/relationships/image" Target="media/image602.png"/><Relationship Id="rId649" Type="http://schemas.openxmlformats.org/officeDocument/2006/relationships/image" Target="media/image603.png"/><Relationship Id="rId650" Type="http://schemas.openxmlformats.org/officeDocument/2006/relationships/image" Target="media/image604.png"/><Relationship Id="rId651" Type="http://schemas.openxmlformats.org/officeDocument/2006/relationships/image" Target="media/image605.png"/><Relationship Id="rId652" Type="http://schemas.openxmlformats.org/officeDocument/2006/relationships/image" Target="media/image606.png"/><Relationship Id="rId653" Type="http://schemas.openxmlformats.org/officeDocument/2006/relationships/image" Target="media/image607.png"/><Relationship Id="rId654" Type="http://schemas.openxmlformats.org/officeDocument/2006/relationships/image" Target="media/image608.png"/><Relationship Id="rId655" Type="http://schemas.openxmlformats.org/officeDocument/2006/relationships/image" Target="media/image609.png"/><Relationship Id="rId656" Type="http://schemas.openxmlformats.org/officeDocument/2006/relationships/image" Target="media/image610.png"/><Relationship Id="rId657" Type="http://schemas.openxmlformats.org/officeDocument/2006/relationships/image" Target="media/image611.png"/><Relationship Id="rId658" Type="http://schemas.openxmlformats.org/officeDocument/2006/relationships/image" Target="media/image612.png"/><Relationship Id="rId659" Type="http://schemas.openxmlformats.org/officeDocument/2006/relationships/image" Target="media/image613.png"/><Relationship Id="rId660" Type="http://schemas.openxmlformats.org/officeDocument/2006/relationships/image" Target="media/image614.png"/><Relationship Id="rId661" Type="http://schemas.openxmlformats.org/officeDocument/2006/relationships/image" Target="media/image615.png"/><Relationship Id="rId662" Type="http://schemas.openxmlformats.org/officeDocument/2006/relationships/image" Target="media/image616.png"/><Relationship Id="rId663" Type="http://schemas.openxmlformats.org/officeDocument/2006/relationships/image" Target="media/image617.png"/><Relationship Id="rId664" Type="http://schemas.openxmlformats.org/officeDocument/2006/relationships/image" Target="media/image618.png"/><Relationship Id="rId665" Type="http://schemas.openxmlformats.org/officeDocument/2006/relationships/image" Target="media/image619.png"/><Relationship Id="rId666" Type="http://schemas.openxmlformats.org/officeDocument/2006/relationships/image" Target="media/image620.png"/><Relationship Id="rId667" Type="http://schemas.openxmlformats.org/officeDocument/2006/relationships/image" Target="media/image621.png"/><Relationship Id="rId668" Type="http://schemas.openxmlformats.org/officeDocument/2006/relationships/image" Target="media/image622.png"/><Relationship Id="rId669" Type="http://schemas.openxmlformats.org/officeDocument/2006/relationships/image" Target="media/image623.png"/><Relationship Id="rId670" Type="http://schemas.openxmlformats.org/officeDocument/2006/relationships/image" Target="media/image624.png"/><Relationship Id="rId671" Type="http://schemas.openxmlformats.org/officeDocument/2006/relationships/image" Target="media/image625.png"/><Relationship Id="rId672" Type="http://schemas.openxmlformats.org/officeDocument/2006/relationships/image" Target="media/image626.png"/><Relationship Id="rId673" Type="http://schemas.openxmlformats.org/officeDocument/2006/relationships/image" Target="media/image627.png"/><Relationship Id="rId674" Type="http://schemas.openxmlformats.org/officeDocument/2006/relationships/image" Target="media/image628.png"/><Relationship Id="rId675" Type="http://schemas.openxmlformats.org/officeDocument/2006/relationships/image" Target="media/image629.png"/><Relationship Id="rId676" Type="http://schemas.openxmlformats.org/officeDocument/2006/relationships/image" Target="media/image630.png"/><Relationship Id="rId677" Type="http://schemas.openxmlformats.org/officeDocument/2006/relationships/image" Target="media/image631.png"/><Relationship Id="rId678" Type="http://schemas.openxmlformats.org/officeDocument/2006/relationships/image" Target="media/image632.png"/><Relationship Id="rId679" Type="http://schemas.openxmlformats.org/officeDocument/2006/relationships/image" Target="media/image633.png"/><Relationship Id="rId680" Type="http://schemas.openxmlformats.org/officeDocument/2006/relationships/image" Target="media/image634.png"/><Relationship Id="rId681" Type="http://schemas.openxmlformats.org/officeDocument/2006/relationships/image" Target="media/image635.png"/><Relationship Id="rId682" Type="http://schemas.openxmlformats.org/officeDocument/2006/relationships/image" Target="media/image636.png"/><Relationship Id="rId683" Type="http://schemas.openxmlformats.org/officeDocument/2006/relationships/image" Target="media/image637.png"/><Relationship Id="rId684" Type="http://schemas.openxmlformats.org/officeDocument/2006/relationships/image" Target="media/image638.png"/><Relationship Id="rId685" Type="http://schemas.openxmlformats.org/officeDocument/2006/relationships/image" Target="media/image639.png"/><Relationship Id="rId686" Type="http://schemas.openxmlformats.org/officeDocument/2006/relationships/image" Target="media/image640.png"/><Relationship Id="rId687" Type="http://schemas.openxmlformats.org/officeDocument/2006/relationships/image" Target="media/image641.png"/><Relationship Id="rId688" Type="http://schemas.openxmlformats.org/officeDocument/2006/relationships/image" Target="media/image642.png"/><Relationship Id="rId689" Type="http://schemas.openxmlformats.org/officeDocument/2006/relationships/image" Target="media/image643.png"/><Relationship Id="rId690" Type="http://schemas.openxmlformats.org/officeDocument/2006/relationships/image" Target="media/image644.png"/><Relationship Id="rId691" Type="http://schemas.openxmlformats.org/officeDocument/2006/relationships/image" Target="media/image645.png"/><Relationship Id="rId692" Type="http://schemas.openxmlformats.org/officeDocument/2006/relationships/image" Target="media/image646.png"/><Relationship Id="rId693" Type="http://schemas.openxmlformats.org/officeDocument/2006/relationships/image" Target="media/image647.png"/><Relationship Id="rId694" Type="http://schemas.openxmlformats.org/officeDocument/2006/relationships/image" Target="media/image648.png"/><Relationship Id="rId695" Type="http://schemas.openxmlformats.org/officeDocument/2006/relationships/image" Target="media/image649.png"/><Relationship Id="rId696" Type="http://schemas.openxmlformats.org/officeDocument/2006/relationships/image" Target="media/image650.png"/><Relationship Id="rId697" Type="http://schemas.openxmlformats.org/officeDocument/2006/relationships/image" Target="media/image651.png"/><Relationship Id="rId698" Type="http://schemas.openxmlformats.org/officeDocument/2006/relationships/image" Target="media/image652.png"/><Relationship Id="rId699" Type="http://schemas.openxmlformats.org/officeDocument/2006/relationships/image" Target="media/image653.png"/><Relationship Id="rId700" Type="http://schemas.openxmlformats.org/officeDocument/2006/relationships/image" Target="media/image654.png"/><Relationship Id="rId701" Type="http://schemas.openxmlformats.org/officeDocument/2006/relationships/image" Target="media/image655.png"/><Relationship Id="rId702" Type="http://schemas.openxmlformats.org/officeDocument/2006/relationships/image" Target="media/image656.png"/><Relationship Id="rId703" Type="http://schemas.openxmlformats.org/officeDocument/2006/relationships/image" Target="media/image657.png"/><Relationship Id="rId704" Type="http://schemas.openxmlformats.org/officeDocument/2006/relationships/image" Target="media/image658.png"/><Relationship Id="rId705" Type="http://schemas.openxmlformats.org/officeDocument/2006/relationships/image" Target="media/image659.png"/><Relationship Id="rId706" Type="http://schemas.openxmlformats.org/officeDocument/2006/relationships/image" Target="media/image660.png"/><Relationship Id="rId707" Type="http://schemas.openxmlformats.org/officeDocument/2006/relationships/image" Target="media/image661.png"/><Relationship Id="rId708" Type="http://schemas.openxmlformats.org/officeDocument/2006/relationships/image" Target="media/image662.png"/><Relationship Id="rId709" Type="http://schemas.openxmlformats.org/officeDocument/2006/relationships/image" Target="media/image663.png"/><Relationship Id="rId710" Type="http://schemas.openxmlformats.org/officeDocument/2006/relationships/image" Target="media/image664.png"/><Relationship Id="rId711" Type="http://schemas.openxmlformats.org/officeDocument/2006/relationships/image" Target="media/image665.png"/><Relationship Id="rId712" Type="http://schemas.openxmlformats.org/officeDocument/2006/relationships/image" Target="media/image666.png"/><Relationship Id="rId713" Type="http://schemas.openxmlformats.org/officeDocument/2006/relationships/image" Target="media/image667.png"/><Relationship Id="rId714" Type="http://schemas.openxmlformats.org/officeDocument/2006/relationships/image" Target="media/image668.png"/><Relationship Id="rId715" Type="http://schemas.openxmlformats.org/officeDocument/2006/relationships/image" Target="media/image669.png"/><Relationship Id="rId716" Type="http://schemas.openxmlformats.org/officeDocument/2006/relationships/image" Target="media/image670.png"/><Relationship Id="rId717" Type="http://schemas.openxmlformats.org/officeDocument/2006/relationships/image" Target="media/image671.png"/><Relationship Id="rId718" Type="http://schemas.openxmlformats.org/officeDocument/2006/relationships/image" Target="media/image672.png"/><Relationship Id="rId719" Type="http://schemas.openxmlformats.org/officeDocument/2006/relationships/image" Target="media/image673.png"/><Relationship Id="rId720" Type="http://schemas.openxmlformats.org/officeDocument/2006/relationships/image" Target="media/image674.png"/><Relationship Id="rId721" Type="http://schemas.openxmlformats.org/officeDocument/2006/relationships/image" Target="media/image675.png"/><Relationship Id="rId722" Type="http://schemas.openxmlformats.org/officeDocument/2006/relationships/image" Target="media/image676.png"/><Relationship Id="rId723" Type="http://schemas.openxmlformats.org/officeDocument/2006/relationships/image" Target="media/image677.png"/><Relationship Id="rId724" Type="http://schemas.openxmlformats.org/officeDocument/2006/relationships/image" Target="media/image678.png"/><Relationship Id="rId725" Type="http://schemas.openxmlformats.org/officeDocument/2006/relationships/image" Target="media/image679.png"/><Relationship Id="rId726" Type="http://schemas.openxmlformats.org/officeDocument/2006/relationships/image" Target="media/image680.png"/><Relationship Id="rId727" Type="http://schemas.openxmlformats.org/officeDocument/2006/relationships/image" Target="media/image681.png"/><Relationship Id="rId728" Type="http://schemas.openxmlformats.org/officeDocument/2006/relationships/image" Target="media/image682.png"/><Relationship Id="rId729" Type="http://schemas.openxmlformats.org/officeDocument/2006/relationships/image" Target="media/image683.png"/><Relationship Id="rId730" Type="http://schemas.openxmlformats.org/officeDocument/2006/relationships/image" Target="media/image684.png"/><Relationship Id="rId731" Type="http://schemas.openxmlformats.org/officeDocument/2006/relationships/image" Target="media/image685.png"/><Relationship Id="rId732" Type="http://schemas.openxmlformats.org/officeDocument/2006/relationships/image" Target="media/image686.png"/><Relationship Id="rId733" Type="http://schemas.openxmlformats.org/officeDocument/2006/relationships/image" Target="media/image687.png"/><Relationship Id="rId734" Type="http://schemas.openxmlformats.org/officeDocument/2006/relationships/image" Target="media/image688.png"/><Relationship Id="rId735" Type="http://schemas.openxmlformats.org/officeDocument/2006/relationships/image" Target="media/image689.png"/><Relationship Id="rId736" Type="http://schemas.openxmlformats.org/officeDocument/2006/relationships/image" Target="media/image690.png"/><Relationship Id="rId737" Type="http://schemas.openxmlformats.org/officeDocument/2006/relationships/image" Target="media/image691.png"/><Relationship Id="rId738" Type="http://schemas.openxmlformats.org/officeDocument/2006/relationships/image" Target="media/image692.png"/><Relationship Id="rId739" Type="http://schemas.openxmlformats.org/officeDocument/2006/relationships/image" Target="media/image693.png"/><Relationship Id="rId740" Type="http://schemas.openxmlformats.org/officeDocument/2006/relationships/image" Target="media/image694.png"/><Relationship Id="rId741" Type="http://schemas.openxmlformats.org/officeDocument/2006/relationships/image" Target="media/image695.png"/><Relationship Id="rId742" Type="http://schemas.openxmlformats.org/officeDocument/2006/relationships/image" Target="media/image696.png"/><Relationship Id="rId743" Type="http://schemas.openxmlformats.org/officeDocument/2006/relationships/image" Target="media/image697.png"/><Relationship Id="rId744" Type="http://schemas.openxmlformats.org/officeDocument/2006/relationships/image" Target="media/image698.png"/><Relationship Id="rId745" Type="http://schemas.openxmlformats.org/officeDocument/2006/relationships/image" Target="media/image699.png"/><Relationship Id="rId746" Type="http://schemas.openxmlformats.org/officeDocument/2006/relationships/image" Target="media/image700.png"/><Relationship Id="rId747" Type="http://schemas.openxmlformats.org/officeDocument/2006/relationships/image" Target="media/image701.png"/><Relationship Id="rId748" Type="http://schemas.openxmlformats.org/officeDocument/2006/relationships/image" Target="media/image702.png"/><Relationship Id="rId749" Type="http://schemas.openxmlformats.org/officeDocument/2006/relationships/image" Target="media/image703.png"/><Relationship Id="rId750" Type="http://schemas.openxmlformats.org/officeDocument/2006/relationships/image" Target="media/image704.png"/><Relationship Id="rId751" Type="http://schemas.openxmlformats.org/officeDocument/2006/relationships/image" Target="media/image705.png"/><Relationship Id="rId752" Type="http://schemas.openxmlformats.org/officeDocument/2006/relationships/image" Target="media/image706.png"/><Relationship Id="rId753" Type="http://schemas.openxmlformats.org/officeDocument/2006/relationships/image" Target="media/image707.png"/><Relationship Id="rId754" Type="http://schemas.openxmlformats.org/officeDocument/2006/relationships/image" Target="media/image708.png"/><Relationship Id="rId755" Type="http://schemas.openxmlformats.org/officeDocument/2006/relationships/image" Target="media/image709.png"/><Relationship Id="rId756" Type="http://schemas.openxmlformats.org/officeDocument/2006/relationships/image" Target="media/image710.png"/><Relationship Id="rId757" Type="http://schemas.openxmlformats.org/officeDocument/2006/relationships/image" Target="media/image711.png"/><Relationship Id="rId758" Type="http://schemas.openxmlformats.org/officeDocument/2006/relationships/image" Target="media/image712.png"/><Relationship Id="rId759" Type="http://schemas.openxmlformats.org/officeDocument/2006/relationships/image" Target="media/image713.png"/><Relationship Id="rId760" Type="http://schemas.openxmlformats.org/officeDocument/2006/relationships/image" Target="media/image714.png"/><Relationship Id="rId761" Type="http://schemas.openxmlformats.org/officeDocument/2006/relationships/image" Target="media/image715.png"/><Relationship Id="rId762" Type="http://schemas.openxmlformats.org/officeDocument/2006/relationships/image" Target="media/image716.png"/><Relationship Id="rId763" Type="http://schemas.openxmlformats.org/officeDocument/2006/relationships/image" Target="media/image717.png"/><Relationship Id="rId764" Type="http://schemas.openxmlformats.org/officeDocument/2006/relationships/image" Target="media/image718.png"/><Relationship Id="rId765" Type="http://schemas.openxmlformats.org/officeDocument/2006/relationships/image" Target="media/image719.png"/><Relationship Id="rId766" Type="http://schemas.openxmlformats.org/officeDocument/2006/relationships/image" Target="media/image720.png"/><Relationship Id="rId767" Type="http://schemas.openxmlformats.org/officeDocument/2006/relationships/image" Target="media/image721.png"/><Relationship Id="rId768" Type="http://schemas.openxmlformats.org/officeDocument/2006/relationships/image" Target="media/image722.png"/><Relationship Id="rId769" Type="http://schemas.openxmlformats.org/officeDocument/2006/relationships/image" Target="media/image723.png"/><Relationship Id="rId770" Type="http://schemas.openxmlformats.org/officeDocument/2006/relationships/image" Target="media/image724.png"/><Relationship Id="rId771" Type="http://schemas.openxmlformats.org/officeDocument/2006/relationships/image" Target="media/image725.png"/><Relationship Id="rId772" Type="http://schemas.openxmlformats.org/officeDocument/2006/relationships/image" Target="media/image726.png"/><Relationship Id="rId773" Type="http://schemas.openxmlformats.org/officeDocument/2006/relationships/image" Target="media/image727.png"/><Relationship Id="rId774" Type="http://schemas.openxmlformats.org/officeDocument/2006/relationships/image" Target="media/image728.png"/><Relationship Id="rId775" Type="http://schemas.openxmlformats.org/officeDocument/2006/relationships/image" Target="media/image729.png"/><Relationship Id="rId776" Type="http://schemas.openxmlformats.org/officeDocument/2006/relationships/image" Target="media/image730.png"/><Relationship Id="rId777" Type="http://schemas.openxmlformats.org/officeDocument/2006/relationships/image" Target="media/image731.png"/><Relationship Id="rId778" Type="http://schemas.openxmlformats.org/officeDocument/2006/relationships/image" Target="media/image732.png"/><Relationship Id="rId779" Type="http://schemas.openxmlformats.org/officeDocument/2006/relationships/image" Target="media/image733.png"/><Relationship Id="rId780" Type="http://schemas.openxmlformats.org/officeDocument/2006/relationships/image" Target="media/image734.png"/><Relationship Id="rId781" Type="http://schemas.openxmlformats.org/officeDocument/2006/relationships/image" Target="media/image735.png"/><Relationship Id="rId782" Type="http://schemas.openxmlformats.org/officeDocument/2006/relationships/image" Target="media/image736.png"/><Relationship Id="rId783" Type="http://schemas.openxmlformats.org/officeDocument/2006/relationships/image" Target="media/image737.png"/><Relationship Id="rId784" Type="http://schemas.openxmlformats.org/officeDocument/2006/relationships/image" Target="media/image738.png"/><Relationship Id="rId785" Type="http://schemas.openxmlformats.org/officeDocument/2006/relationships/image" Target="media/image739.png"/><Relationship Id="rId786" Type="http://schemas.openxmlformats.org/officeDocument/2006/relationships/image" Target="media/image740.png"/><Relationship Id="rId787" Type="http://schemas.openxmlformats.org/officeDocument/2006/relationships/image" Target="media/image741.png"/><Relationship Id="rId788" Type="http://schemas.openxmlformats.org/officeDocument/2006/relationships/image" Target="media/image742.png"/><Relationship Id="rId789" Type="http://schemas.openxmlformats.org/officeDocument/2006/relationships/image" Target="media/image743.png"/><Relationship Id="rId790" Type="http://schemas.openxmlformats.org/officeDocument/2006/relationships/image" Target="media/image744.png"/><Relationship Id="rId791" Type="http://schemas.openxmlformats.org/officeDocument/2006/relationships/image" Target="media/image745.png"/><Relationship Id="rId792" Type="http://schemas.openxmlformats.org/officeDocument/2006/relationships/image" Target="media/image746.png"/><Relationship Id="rId793" Type="http://schemas.openxmlformats.org/officeDocument/2006/relationships/image" Target="media/image747.png"/><Relationship Id="rId794" Type="http://schemas.openxmlformats.org/officeDocument/2006/relationships/image" Target="media/image748.png"/><Relationship Id="rId795" Type="http://schemas.openxmlformats.org/officeDocument/2006/relationships/image" Target="media/image749.png"/><Relationship Id="rId796" Type="http://schemas.openxmlformats.org/officeDocument/2006/relationships/image" Target="media/image750.png"/><Relationship Id="rId797" Type="http://schemas.openxmlformats.org/officeDocument/2006/relationships/image" Target="media/image751.png"/><Relationship Id="rId798" Type="http://schemas.openxmlformats.org/officeDocument/2006/relationships/image" Target="media/image752.png"/><Relationship Id="rId799" Type="http://schemas.openxmlformats.org/officeDocument/2006/relationships/image" Target="media/image753.png"/><Relationship Id="rId800" Type="http://schemas.openxmlformats.org/officeDocument/2006/relationships/image" Target="media/image754.png"/><Relationship Id="rId801" Type="http://schemas.openxmlformats.org/officeDocument/2006/relationships/image" Target="media/image755.png"/><Relationship Id="rId802" Type="http://schemas.openxmlformats.org/officeDocument/2006/relationships/image" Target="media/image756.png"/><Relationship Id="rId803" Type="http://schemas.openxmlformats.org/officeDocument/2006/relationships/image" Target="media/image757.png"/><Relationship Id="rId804" Type="http://schemas.openxmlformats.org/officeDocument/2006/relationships/image" Target="media/image758.png"/><Relationship Id="rId805" Type="http://schemas.openxmlformats.org/officeDocument/2006/relationships/image" Target="media/image759.png"/><Relationship Id="rId806" Type="http://schemas.openxmlformats.org/officeDocument/2006/relationships/image" Target="media/image760.png"/><Relationship Id="rId807" Type="http://schemas.openxmlformats.org/officeDocument/2006/relationships/image" Target="media/image761.png"/><Relationship Id="rId808" Type="http://schemas.openxmlformats.org/officeDocument/2006/relationships/image" Target="media/image762.png"/><Relationship Id="rId809" Type="http://schemas.openxmlformats.org/officeDocument/2006/relationships/image" Target="media/image763.png"/><Relationship Id="rId810" Type="http://schemas.openxmlformats.org/officeDocument/2006/relationships/image" Target="media/image764.png"/><Relationship Id="rId811" Type="http://schemas.openxmlformats.org/officeDocument/2006/relationships/image" Target="media/image765.png"/><Relationship Id="rId812" Type="http://schemas.openxmlformats.org/officeDocument/2006/relationships/image" Target="media/image766.png"/><Relationship Id="rId813" Type="http://schemas.openxmlformats.org/officeDocument/2006/relationships/image" Target="media/image767.png"/><Relationship Id="rId814" Type="http://schemas.openxmlformats.org/officeDocument/2006/relationships/image" Target="media/image768.png"/><Relationship Id="rId815" Type="http://schemas.openxmlformats.org/officeDocument/2006/relationships/image" Target="media/image769.png"/><Relationship Id="rId816" Type="http://schemas.openxmlformats.org/officeDocument/2006/relationships/image" Target="media/image770.png"/><Relationship Id="rId817" Type="http://schemas.openxmlformats.org/officeDocument/2006/relationships/image" Target="media/image771.png"/><Relationship Id="rId818" Type="http://schemas.openxmlformats.org/officeDocument/2006/relationships/image" Target="media/image772.png"/><Relationship Id="rId819" Type="http://schemas.openxmlformats.org/officeDocument/2006/relationships/image" Target="media/image773.png"/><Relationship Id="rId820" Type="http://schemas.openxmlformats.org/officeDocument/2006/relationships/image" Target="media/image774.png"/><Relationship Id="rId821" Type="http://schemas.openxmlformats.org/officeDocument/2006/relationships/image" Target="media/image775.png"/><Relationship Id="rId822" Type="http://schemas.openxmlformats.org/officeDocument/2006/relationships/image" Target="media/image776.png"/><Relationship Id="rId823" Type="http://schemas.openxmlformats.org/officeDocument/2006/relationships/image" Target="media/image777.png"/><Relationship Id="rId824" Type="http://schemas.openxmlformats.org/officeDocument/2006/relationships/image" Target="media/image778.png"/><Relationship Id="rId825" Type="http://schemas.openxmlformats.org/officeDocument/2006/relationships/image" Target="media/image779.png"/><Relationship Id="rId826" Type="http://schemas.openxmlformats.org/officeDocument/2006/relationships/image" Target="media/image780.png"/><Relationship Id="rId827" Type="http://schemas.openxmlformats.org/officeDocument/2006/relationships/image" Target="media/image781.png"/><Relationship Id="rId828" Type="http://schemas.openxmlformats.org/officeDocument/2006/relationships/image" Target="media/image782.png"/><Relationship Id="rId829" Type="http://schemas.openxmlformats.org/officeDocument/2006/relationships/image" Target="media/image783.png"/><Relationship Id="rId830" Type="http://schemas.openxmlformats.org/officeDocument/2006/relationships/image" Target="media/image784.png"/><Relationship Id="rId831" Type="http://schemas.openxmlformats.org/officeDocument/2006/relationships/image" Target="media/image785.png"/><Relationship Id="rId832" Type="http://schemas.openxmlformats.org/officeDocument/2006/relationships/image" Target="media/image786.png"/><Relationship Id="rId833" Type="http://schemas.openxmlformats.org/officeDocument/2006/relationships/image" Target="media/image787.png"/><Relationship Id="rId834" Type="http://schemas.openxmlformats.org/officeDocument/2006/relationships/image" Target="media/image788.png"/><Relationship Id="rId835" Type="http://schemas.openxmlformats.org/officeDocument/2006/relationships/image" Target="media/image789.png"/><Relationship Id="rId836" Type="http://schemas.openxmlformats.org/officeDocument/2006/relationships/image" Target="media/image790.png"/><Relationship Id="rId837" Type="http://schemas.openxmlformats.org/officeDocument/2006/relationships/image" Target="media/image791.png"/><Relationship Id="rId838" Type="http://schemas.openxmlformats.org/officeDocument/2006/relationships/image" Target="media/image792.png"/><Relationship Id="rId839" Type="http://schemas.openxmlformats.org/officeDocument/2006/relationships/image" Target="media/image793.png"/><Relationship Id="rId840" Type="http://schemas.openxmlformats.org/officeDocument/2006/relationships/image" Target="media/image794.png"/><Relationship Id="rId841" Type="http://schemas.openxmlformats.org/officeDocument/2006/relationships/image" Target="media/image795.png"/><Relationship Id="rId842" Type="http://schemas.openxmlformats.org/officeDocument/2006/relationships/image" Target="media/image796.png"/><Relationship Id="rId843" Type="http://schemas.openxmlformats.org/officeDocument/2006/relationships/image" Target="media/image797.png"/><Relationship Id="rId844" Type="http://schemas.openxmlformats.org/officeDocument/2006/relationships/image" Target="media/image798.png"/><Relationship Id="rId845" Type="http://schemas.openxmlformats.org/officeDocument/2006/relationships/image" Target="media/image799.png"/><Relationship Id="rId846" Type="http://schemas.openxmlformats.org/officeDocument/2006/relationships/image" Target="media/image800.png"/><Relationship Id="rId847" Type="http://schemas.openxmlformats.org/officeDocument/2006/relationships/image" Target="media/image801.png"/><Relationship Id="rId848" Type="http://schemas.openxmlformats.org/officeDocument/2006/relationships/image" Target="media/image802.png"/><Relationship Id="rId849" Type="http://schemas.openxmlformats.org/officeDocument/2006/relationships/image" Target="media/image803.png"/><Relationship Id="rId850" Type="http://schemas.openxmlformats.org/officeDocument/2006/relationships/image" Target="media/image804.png"/><Relationship Id="rId851" Type="http://schemas.openxmlformats.org/officeDocument/2006/relationships/image" Target="media/image805.png"/><Relationship Id="rId853" Type="http://schemas.openxmlformats.org/officeDocument/2006/relationships/image" Target="media/image806.jpeg"/><Relationship Id="rId854" Type="http://schemas.openxmlformats.org/officeDocument/2006/relationships/image" Target="media/image807.png"/><Relationship Id="rId855" Type="http://schemas.openxmlformats.org/officeDocument/2006/relationships/image" Target="media/image808.png"/><Relationship Id="rId856" Type="http://schemas.openxmlformats.org/officeDocument/2006/relationships/image" Target="media/image809.png"/><Relationship Id="rId857" Type="http://schemas.openxmlformats.org/officeDocument/2006/relationships/image" Target="media/image810.png"/><Relationship Id="rId858" Type="http://schemas.openxmlformats.org/officeDocument/2006/relationships/image" Target="media/image811.png"/><Relationship Id="rId859" Type="http://schemas.openxmlformats.org/officeDocument/2006/relationships/image" Target="media/image812.png"/><Relationship Id="rId860" Type="http://schemas.openxmlformats.org/officeDocument/2006/relationships/image" Target="media/image813.png"/><Relationship Id="rId861" Type="http://schemas.openxmlformats.org/officeDocument/2006/relationships/image" Target="media/image814.png"/><Relationship Id="rId862" Type="http://schemas.openxmlformats.org/officeDocument/2006/relationships/image" Target="media/image815.png"/><Relationship Id="rId863" Type="http://schemas.openxmlformats.org/officeDocument/2006/relationships/image" Target="media/image816.png"/><Relationship Id="rId864" Type="http://schemas.openxmlformats.org/officeDocument/2006/relationships/image" Target="media/image817.jpeg"/><Relationship Id="rId865" Type="http://schemas.openxmlformats.org/officeDocument/2006/relationships/image" Target="media/image818.png"/><Relationship Id="rId866" Type="http://schemas.openxmlformats.org/officeDocument/2006/relationships/image" Target="media/image819.png"/><Relationship Id="rId867" Type="http://schemas.openxmlformats.org/officeDocument/2006/relationships/image" Target="media/image820.png"/><Relationship Id="rId868" Type="http://schemas.openxmlformats.org/officeDocument/2006/relationships/image" Target="media/image821.png"/><Relationship Id="rId869" Type="http://schemas.openxmlformats.org/officeDocument/2006/relationships/image" Target="media/image822.png"/><Relationship Id="rId870" Type="http://schemas.openxmlformats.org/officeDocument/2006/relationships/image" Target="media/image823.png"/><Relationship Id="rId871" Type="http://schemas.openxmlformats.org/officeDocument/2006/relationships/image" Target="media/image824.png"/><Relationship Id="rId872" Type="http://schemas.openxmlformats.org/officeDocument/2006/relationships/image" Target="media/image825.png"/><Relationship Id="rId873" Type="http://schemas.openxmlformats.org/officeDocument/2006/relationships/image" Target="media/image826.png"/><Relationship Id="rId874" Type="http://schemas.openxmlformats.org/officeDocument/2006/relationships/image" Target="media/image827.png"/><Relationship Id="rId875" Type="http://schemas.openxmlformats.org/officeDocument/2006/relationships/image" Target="media/image828.png"/><Relationship Id="rId876" Type="http://schemas.openxmlformats.org/officeDocument/2006/relationships/image" Target="media/image829.png"/><Relationship Id="rId877" Type="http://schemas.openxmlformats.org/officeDocument/2006/relationships/image" Target="media/image830.png"/><Relationship Id="rId878" Type="http://schemas.openxmlformats.org/officeDocument/2006/relationships/image" Target="media/image831.png"/><Relationship Id="rId879" Type="http://schemas.openxmlformats.org/officeDocument/2006/relationships/image" Target="media/image832.png"/><Relationship Id="rId880" Type="http://schemas.openxmlformats.org/officeDocument/2006/relationships/image" Target="media/image833.png"/><Relationship Id="rId881" Type="http://schemas.openxmlformats.org/officeDocument/2006/relationships/image" Target="media/image834.png"/><Relationship Id="rId882" Type="http://schemas.openxmlformats.org/officeDocument/2006/relationships/image" Target="media/image835.png"/><Relationship Id="rId883" Type="http://schemas.openxmlformats.org/officeDocument/2006/relationships/image" Target="media/image836.png"/><Relationship Id="rId884" Type="http://schemas.openxmlformats.org/officeDocument/2006/relationships/image" Target="media/image837.png"/><Relationship Id="rId885" Type="http://schemas.openxmlformats.org/officeDocument/2006/relationships/image" Target="media/image838.png"/><Relationship Id="rId886" Type="http://schemas.openxmlformats.org/officeDocument/2006/relationships/image" Target="media/image839.png"/><Relationship Id="rId887" Type="http://schemas.openxmlformats.org/officeDocument/2006/relationships/image" Target="media/image840.png"/><Relationship Id="rId888" Type="http://schemas.openxmlformats.org/officeDocument/2006/relationships/image" Target="media/image841.png"/><Relationship Id="rId889" Type="http://schemas.openxmlformats.org/officeDocument/2006/relationships/image" Target="media/image842.png"/><Relationship Id="rId890" Type="http://schemas.openxmlformats.org/officeDocument/2006/relationships/image" Target="media/image843.png"/><Relationship Id="rId891" Type="http://schemas.openxmlformats.org/officeDocument/2006/relationships/image" Target="media/image844.png"/><Relationship Id="rId892" Type="http://schemas.openxmlformats.org/officeDocument/2006/relationships/image" Target="media/image845.png"/><Relationship Id="rId893" Type="http://schemas.openxmlformats.org/officeDocument/2006/relationships/image" Target="media/image846.png"/><Relationship Id="rId894" Type="http://schemas.openxmlformats.org/officeDocument/2006/relationships/image" Target="media/image847.png"/><Relationship Id="rId895" Type="http://schemas.openxmlformats.org/officeDocument/2006/relationships/image" Target="media/image848.png"/><Relationship Id="rId896" Type="http://schemas.openxmlformats.org/officeDocument/2006/relationships/image" Target="media/image849.png"/><Relationship Id="rId897" Type="http://schemas.openxmlformats.org/officeDocument/2006/relationships/image" Target="media/image850.png"/><Relationship Id="rId898" Type="http://schemas.openxmlformats.org/officeDocument/2006/relationships/image" Target="media/image851.png"/><Relationship Id="rId899" Type="http://schemas.openxmlformats.org/officeDocument/2006/relationships/image" Target="media/image852.png"/><Relationship Id="rId900" Type="http://schemas.openxmlformats.org/officeDocument/2006/relationships/image" Target="media/image853.png"/><Relationship Id="rId901" Type="http://schemas.openxmlformats.org/officeDocument/2006/relationships/image" Target="media/image854.png"/><Relationship Id="rId902" Type="http://schemas.openxmlformats.org/officeDocument/2006/relationships/image" Target="media/image855.png"/><Relationship Id="rId903" Type="http://schemas.openxmlformats.org/officeDocument/2006/relationships/image" Target="media/image856.png"/><Relationship Id="rId904" Type="http://schemas.openxmlformats.org/officeDocument/2006/relationships/image" Target="media/image857.png"/><Relationship Id="rId905" Type="http://schemas.openxmlformats.org/officeDocument/2006/relationships/image" Target="media/image858.png"/><Relationship Id="rId906" Type="http://schemas.openxmlformats.org/officeDocument/2006/relationships/image" Target="media/image859.png"/><Relationship Id="rId907" Type="http://schemas.openxmlformats.org/officeDocument/2006/relationships/image" Target="media/image860.png"/><Relationship Id="rId908" Type="http://schemas.openxmlformats.org/officeDocument/2006/relationships/image" Target="media/image861.png"/><Relationship Id="rId909" Type="http://schemas.openxmlformats.org/officeDocument/2006/relationships/image" Target="media/image862.png"/><Relationship Id="rId910" Type="http://schemas.openxmlformats.org/officeDocument/2006/relationships/image" Target="media/image863.png"/><Relationship Id="rId911" Type="http://schemas.openxmlformats.org/officeDocument/2006/relationships/image" Target="media/image864.png"/><Relationship Id="rId912" Type="http://schemas.openxmlformats.org/officeDocument/2006/relationships/image" Target="media/image865.png"/><Relationship Id="rId913" Type="http://schemas.openxmlformats.org/officeDocument/2006/relationships/image" Target="media/image866.png"/><Relationship Id="rId914" Type="http://schemas.openxmlformats.org/officeDocument/2006/relationships/image" Target="media/image867.png"/><Relationship Id="rId915" Type="http://schemas.openxmlformats.org/officeDocument/2006/relationships/image" Target="media/image868.png"/><Relationship Id="rId916" Type="http://schemas.openxmlformats.org/officeDocument/2006/relationships/image" Target="media/image869.png"/><Relationship Id="rId917" Type="http://schemas.openxmlformats.org/officeDocument/2006/relationships/image" Target="media/image870.png"/><Relationship Id="rId918" Type="http://schemas.openxmlformats.org/officeDocument/2006/relationships/image" Target="media/image871.png"/><Relationship Id="rId919" Type="http://schemas.openxmlformats.org/officeDocument/2006/relationships/image" Target="media/image872.png"/><Relationship Id="rId920" Type="http://schemas.openxmlformats.org/officeDocument/2006/relationships/image" Target="media/image873.png"/><Relationship Id="rId921" Type="http://schemas.openxmlformats.org/officeDocument/2006/relationships/image" Target="media/image874.png"/><Relationship Id="rId922" Type="http://schemas.openxmlformats.org/officeDocument/2006/relationships/image" Target="media/image875.png"/><Relationship Id="rId923" Type="http://schemas.openxmlformats.org/officeDocument/2006/relationships/image" Target="media/image876.png"/><Relationship Id="rId924" Type="http://schemas.openxmlformats.org/officeDocument/2006/relationships/image" Target="media/image877.png"/><Relationship Id="rId925" Type="http://schemas.openxmlformats.org/officeDocument/2006/relationships/image" Target="media/image878.png"/><Relationship Id="rId926" Type="http://schemas.openxmlformats.org/officeDocument/2006/relationships/image" Target="media/image879.png"/><Relationship Id="rId927" Type="http://schemas.openxmlformats.org/officeDocument/2006/relationships/image" Target="media/image880.png"/><Relationship Id="rId928" Type="http://schemas.openxmlformats.org/officeDocument/2006/relationships/image" Target="media/image881.png"/><Relationship Id="rId929" Type="http://schemas.openxmlformats.org/officeDocument/2006/relationships/image" Target="media/image882.png"/><Relationship Id="rId930" Type="http://schemas.openxmlformats.org/officeDocument/2006/relationships/image" Target="media/image883.png"/><Relationship Id="rId931" Type="http://schemas.openxmlformats.org/officeDocument/2006/relationships/image" Target="media/image884.png"/><Relationship Id="rId932" Type="http://schemas.openxmlformats.org/officeDocument/2006/relationships/image" Target="media/image885.png"/><Relationship Id="rId933" Type="http://schemas.openxmlformats.org/officeDocument/2006/relationships/image" Target="media/image886.png"/><Relationship Id="rId934" Type="http://schemas.openxmlformats.org/officeDocument/2006/relationships/image" Target="media/image887.png"/><Relationship Id="rId935" Type="http://schemas.openxmlformats.org/officeDocument/2006/relationships/image" Target="media/image888.png"/><Relationship Id="rId936" Type="http://schemas.openxmlformats.org/officeDocument/2006/relationships/image" Target="media/image889.png"/><Relationship Id="rId937" Type="http://schemas.openxmlformats.org/officeDocument/2006/relationships/image" Target="media/image890.png"/><Relationship Id="rId938" Type="http://schemas.openxmlformats.org/officeDocument/2006/relationships/image" Target="media/image891.png"/><Relationship Id="rId939" Type="http://schemas.openxmlformats.org/officeDocument/2006/relationships/image" Target="media/image892.png"/><Relationship Id="rId940" Type="http://schemas.openxmlformats.org/officeDocument/2006/relationships/image" Target="media/image893.png"/><Relationship Id="rId941" Type="http://schemas.openxmlformats.org/officeDocument/2006/relationships/image" Target="media/image894.png"/><Relationship Id="rId942" Type="http://schemas.openxmlformats.org/officeDocument/2006/relationships/image" Target="media/image895.png"/><Relationship Id="rId943" Type="http://schemas.openxmlformats.org/officeDocument/2006/relationships/image" Target="media/image896.png"/><Relationship Id="rId944" Type="http://schemas.openxmlformats.org/officeDocument/2006/relationships/image" Target="media/image897.png"/><Relationship Id="rId945" Type="http://schemas.openxmlformats.org/officeDocument/2006/relationships/image" Target="media/image898.png"/><Relationship Id="rId946" Type="http://schemas.openxmlformats.org/officeDocument/2006/relationships/image" Target="media/image899.png"/><Relationship Id="rId947" Type="http://schemas.openxmlformats.org/officeDocument/2006/relationships/image" Target="media/image900.png"/><Relationship Id="rId948" Type="http://schemas.openxmlformats.org/officeDocument/2006/relationships/image" Target="media/image901.png"/><Relationship Id="rId949" Type="http://schemas.openxmlformats.org/officeDocument/2006/relationships/image" Target="media/image902.png"/><Relationship Id="rId950" Type="http://schemas.openxmlformats.org/officeDocument/2006/relationships/image" Target="media/image903.png"/><Relationship Id="rId951" Type="http://schemas.openxmlformats.org/officeDocument/2006/relationships/image" Target="media/image904.png"/><Relationship Id="rId952" Type="http://schemas.openxmlformats.org/officeDocument/2006/relationships/image" Target="media/image905.png"/><Relationship Id="rId953" Type="http://schemas.openxmlformats.org/officeDocument/2006/relationships/image" Target="media/image906.png"/><Relationship Id="rId954" Type="http://schemas.openxmlformats.org/officeDocument/2006/relationships/image" Target="media/image907.png"/><Relationship Id="rId955" Type="http://schemas.openxmlformats.org/officeDocument/2006/relationships/image" Target="media/image908.png"/><Relationship Id="rId956" Type="http://schemas.openxmlformats.org/officeDocument/2006/relationships/image" Target="media/image909.png"/><Relationship Id="rId957" Type="http://schemas.openxmlformats.org/officeDocument/2006/relationships/image" Target="media/image910.png"/><Relationship Id="rId958" Type="http://schemas.openxmlformats.org/officeDocument/2006/relationships/image" Target="media/image911.png"/><Relationship Id="rId959" Type="http://schemas.openxmlformats.org/officeDocument/2006/relationships/image" Target="media/image912.png"/><Relationship Id="rId960" Type="http://schemas.openxmlformats.org/officeDocument/2006/relationships/image" Target="media/image913.png"/><Relationship Id="rId961" Type="http://schemas.openxmlformats.org/officeDocument/2006/relationships/image" Target="media/image914.png"/><Relationship Id="rId962" Type="http://schemas.openxmlformats.org/officeDocument/2006/relationships/image" Target="media/image915.png"/><Relationship Id="rId963" Type="http://schemas.openxmlformats.org/officeDocument/2006/relationships/image" Target="media/image916.png"/><Relationship Id="rId964" Type="http://schemas.openxmlformats.org/officeDocument/2006/relationships/image" Target="media/image917.png"/><Relationship Id="rId965" Type="http://schemas.openxmlformats.org/officeDocument/2006/relationships/image" Target="media/image918.png"/><Relationship Id="rId966" Type="http://schemas.openxmlformats.org/officeDocument/2006/relationships/image" Target="media/image919.png"/><Relationship Id="rId967" Type="http://schemas.openxmlformats.org/officeDocument/2006/relationships/image" Target="media/image920.png"/><Relationship Id="rId968" Type="http://schemas.openxmlformats.org/officeDocument/2006/relationships/image" Target="media/image921.png"/><Relationship Id="rId969" Type="http://schemas.openxmlformats.org/officeDocument/2006/relationships/image" Target="media/image922.png"/><Relationship Id="rId970" Type="http://schemas.openxmlformats.org/officeDocument/2006/relationships/image" Target="media/image923.png"/><Relationship Id="rId971" Type="http://schemas.openxmlformats.org/officeDocument/2006/relationships/image" Target="media/image924.png"/><Relationship Id="rId972" Type="http://schemas.openxmlformats.org/officeDocument/2006/relationships/image" Target="media/image925.png"/><Relationship Id="rId973" Type="http://schemas.openxmlformats.org/officeDocument/2006/relationships/image" Target="media/image926.png"/><Relationship Id="rId974" Type="http://schemas.openxmlformats.org/officeDocument/2006/relationships/image" Target="media/image927.png"/><Relationship Id="rId975" Type="http://schemas.openxmlformats.org/officeDocument/2006/relationships/image" Target="media/image928.png"/><Relationship Id="rId976" Type="http://schemas.openxmlformats.org/officeDocument/2006/relationships/image" Target="media/image929.png"/><Relationship Id="rId977" Type="http://schemas.openxmlformats.org/officeDocument/2006/relationships/image" Target="media/image930.png"/><Relationship Id="rId978" Type="http://schemas.openxmlformats.org/officeDocument/2006/relationships/image" Target="media/image931.png"/><Relationship Id="rId979" Type="http://schemas.openxmlformats.org/officeDocument/2006/relationships/image" Target="media/image932.png"/><Relationship Id="rId980" Type="http://schemas.openxmlformats.org/officeDocument/2006/relationships/image" Target="media/image933.png"/><Relationship Id="rId981" Type="http://schemas.openxmlformats.org/officeDocument/2006/relationships/image" Target="media/image934.png"/><Relationship Id="rId982" Type="http://schemas.openxmlformats.org/officeDocument/2006/relationships/image" Target="media/image935.png"/><Relationship Id="rId983" Type="http://schemas.openxmlformats.org/officeDocument/2006/relationships/image" Target="media/image936.png"/><Relationship Id="rId984" Type="http://schemas.openxmlformats.org/officeDocument/2006/relationships/image" Target="media/image937.png"/><Relationship Id="rId985" Type="http://schemas.openxmlformats.org/officeDocument/2006/relationships/image" Target="media/image938.png"/><Relationship Id="rId986" Type="http://schemas.openxmlformats.org/officeDocument/2006/relationships/image" Target="media/image939.png"/><Relationship Id="rId987" Type="http://schemas.openxmlformats.org/officeDocument/2006/relationships/image" Target="media/image940.png"/><Relationship Id="rId988" Type="http://schemas.openxmlformats.org/officeDocument/2006/relationships/image" Target="media/image941.png"/><Relationship Id="rId989" Type="http://schemas.openxmlformats.org/officeDocument/2006/relationships/image" Target="media/image942.png"/><Relationship Id="rId990" Type="http://schemas.openxmlformats.org/officeDocument/2006/relationships/image" Target="media/image943.png"/><Relationship Id="rId991" Type="http://schemas.openxmlformats.org/officeDocument/2006/relationships/image" Target="media/image944.png"/><Relationship Id="rId992" Type="http://schemas.openxmlformats.org/officeDocument/2006/relationships/image" Target="media/image945.png"/><Relationship Id="rId993" Type="http://schemas.openxmlformats.org/officeDocument/2006/relationships/image" Target="media/image946.png"/><Relationship Id="rId994" Type="http://schemas.openxmlformats.org/officeDocument/2006/relationships/image" Target="media/image947.png"/><Relationship Id="rId995" Type="http://schemas.openxmlformats.org/officeDocument/2006/relationships/image" Target="media/image948.png"/><Relationship Id="rId996" Type="http://schemas.openxmlformats.org/officeDocument/2006/relationships/image" Target="media/image949.png"/><Relationship Id="rId997" Type="http://schemas.openxmlformats.org/officeDocument/2006/relationships/image" Target="media/image950.png"/><Relationship Id="rId998" Type="http://schemas.openxmlformats.org/officeDocument/2006/relationships/image" Target="media/image951.png"/><Relationship Id="rId999" Type="http://schemas.openxmlformats.org/officeDocument/2006/relationships/image" Target="media/image952.png"/><Relationship Id="rId1000" Type="http://schemas.openxmlformats.org/officeDocument/2006/relationships/image" Target="media/image953.png"/><Relationship Id="rId1001" Type="http://schemas.openxmlformats.org/officeDocument/2006/relationships/image" Target="media/image954.png"/><Relationship Id="rId1002" Type="http://schemas.openxmlformats.org/officeDocument/2006/relationships/image" Target="media/image955.png"/><Relationship Id="rId1003" Type="http://schemas.openxmlformats.org/officeDocument/2006/relationships/image" Target="media/image956.png"/><Relationship Id="rId1004" Type="http://schemas.openxmlformats.org/officeDocument/2006/relationships/image" Target="media/image957.png"/><Relationship Id="rId1005" Type="http://schemas.openxmlformats.org/officeDocument/2006/relationships/image" Target="media/image958.png"/><Relationship Id="rId1006" Type="http://schemas.openxmlformats.org/officeDocument/2006/relationships/image" Target="media/image959.png"/><Relationship Id="rId1007" Type="http://schemas.openxmlformats.org/officeDocument/2006/relationships/image" Target="media/image960.png"/><Relationship Id="rId1008" Type="http://schemas.openxmlformats.org/officeDocument/2006/relationships/image" Target="media/image961.png"/><Relationship Id="rId1009" Type="http://schemas.openxmlformats.org/officeDocument/2006/relationships/image" Target="media/image962.png"/><Relationship Id="rId1010" Type="http://schemas.openxmlformats.org/officeDocument/2006/relationships/image" Target="media/image963.png"/><Relationship Id="rId1011" Type="http://schemas.openxmlformats.org/officeDocument/2006/relationships/image" Target="media/image964.jpeg"/><Relationship Id="rId1012" Type="http://schemas.openxmlformats.org/officeDocument/2006/relationships/image" Target="media/image965.png"/><Relationship Id="rId1013" Type="http://schemas.openxmlformats.org/officeDocument/2006/relationships/image" Target="media/image966.png"/><Relationship Id="rId1014" Type="http://schemas.openxmlformats.org/officeDocument/2006/relationships/image" Target="media/image967.jpeg"/><Relationship Id="rId1015" Type="http://schemas.openxmlformats.org/officeDocument/2006/relationships/image" Target="media/image968.png"/><Relationship Id="rId1016" Type="http://schemas.openxmlformats.org/officeDocument/2006/relationships/image" Target="media/image969.png"/><Relationship Id="rId1017" Type="http://schemas.openxmlformats.org/officeDocument/2006/relationships/image" Target="media/image970.png"/><Relationship Id="rId1018" Type="http://schemas.openxmlformats.org/officeDocument/2006/relationships/image" Target="media/image971.png"/><Relationship Id="rId1019" Type="http://schemas.openxmlformats.org/officeDocument/2006/relationships/image" Target="media/image972.png"/><Relationship Id="rId1020" Type="http://schemas.openxmlformats.org/officeDocument/2006/relationships/image" Target="media/image973.png"/><Relationship Id="rId1021" Type="http://schemas.openxmlformats.org/officeDocument/2006/relationships/image" Target="media/image974.png"/><Relationship Id="rId1022" Type="http://schemas.openxmlformats.org/officeDocument/2006/relationships/image" Target="media/image975.png"/><Relationship Id="rId1023" Type="http://schemas.openxmlformats.org/officeDocument/2006/relationships/image" Target="media/image976.png"/><Relationship Id="rId1024" Type="http://schemas.openxmlformats.org/officeDocument/2006/relationships/image" Target="media/image977.png"/><Relationship Id="rId1025" Type="http://schemas.openxmlformats.org/officeDocument/2006/relationships/image" Target="media/image978.png"/><Relationship Id="rId1026" Type="http://schemas.openxmlformats.org/officeDocument/2006/relationships/image" Target="media/image979.png"/><Relationship Id="rId1027" Type="http://schemas.openxmlformats.org/officeDocument/2006/relationships/image" Target="media/image980.png"/><Relationship Id="rId1028" Type="http://schemas.openxmlformats.org/officeDocument/2006/relationships/image" Target="media/image981.png"/><Relationship Id="rId1029" Type="http://schemas.openxmlformats.org/officeDocument/2006/relationships/image" Target="media/image982.png"/><Relationship Id="rId1030" Type="http://schemas.openxmlformats.org/officeDocument/2006/relationships/image" Target="media/image983.png"/><Relationship Id="rId1031" Type="http://schemas.openxmlformats.org/officeDocument/2006/relationships/image" Target="media/image984.png"/><Relationship Id="rId1032" Type="http://schemas.openxmlformats.org/officeDocument/2006/relationships/image" Target="media/image985.png"/><Relationship Id="rId1033" Type="http://schemas.openxmlformats.org/officeDocument/2006/relationships/image" Target="media/image986.png"/><Relationship Id="rId1034" Type="http://schemas.openxmlformats.org/officeDocument/2006/relationships/image" Target="media/image987.png"/><Relationship Id="rId1035" Type="http://schemas.openxmlformats.org/officeDocument/2006/relationships/image" Target="media/image988.png"/><Relationship Id="rId1036" Type="http://schemas.openxmlformats.org/officeDocument/2006/relationships/image" Target="media/image989.png"/><Relationship Id="rId1037" Type="http://schemas.openxmlformats.org/officeDocument/2006/relationships/image" Target="media/image990.png"/><Relationship Id="rId1038" Type="http://schemas.openxmlformats.org/officeDocument/2006/relationships/image" Target="media/image991.png"/><Relationship Id="rId1039" Type="http://schemas.openxmlformats.org/officeDocument/2006/relationships/image" Target="media/image992.png"/><Relationship Id="rId1040" Type="http://schemas.openxmlformats.org/officeDocument/2006/relationships/image" Target="media/image993.png"/><Relationship Id="rId1041" Type="http://schemas.openxmlformats.org/officeDocument/2006/relationships/image" Target="media/image994.png"/><Relationship Id="rId1042" Type="http://schemas.openxmlformats.org/officeDocument/2006/relationships/image" Target="media/image995.png"/><Relationship Id="rId1043" Type="http://schemas.openxmlformats.org/officeDocument/2006/relationships/image" Target="media/image996.png"/><Relationship Id="rId1044" Type="http://schemas.openxmlformats.org/officeDocument/2006/relationships/image" Target="media/image997.png"/><Relationship Id="rId1045" Type="http://schemas.openxmlformats.org/officeDocument/2006/relationships/image" Target="media/image998.png"/><Relationship Id="rId1046" Type="http://schemas.openxmlformats.org/officeDocument/2006/relationships/image" Target="media/image999.png"/><Relationship Id="rId1047" Type="http://schemas.openxmlformats.org/officeDocument/2006/relationships/image" Target="media/image1000.png"/><Relationship Id="rId1048" Type="http://schemas.openxmlformats.org/officeDocument/2006/relationships/image" Target="media/image1001.png"/><Relationship Id="rId1049" Type="http://schemas.openxmlformats.org/officeDocument/2006/relationships/image" Target="media/image1002.png"/><Relationship Id="rId1050" Type="http://schemas.openxmlformats.org/officeDocument/2006/relationships/image" Target="media/image1003.png"/><Relationship Id="rId1051" Type="http://schemas.openxmlformats.org/officeDocument/2006/relationships/image" Target="media/image1004.png"/><Relationship Id="rId1052" Type="http://schemas.openxmlformats.org/officeDocument/2006/relationships/image" Target="media/image1005.png"/><Relationship Id="rId1053" Type="http://schemas.openxmlformats.org/officeDocument/2006/relationships/image" Target="media/image1006.png"/><Relationship Id="rId1054" Type="http://schemas.openxmlformats.org/officeDocument/2006/relationships/image" Target="media/image1007.png"/><Relationship Id="rId1055" Type="http://schemas.openxmlformats.org/officeDocument/2006/relationships/image" Target="media/image1008.png"/><Relationship Id="rId1056" Type="http://schemas.openxmlformats.org/officeDocument/2006/relationships/image" Target="media/image1009.png"/><Relationship Id="rId1057" Type="http://schemas.openxmlformats.org/officeDocument/2006/relationships/image" Target="media/image1010.png"/><Relationship Id="rId1058" Type="http://schemas.openxmlformats.org/officeDocument/2006/relationships/image" Target="media/image1011.png"/><Relationship Id="rId1059" Type="http://schemas.openxmlformats.org/officeDocument/2006/relationships/image" Target="media/image1012.png"/><Relationship Id="rId1060" Type="http://schemas.openxmlformats.org/officeDocument/2006/relationships/image" Target="media/image1013.png"/><Relationship Id="rId1061" Type="http://schemas.openxmlformats.org/officeDocument/2006/relationships/image" Target="media/image1014.png"/><Relationship Id="rId1062" Type="http://schemas.openxmlformats.org/officeDocument/2006/relationships/image" Target="media/image1015.png"/><Relationship Id="rId1063" Type="http://schemas.openxmlformats.org/officeDocument/2006/relationships/image" Target="media/image1016.png"/><Relationship Id="rId1064" Type="http://schemas.openxmlformats.org/officeDocument/2006/relationships/image" Target="media/image1017.png"/><Relationship Id="rId1065" Type="http://schemas.openxmlformats.org/officeDocument/2006/relationships/image" Target="media/image1018.png"/><Relationship Id="rId1066" Type="http://schemas.openxmlformats.org/officeDocument/2006/relationships/image" Target="media/image1019.png"/><Relationship Id="rId1067" Type="http://schemas.openxmlformats.org/officeDocument/2006/relationships/image" Target="media/image1020.png"/><Relationship Id="rId1068" Type="http://schemas.openxmlformats.org/officeDocument/2006/relationships/image" Target="media/image1021.png"/><Relationship Id="rId1069" Type="http://schemas.openxmlformats.org/officeDocument/2006/relationships/image" Target="media/image1022.png"/><Relationship Id="rId1070" Type="http://schemas.openxmlformats.org/officeDocument/2006/relationships/image" Target="media/image1023.png"/><Relationship Id="rId1071" Type="http://schemas.openxmlformats.org/officeDocument/2006/relationships/image" Target="media/image1024.png"/><Relationship Id="rId1072" Type="http://schemas.openxmlformats.org/officeDocument/2006/relationships/image" Target="media/image1025.png"/><Relationship Id="rId1073" Type="http://schemas.openxmlformats.org/officeDocument/2006/relationships/image" Target="media/image1026.png"/><Relationship Id="rId1074" Type="http://schemas.openxmlformats.org/officeDocument/2006/relationships/image" Target="media/image1027.png"/><Relationship Id="rId1075" Type="http://schemas.openxmlformats.org/officeDocument/2006/relationships/image" Target="media/image1028.png"/><Relationship Id="rId1076" Type="http://schemas.openxmlformats.org/officeDocument/2006/relationships/image" Target="media/image1029.png"/><Relationship Id="rId1077" Type="http://schemas.openxmlformats.org/officeDocument/2006/relationships/image" Target="media/image1030.png"/><Relationship Id="rId1078" Type="http://schemas.openxmlformats.org/officeDocument/2006/relationships/image" Target="media/image1031.png"/><Relationship Id="rId1079" Type="http://schemas.openxmlformats.org/officeDocument/2006/relationships/image" Target="media/image1032.png"/><Relationship Id="rId1080" Type="http://schemas.openxmlformats.org/officeDocument/2006/relationships/image" Target="media/image1033.png"/><Relationship Id="rId1081" Type="http://schemas.openxmlformats.org/officeDocument/2006/relationships/image" Target="media/image1034.png"/><Relationship Id="rId1082" Type="http://schemas.openxmlformats.org/officeDocument/2006/relationships/image" Target="media/image1035.png"/><Relationship Id="rId1083" Type="http://schemas.openxmlformats.org/officeDocument/2006/relationships/image" Target="media/image1036.png"/><Relationship Id="rId1084" Type="http://schemas.openxmlformats.org/officeDocument/2006/relationships/image" Target="media/image1037.png"/><Relationship Id="rId1085" Type="http://schemas.openxmlformats.org/officeDocument/2006/relationships/image" Target="media/image1038.png"/><Relationship Id="rId1086" Type="http://schemas.openxmlformats.org/officeDocument/2006/relationships/image" Target="media/image1039.png"/><Relationship Id="rId1087" Type="http://schemas.openxmlformats.org/officeDocument/2006/relationships/image" Target="media/image1040.png"/><Relationship Id="rId1088" Type="http://schemas.openxmlformats.org/officeDocument/2006/relationships/image" Target="media/image1041.png"/><Relationship Id="rId1089" Type="http://schemas.openxmlformats.org/officeDocument/2006/relationships/image" Target="media/image1042.png"/><Relationship Id="rId1090" Type="http://schemas.openxmlformats.org/officeDocument/2006/relationships/image" Target="media/image1043.png"/><Relationship Id="rId1091" Type="http://schemas.openxmlformats.org/officeDocument/2006/relationships/image" Target="media/image1044.png"/><Relationship Id="rId1092" Type="http://schemas.openxmlformats.org/officeDocument/2006/relationships/image" Target="media/image1045.png"/><Relationship Id="rId1093" Type="http://schemas.openxmlformats.org/officeDocument/2006/relationships/image" Target="media/image1046.png"/><Relationship Id="rId1094" Type="http://schemas.openxmlformats.org/officeDocument/2006/relationships/image" Target="media/image1047.png"/><Relationship Id="rId1095" Type="http://schemas.openxmlformats.org/officeDocument/2006/relationships/image" Target="media/image1048.png"/><Relationship Id="rId1096" Type="http://schemas.openxmlformats.org/officeDocument/2006/relationships/image" Target="media/image1049.png"/><Relationship Id="rId170" Type="http://schemas.openxmlformats.org/officeDocument/2006/relationships/hyperlink" Target="http://www.sec.gov/Archives/edgar/data/1713334/000119312519091865/d618384dex11.htm" TargetMode="External"/><Relationship Id="rId171" Type="http://schemas.openxmlformats.org/officeDocument/2006/relationships/hyperlink" Target="http://www.sec.gov/Archives/edgar/data/1713334/000119312519091865/d618384dex12.htm" TargetMode="External"/><Relationship Id="rId172" Type="http://schemas.openxmlformats.org/officeDocument/2006/relationships/hyperlink" Target="http://www.sec.gov/Archives/edgar/data/1471515/000095012718000061/a18-30_ex-4.htm" TargetMode="External"/><Relationship Id="rId173" Type="http://schemas.openxmlformats.org/officeDocument/2006/relationships/hyperlink" Target="http://www.sec.gov/Archives/edgar/data/1713334/000119312518296079/d552298dex42.htm" TargetMode="External"/><Relationship Id="rId174" Type="http://schemas.openxmlformats.org/officeDocument/2006/relationships/hyperlink" Target="http://www.sec.gov/Archives/edgar/data/1471515/000095012718000061/a18-30_f6.htm" TargetMode="External"/><Relationship Id="rId175" Type="http://schemas.openxmlformats.org/officeDocument/2006/relationships/hyperlink" Target="http://www.sec.gov/Archives/edgar/data/0001713334/000119312518269188/d552298dex49.htm" TargetMode="External"/><Relationship Id="rId176" Type="http://schemas.openxmlformats.org/officeDocument/2006/relationships/hyperlink" Target="http://www.sec.gov/Archives/edgar/data/0001713334/000119312518269188/d552298dex410.htm" TargetMode="External"/><Relationship Id="rId177" Type="http://schemas.openxmlformats.org/officeDocument/2006/relationships/hyperlink" Target="http://www.sec.gov/Archives/edgar/data/0001713334/000119312518269188/d552298dex411.htm" TargetMode="External"/><Relationship Id="rId178" Type="http://schemas.openxmlformats.org/officeDocument/2006/relationships/hyperlink" Target="http://www.sec.gov/Archives/edgar/data/0001713334/000119312518269188/d552298dex412.htm" TargetMode="External"/><Relationship Id="rId179" Type="http://schemas.openxmlformats.org/officeDocument/2006/relationships/hyperlink" Target="http://www.sec.gov/Archives/edgar/data/0001713334/000119312518269188/d552298dex413.htm" TargetMode="External"/><Relationship Id="rId181" Type="http://schemas.openxmlformats.org/officeDocument/2006/relationships/hyperlink" Target="http://www.sec.gov/Archives/edgar/data/0001713334/000119312518269188/d552298dex414.htm" TargetMode="External"/><Relationship Id="rId182" Type="http://schemas.openxmlformats.org/officeDocument/2006/relationships/hyperlink" Target="http://www.sec.gov/Archives/edgar/data/0001713334/000119312518269188/d552298dex415.htm" TargetMode="External"/><Relationship Id="rId183" Type="http://schemas.openxmlformats.org/officeDocument/2006/relationships/hyperlink" Target="http://www.sec.gov/Archives/edgar/data/0001713334/000119312518269188/d552298dex416.htm" TargetMode="External"/><Relationship Id="rId184" Type="http://schemas.openxmlformats.org/officeDocument/2006/relationships/hyperlink" Target="http://www.sec.gov/Archives/edgar/data/1713334/000119312519091865/d618384dex212.htm" TargetMode="External"/><Relationship Id="rId185" Type="http://schemas.openxmlformats.org/officeDocument/2006/relationships/hyperlink" Target="http://www.sec.gov/Archives/edgar/data/1713334/000119312518269188/d552298dex105.htm" TargetMode="External"/><Relationship Id="rId186" Type="http://schemas.openxmlformats.org/officeDocument/2006/relationships/hyperlink" Target="http://www.sec.gov/Archives/edgar/data/1713334/000119312519091865/d618384dex214.htm" TargetMode="External"/><Relationship Id="rId187" Type="http://schemas.openxmlformats.org/officeDocument/2006/relationships/hyperlink" Target="http://www.sec.gov/Archives/edgar/data/1713334/000119312519091865/d618384dex215.htm" TargetMode="External"/><Relationship Id="rId189" Type="http://schemas.openxmlformats.org/officeDocument/2006/relationships/hyperlink" Target="http://www.sec.gov/Archives/edgar/data/0001713334/000119312518269188/d552298dex101.htm" TargetMode="External"/><Relationship Id="rId190" Type="http://schemas.openxmlformats.org/officeDocument/2006/relationships/hyperlink" Target="http://www.sec.gov/Archives/edgar/data/0001713334/000119312518269188/d552298dex102.htm" TargetMode="External"/><Relationship Id="rId191" Type="http://schemas.openxmlformats.org/officeDocument/2006/relationships/hyperlink" Target="http://www.sec.gov/Archives/edgar/data/0001713334/000119312518269188/d552298dex103.htm" TargetMode="External"/><Relationship Id="rId192" Type="http://schemas.openxmlformats.org/officeDocument/2006/relationships/hyperlink" Target="http://www.sec.gov/Archives/edgar/data/0001713334/000119312518269188/d552298dex107.htm" TargetMode="External"/><Relationship Id="rId193" Type="http://schemas.openxmlformats.org/officeDocument/2006/relationships/hyperlink" Target="http://www.sec.gov/Archives/edgar/data/0001713334/000119312518269188/d552298dex108.htm" TargetMode="External"/><Relationship Id="rId194" Type="http://schemas.openxmlformats.org/officeDocument/2006/relationships/hyperlink" Target="http://www.sec.gov/Archives/edgar/data/0001713334/000119312518269188/d552298dex109.htm" TargetMode="External"/><Relationship Id="rId195" Type="http://schemas.openxmlformats.org/officeDocument/2006/relationships/hyperlink" Target="http://www.sec.gov/Archives/edgar/data/0001713334/000119312518269188/d552298dex1010.htm" TargetMode="External"/><Relationship Id="rId196" Type="http://schemas.openxmlformats.org/officeDocument/2006/relationships/hyperlink" Target="http://www.sec.gov/Archives/edgar/data/0001713334/000119312518269188/d552298dex1011.htm" TargetMode="External"/><Relationship Id="rId197" Type="http://schemas.openxmlformats.org/officeDocument/2006/relationships/hyperlink" Target="http://www.sec.gov/Archives/edgar/data/0001713334/000119312518269188/d552298dex1012.htm" TargetMode="External"/><Relationship Id="rId199" Type="http://schemas.openxmlformats.org/officeDocument/2006/relationships/hyperlink" Target="http://www.sec.gov/Archives/edgar/data/0001713334/000119312518269188/d552298dex1013.htm" TargetMode="External"/><Relationship Id="rId200" Type="http://schemas.openxmlformats.org/officeDocument/2006/relationships/hyperlink" Target="http://www.sec.gov/Archives/edgar/data/0001713334/000119312518269188/d552298dex1014.htm" TargetMode="External"/><Relationship Id="rId201" Type="http://schemas.openxmlformats.org/officeDocument/2006/relationships/hyperlink" Target="http://www.sec.gov/Archives/edgar/data/0001713334/000119312518269188/d552298dex1015.htm" TargetMode="External"/><Relationship Id="rId202" Type="http://schemas.openxmlformats.org/officeDocument/2006/relationships/hyperlink" Target="http://www.sec.gov/Archives/edgar/data/0001713334/000119312518269188/d552298dex1016.htm" TargetMode="External"/><Relationship Id="rId203" Type="http://schemas.openxmlformats.org/officeDocument/2006/relationships/hyperlink" Target="http://www.sec.gov/Archives/edgar/data/0001713334/000119312518269188/d552298dex1017.htm" TargetMode="External"/><Relationship Id="rId204" Type="http://schemas.openxmlformats.org/officeDocument/2006/relationships/hyperlink" Target="http://www.sec.gov/Archives/edgar/data/0001713334/000119312518269188/d552298dex1018.htm" TargetMode="External"/><Relationship Id="rId205" Type="http://schemas.openxmlformats.org/officeDocument/2006/relationships/hyperlink" Target="http://www.sec.gov/Archives/edgar/data/0001713334/000119312518269188/d552298dex1019.htm" TargetMode="External"/><Relationship Id="rId206" Type="http://schemas.openxmlformats.org/officeDocument/2006/relationships/hyperlink" Target="http://www.sec.gov/Archives/edgar/data/0001713334/000119312518269188/d552298dex1020.htm" TargetMode="External"/><Relationship Id="rId207" Type="http://schemas.openxmlformats.org/officeDocument/2006/relationships/hyperlink" Target="http://www.sec.gov/Archives/edgar/data/0001713334/000119312518269188/d552298dex1021.htm" TargetMode="External"/><Relationship Id="rId208" Type="http://schemas.openxmlformats.org/officeDocument/2006/relationships/hyperlink" Target="http://www.sec.gov/Archives/edgar/data/0001713334/000119312518269188/d552298dex1022.htm" TargetMode="External"/><Relationship Id="rId209" Type="http://schemas.openxmlformats.org/officeDocument/2006/relationships/hyperlink" Target="http://www.sec.gov/Archives/edgar/data/0001713334/000119312518269188/d552298dex1023.htm" TargetMode="External"/><Relationship Id="rId211" Type="http://schemas.openxmlformats.org/officeDocument/2006/relationships/hyperlink" Target="http://www.sec.gov/Archives/edgar/data/1713334/000119312519091865/d618384dex421.htm" TargetMode="External"/><Relationship Id="rId212" Type="http://schemas.openxmlformats.org/officeDocument/2006/relationships/hyperlink" Target="http://www.sec.gov/Archives/edgar/data/1713334/000119312519091865/d618384dex422.htm" TargetMode="External"/><Relationship Id="rId852" Type="http://schemas.openxmlformats.org/officeDocument/2006/relationships/hyperlink" Target="http://www.sec.gov/Archives/edgar/data/1713334/000119312518269188/d552298df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2021-03-31T06:18:59Z</dcterms:created>
  <dcterms:modified xsi:type="dcterms:W3CDTF">2021-03-31T06:18:59Z</dcterms:modified>
</cp:coreProperties>
</file>