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Press Release</w:t>
            </w:r>
          </w:p>
        </w:tc>
      </w:tr>
    </w:tbl>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173990</wp:posOffset>
            </wp:positionV>
            <wp:extent cx="178308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Announces Pricing of Senior Secured Notes Offering</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Macau, Thursday, May 7, 2026 – </w:t>
      </w:r>
      <w:r>
        <w:rPr>
          <w:rFonts w:ascii="Times New Roman" w:cs="Times New Roman" w:eastAsia="Times New Roman" w:hAnsi="Times New Roman"/>
          <w:sz w:val="18"/>
          <w:szCs w:val="18"/>
          <w:color w:val="auto"/>
        </w:rPr>
        <w:t>Studio City Company Limited (“</w:t>
      </w:r>
      <w:r>
        <w:rPr>
          <w:rFonts w:ascii="Times New Roman" w:cs="Times New Roman" w:eastAsia="Times New Roman" w:hAnsi="Times New Roman"/>
          <w:sz w:val="18"/>
          <w:szCs w:val="18"/>
          <w:b w:val="1"/>
          <w:bCs w:val="1"/>
          <w:color w:val="auto"/>
        </w:rPr>
        <w:t>Studio City Company</w:t>
      </w:r>
      <w:r>
        <w:rPr>
          <w:rFonts w:ascii="Times New Roman" w:cs="Times New Roman" w:eastAsia="Times New Roman" w:hAnsi="Times New Roman"/>
          <w:sz w:val="18"/>
          <w:szCs w:val="18"/>
          <w:color w:val="auto"/>
        </w:rPr>
        <w:t>”) today announces that it has priced its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of senior secured notes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and such offering, the “</w:t>
      </w:r>
      <w:r>
        <w:rPr>
          <w:rFonts w:ascii="Times New Roman" w:cs="Times New Roman" w:eastAsia="Times New Roman" w:hAnsi="Times New Roman"/>
          <w:sz w:val="18"/>
          <w:szCs w:val="18"/>
          <w:b w:val="1"/>
          <w:bCs w:val="1"/>
          <w:color w:val="auto"/>
        </w:rPr>
        <w:t>New Notes Offering</w:t>
      </w:r>
      <w:r>
        <w:rPr>
          <w:rFonts w:ascii="Times New Roman" w:cs="Times New Roman" w:eastAsia="Times New Roman" w:hAnsi="Times New Roman"/>
          <w:sz w:val="18"/>
          <w:szCs w:val="18"/>
          <w:color w:val="auto"/>
        </w:rPr>
        <w:t>”). Studio City Company is a wholly-owned subsidiary of Studio City International Holdings Limited (“</w:t>
      </w:r>
      <w:r>
        <w:rPr>
          <w:rFonts w:ascii="Times New Roman" w:cs="Times New Roman" w:eastAsia="Times New Roman" w:hAnsi="Times New Roman"/>
          <w:sz w:val="18"/>
          <w:szCs w:val="18"/>
          <w:b w:val="1"/>
          <w:bCs w:val="1"/>
          <w:color w:val="auto"/>
        </w:rPr>
        <w:t>SCIHL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New Notes Offering consists of US$300 million aggregate principal amount of 6.125% senior secured notes due 2031. The New Notes were priced at 100%. Studio City Company intends to use the net proceeds from the New Notes Offering, together with cash on hand, to repurchase any and all of Studio City Company’s outstanding 7.00% senior secured notes due 2027 (CUSIP Numbers G8539E AC9 and 86400G AC3; ISIN USG8539EAC96 and US86400GAC33) (the “</w:t>
      </w:r>
      <w:r>
        <w:rPr>
          <w:rFonts w:ascii="Times New Roman" w:cs="Times New Roman" w:eastAsia="Times New Roman" w:hAnsi="Times New Roman"/>
          <w:sz w:val="18"/>
          <w:szCs w:val="18"/>
          <w:b w:val="1"/>
          <w:bCs w:val="1"/>
          <w:color w:val="auto"/>
        </w:rPr>
        <w:t>2027 SCC Senior Secured Notes</w:t>
      </w:r>
      <w:r>
        <w:rPr>
          <w:rFonts w:ascii="Times New Roman" w:cs="Times New Roman" w:eastAsia="Times New Roman" w:hAnsi="Times New Roman"/>
          <w:sz w:val="18"/>
          <w:szCs w:val="18"/>
          <w:color w:val="auto"/>
        </w:rPr>
        <w:t>”) pursuant to the conditional cash tender offer announced by Studio City Company on May 6, 2026 (the “</w:t>
      </w:r>
      <w:r>
        <w:rPr>
          <w:rFonts w:ascii="Times New Roman" w:cs="Times New Roman" w:eastAsia="Times New Roman" w:hAnsi="Times New Roman"/>
          <w:sz w:val="18"/>
          <w:szCs w:val="18"/>
          <w:b w:val="1"/>
          <w:bCs w:val="1"/>
          <w:color w:val="auto"/>
        </w:rPr>
        <w:t>Conditional Tender Offer</w:t>
      </w:r>
      <w:r>
        <w:rPr>
          <w:rFonts w:ascii="Times New Roman" w:cs="Times New Roman" w:eastAsia="Times New Roman" w:hAnsi="Times New Roman"/>
          <w:sz w:val="18"/>
          <w:szCs w:val="18"/>
          <w:color w:val="auto"/>
        </w:rPr>
        <w:t>”) and, to the extent any of the 2027 SCC Senior Secured Notes remain outstanding following the completion of the Conditional Tender Offer, to redeem in full any such outstanding 2027 SCC Senior Secured Notes.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New Notes are proposed to be senior secured obligations of Studio City Company, ranking equally in right of payment with all existing and future senior indebtedness of Studio City Company (although any liabilities in respect of obligations under the US$30 million senior secured credit facilities with Studio City Company as borrower, that are secured by common collateral securing the New Notes, will have priority over the New Notes with respect to any proceeds received upon any enforcement action of such common collateral), and ranking senior in right of payment to all existing and future subordinated indebtedness of Studio City Company. The New Notes are proposed to be guaranteed by Studio City Investments Limited and all of its existing subsidiaries (other than Studio City Company) on a senior secured basis (the “</w:t>
      </w:r>
      <w:r>
        <w:rPr>
          <w:rFonts w:ascii="Times New Roman" w:cs="Times New Roman" w:eastAsia="Times New Roman" w:hAnsi="Times New Roman"/>
          <w:sz w:val="18"/>
          <w:szCs w:val="18"/>
          <w:b w:val="1"/>
          <w:bCs w:val="1"/>
          <w:color w:val="auto"/>
        </w:rPr>
        <w:t>Note Guarantees</w:t>
      </w:r>
      <w:r>
        <w:rPr>
          <w:rFonts w:ascii="Times New Roman" w:cs="Times New Roman" w:eastAsia="Times New Roman" w:hAnsi="Times New Roman"/>
          <w:sz w:val="18"/>
          <w:szCs w:val="18"/>
          <w:color w:val="auto"/>
        </w:rPr>
        <w:t>”). Neither Melco Resorts &amp; Entertainment Limited nor SCIHL will be a guarantor for the New Notes.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New Notes and the Note Guarantees are being proposed to be offered and sold in the United States to qualified institutional buyers pursuant to Rule 144A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outside of the United States to non-US persons in reliance on Regulation S under the Securities Act. The New Notes and the Note Guarantees have not been and will not be registered under the Securities Act or under the securities laws of any state or other jurisdiction and may not be offered or sold in the United States absent registration or an applicable exemption from the registration requirements of the Securities Act and any applicable state laws. Studio City Company does not intend to register any portion of the offering of the New Notes and the Note Guarantees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87630</wp:posOffset>
            </wp:positionV>
            <wp:extent cx="57346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4685" cy="12890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51510"/>
                    </a:xfrm>
                    <a:prstGeom prst="rect">
                      <a:avLst/>
                    </a:prstGeom>
                    <a:noFill/>
                  </pic:spPr>
                </pic:pic>
              </a:graphicData>
            </a:graphic>
          </wp:anchor>
        </w:drawing>
        <w:t>This press release is for information purposes only. Nothing in this press release constitutes an offer to buy, or a solicitation of an offer to sell, securities in the United States or any other jurisdiction in which such offer or solicitation would be unlawful. This press release is being issued pursuant to and in accordance with Rule 135c under the Securities Act.</w:t>
      </w:r>
    </w:p>
    <w:p>
      <w:pPr>
        <w:spacing w:after="0" w:line="17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SCIHL may also make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Studio City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w:t>
      </w:r>
    </w:p>
    <w:p>
      <w:pPr>
        <w:spacing w:after="0" w:line="2" w:lineRule="exact"/>
        <w:rPr>
          <w:sz w:val="20"/>
          <w:szCs w:val="20"/>
          <w:color w:val="auto"/>
        </w:rPr>
      </w:pPr>
    </w:p>
    <w:p>
      <w:pPr>
        <w:ind w:left="4" w:right="200" w:hanging="4"/>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Studio City Company’s offering memorandum with respect to the New Notes. All information provided in this press release is as of the date of this press release, and Studio City Company undertakes no duty to update such information, except as required under applicable law.</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Jeanny Kim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Chimmy Leung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100330</wp:posOffset>
            </wp:positionV>
            <wp:extent cx="57346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4685" cy="128905"/>
                    </a:xfrm>
                    <a:prstGeom prst="rect">
                      <a:avLst/>
                    </a:prstGeom>
                    <a:noFill/>
                  </pic:spPr>
                </pic:pic>
              </a:graphicData>
            </a:graphic>
          </wp:anchor>
        </w:drawing>
      </w:r>
    </w:p>
    <w:sectPr>
      <w:pgSz w:w="11900" w:h="16838" w:orient="portrait"/>
      <w:cols w:equalWidth="0" w:num="1">
        <w:col w:w="10964"/>
      </w:cols>
      <w:pgMar w:left="436" w:top="136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2026-05-07T14:30:54Z</dcterms:created>
  <dcterms:modified xsi:type="dcterms:W3CDTF">2026-05-07T14:30:54Z</dcterms:modified>
</cp:coreProperties>
</file>