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9735d6k.htm"/>
        <w:bookmarkStart w:id="1" w:name="ksd139735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39735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75"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139735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Studio City Finance Limited, a subsidiary of Studio City International Holdings Limited, issued an announcement dated July 21, 2026, a copy of which is appended to this Form 6-K, in relation to the completion of the partial redemption of its US$500,000,000 6.500% Senior Notes due 2028. </w:t>
      </w:r>
    </w:p>
    <w:p>
      <w:pPr>
        <w:pStyle w:val="TextBody"/>
        <w:bidi w:val="0"/>
        <w:spacing w:before="360" w:after="0"/>
        <w:jc w:val="left"/>
        <w:rPr>
          <w:rFonts w:ascii="Times New Roman" w:hAnsi="Times New Roman"/>
          <w:sz w:val="20"/>
        </w:rPr>
      </w:pPr>
      <w:r>
        <w:rPr>
          <w:rFonts w:ascii="Times New Roman" w:hAnsi="Times New Roman"/>
          <w:b/>
          <w:sz w:val="20"/>
        </w:rPr>
        <w:t>Safe Harbor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report is as of the date of this report,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39735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Geoffrey Davis</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Geoffrey Davis, CFA</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316"/>
        <w:gridCol w:w="8698"/>
      </w:tblGrid>
      <w:tr>
        <w:trPr/>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98"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16" w:type="dxa"/>
            <w:tcBorders/>
            <w:vAlign w:val="bottom"/>
          </w:tcPr>
          <w:p>
            <w:pPr>
              <w:pStyle w:val="TableContents"/>
              <w:bidi w:val="0"/>
              <w:spacing w:before="0" w:after="283"/>
              <w:jc w:val="left"/>
              <w:rPr/>
            </w:pPr>
            <w:r>
              <w:rPr/>
              <w:t>  </w:t>
            </w:r>
          </w:p>
        </w:tc>
        <w:tc>
          <w:tcPr>
            <w:tcW w:w="8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1191"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98" w:type="dxa"/>
            <w:tcBorders/>
          </w:tcPr>
          <w:p>
            <w:pPr>
              <w:pStyle w:val="TableContents"/>
              <w:bidi w:val="0"/>
              <w:spacing w:before="0" w:after="283"/>
              <w:jc w:val="left"/>
              <w:rPr/>
            </w:pPr>
            <w:r>
              <w:rPr/>
              <w:t>Studio City Finance Limited Announcement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4" w:name="d139735dex991.htm"/>
      <w:bookmarkStart w:id="5" w:name="ksd139735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DISCLOSURE PURSUANT TO RULE 324(1) OF THE LISTING MANUAL </w:t>
      </w:r>
    </w:p>
    <w:p>
      <w:pPr>
        <w:pStyle w:val="TextBody"/>
        <w:bidi w:val="0"/>
        <w:spacing w:before="0" w:after="0"/>
        <w:jc w:val="center"/>
        <w:rPr>
          <w:rFonts w:ascii="Times New Roman" w:hAnsi="Times New Roman"/>
          <w:b/>
          <w:sz w:val="20"/>
        </w:rPr>
      </w:pPr>
      <w:r>
        <w:rPr>
          <w:rFonts w:ascii="Times New Roman" w:hAnsi="Times New Roman"/>
          <w:b/>
          <w:sz w:val="20"/>
        </w:rPr>
        <w:t xml:space="preserve">OF THE SINGAPORE EXCHANGE SECURITIES TRADING LIMITED </w:t>
      </w:r>
    </w:p>
    <w:p>
      <w:pPr>
        <w:pStyle w:val="TextBody"/>
        <w:bidi w:val="0"/>
        <w:spacing w:before="240" w:after="0"/>
        <w:jc w:val="left"/>
        <w:rPr>
          <w:rFonts w:ascii="Times New Roman" w:hAnsi="Times New Roman"/>
          <w:sz w:val="20"/>
        </w:rPr>
      </w:pPr>
      <w:r>
        <w:rPr>
          <w:rFonts w:ascii="Times New Roman" w:hAnsi="Times New Roman"/>
          <w:sz w:val="20"/>
        </w:rPr>
        <w:t>We refer to the notice of partial redemption dated June 18, 2026 in relation to the Notes (the “</w:t>
      </w:r>
      <w:r>
        <w:rPr>
          <w:rFonts w:ascii="Times New Roman" w:hAnsi="Times New Roman"/>
          <w:b/>
          <w:sz w:val="20"/>
        </w:rPr>
        <w:t>Redemption Notice</w:t>
      </w:r>
      <w:r>
        <w:rPr>
          <w:rFonts w:ascii="Times New Roman" w:hAnsi="Times New Roman"/>
          <w:sz w:val="20"/>
        </w:rPr>
        <w:t xml:space="preserve">”). Capitalized terms used but not otherwise defined in this announcement have the same meaning as in the Redemption Notice. </w:t>
      </w:r>
    </w:p>
    <w:p>
      <w:pPr>
        <w:pStyle w:val="TextBody"/>
        <w:bidi w:val="0"/>
        <w:spacing w:before="240" w:after="0"/>
        <w:jc w:val="left"/>
        <w:rPr>
          <w:rFonts w:ascii="Times New Roman" w:hAnsi="Times New Roman"/>
          <w:sz w:val="20"/>
        </w:rPr>
      </w:pPr>
      <w:r>
        <w:rPr>
          <w:rFonts w:ascii="Times New Roman" w:hAnsi="Times New Roman"/>
          <w:sz w:val="20"/>
        </w:rPr>
        <w:t>Pursuant to the Redemption Notice, Studio City Finance Limited (the “</w:t>
      </w:r>
      <w:r>
        <w:rPr>
          <w:rFonts w:ascii="Times New Roman" w:hAnsi="Times New Roman"/>
          <w:b/>
          <w:sz w:val="20"/>
        </w:rPr>
        <w:t>Company</w:t>
      </w:r>
      <w:r>
        <w:rPr>
          <w:rFonts w:ascii="Times New Roman" w:hAnsi="Times New Roman"/>
          <w:sz w:val="20"/>
        </w:rPr>
        <w:t>”) has redeemed an aggregate principal amount of US$165,000,000 of its outstanding 6.500% senior notes due 2028 (the “</w:t>
      </w:r>
      <w:r>
        <w:rPr>
          <w:rFonts w:ascii="Times New Roman" w:hAnsi="Times New Roman"/>
          <w:b/>
          <w:sz w:val="20"/>
        </w:rPr>
        <w:t>Notes</w:t>
      </w:r>
      <w:r>
        <w:rPr>
          <w:rFonts w:ascii="Times New Roman" w:hAnsi="Times New Roman"/>
          <w:sz w:val="20"/>
        </w:rPr>
        <w:t>” and such Notes which have been redeemed as described herein, the “</w:t>
      </w:r>
      <w:r>
        <w:rPr>
          <w:rFonts w:ascii="Times New Roman" w:hAnsi="Times New Roman"/>
          <w:b/>
          <w:sz w:val="20"/>
        </w:rPr>
        <w:t>Redeemed Notes</w:t>
      </w:r>
      <w:r>
        <w:rPr>
          <w:rFonts w:ascii="Times New Roman" w:hAnsi="Times New Roman"/>
          <w:sz w:val="20"/>
        </w:rPr>
        <w:t xml:space="preserve">”). The Redeemed Notes represent 33% of the aggregate principal amount of Notes at the time of the initial listing. The Company has canceled all of the Redeemed Notes. After cancelation of the Redeemed Notes, an aggregate principal amount of US$335,000,000 of the Notes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details of the Redeemed Notes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49"/>
        <w:gridCol w:w="194"/>
        <w:gridCol w:w="7245"/>
      </w:tblGrid>
      <w:tr>
        <w:trPr/>
        <w:tc>
          <w:tcPr>
            <w:tcW w:w="194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245" w:type="dxa"/>
            <w:tcBorders/>
            <w:vAlign w:val="center"/>
          </w:tcPr>
          <w:p>
            <w:pPr>
              <w:pStyle w:val="TableContents"/>
              <w:bidi w:val="0"/>
              <w:spacing w:before="0" w:after="283"/>
              <w:jc w:val="left"/>
              <w:rPr>
                <w:sz w:val="4"/>
                <w:szCs w:val="4"/>
              </w:rPr>
            </w:pPr>
            <w:r>
              <w:rPr>
                <w:sz w:val="4"/>
                <w:szCs w:val="4"/>
              </w:rPr>
            </w:r>
          </w:p>
        </w:tc>
      </w:tr>
      <w:tr>
        <w:trPr/>
        <w:tc>
          <w:tcPr>
            <w:tcW w:w="1949" w:type="dxa"/>
            <w:tcBorders/>
            <w:vAlign w:val="bottom"/>
          </w:tcPr>
          <w:p>
            <w:pPr>
              <w:pStyle w:val="TableContents"/>
              <w:bidi w:val="0"/>
              <w:spacing w:before="0" w:after="283"/>
              <w:jc w:val="left"/>
              <w:rPr>
                <w:b/>
                <w:sz w:val="22"/>
              </w:rPr>
            </w:pPr>
            <w:r>
              <w:rPr>
                <w:b/>
                <w:sz w:val="22"/>
              </w:rPr>
              <w:t>ISIN Code:</w:t>
            </w:r>
          </w:p>
        </w:tc>
        <w:tc>
          <w:tcPr>
            <w:tcW w:w="194" w:type="dxa"/>
            <w:tcBorders/>
            <w:vAlign w:val="bottom"/>
          </w:tcPr>
          <w:p>
            <w:pPr>
              <w:pStyle w:val="TableContents"/>
              <w:bidi w:val="0"/>
              <w:spacing w:before="0" w:after="283"/>
              <w:jc w:val="left"/>
              <w:rPr/>
            </w:pPr>
            <w:r>
              <w:rPr/>
              <w:t>  </w:t>
            </w:r>
          </w:p>
        </w:tc>
        <w:tc>
          <w:tcPr>
            <w:tcW w:w="7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USG85381AF13 and US86389QAF90</w:t>
            </w:r>
          </w:p>
        </w:tc>
      </w:tr>
      <w:tr>
        <w:trPr>
          <w:trHeight w:val="240" w:hRule="atLeast"/>
        </w:trPr>
        <w:tc>
          <w:tcPr>
            <w:tcW w:w="1949" w:type="dxa"/>
            <w:tcBorders/>
            <w:vAlign w:val="center"/>
          </w:tcPr>
          <w:p>
            <w:pPr>
              <w:pStyle w:val="TableContents"/>
              <w:bidi w:val="0"/>
              <w:spacing w:before="0" w:after="283"/>
              <w:jc w:val="left"/>
              <w:rPr>
                <w:sz w:val="4"/>
                <w:szCs w:val="4"/>
              </w:rPr>
            </w:pPr>
            <w:r>
              <w:rPr>
                <w:sz w:val="4"/>
                <w:szCs w:val="4"/>
              </w:rPr>
            </w:r>
          </w:p>
        </w:tc>
        <w:tc>
          <w:tcPr>
            <w:tcW w:w="7439" w:type="dxa"/>
            <w:gridSpan w:val="2"/>
            <w:tcBorders/>
            <w:vAlign w:val="center"/>
          </w:tcPr>
          <w:p>
            <w:pPr>
              <w:pStyle w:val="TableContents"/>
              <w:bidi w:val="0"/>
              <w:spacing w:before="0" w:after="283"/>
              <w:jc w:val="left"/>
              <w:rPr>
                <w:sz w:val="4"/>
                <w:szCs w:val="4"/>
              </w:rPr>
            </w:pPr>
            <w:r>
              <w:rPr>
                <w:sz w:val="4"/>
                <w:szCs w:val="4"/>
              </w:rPr>
            </w:r>
          </w:p>
        </w:tc>
      </w:tr>
      <w:tr>
        <w:trPr/>
        <w:tc>
          <w:tcPr>
            <w:tcW w:w="1949" w:type="dxa"/>
            <w:tcBorders/>
            <w:vAlign w:val="bottom"/>
          </w:tcPr>
          <w:p>
            <w:pPr>
              <w:pStyle w:val="TableContents"/>
              <w:bidi w:val="0"/>
              <w:spacing w:before="0" w:after="283"/>
              <w:jc w:val="left"/>
              <w:rPr>
                <w:b/>
                <w:sz w:val="22"/>
              </w:rPr>
            </w:pPr>
            <w:r>
              <w:rPr>
                <w:b/>
                <w:sz w:val="22"/>
              </w:rPr>
              <w:t>CUSIP Numbers:</w:t>
            </w:r>
          </w:p>
        </w:tc>
        <w:tc>
          <w:tcPr>
            <w:tcW w:w="194" w:type="dxa"/>
            <w:tcBorders/>
            <w:vAlign w:val="bottom"/>
          </w:tcPr>
          <w:p>
            <w:pPr>
              <w:pStyle w:val="TableContents"/>
              <w:bidi w:val="0"/>
              <w:spacing w:before="0" w:after="283"/>
              <w:jc w:val="left"/>
              <w:rPr/>
            </w:pPr>
            <w:r>
              <w:rPr/>
              <w:t>  </w:t>
            </w:r>
          </w:p>
        </w:tc>
        <w:tc>
          <w:tcPr>
            <w:tcW w:w="7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G85381 AF1 and 86389Q AF9</w:t>
            </w:r>
          </w:p>
        </w:tc>
      </w:tr>
      <w:tr>
        <w:trPr>
          <w:trHeight w:val="240" w:hRule="atLeast"/>
        </w:trPr>
        <w:tc>
          <w:tcPr>
            <w:tcW w:w="1949" w:type="dxa"/>
            <w:tcBorders/>
            <w:vAlign w:val="center"/>
          </w:tcPr>
          <w:p>
            <w:pPr>
              <w:pStyle w:val="TableContents"/>
              <w:bidi w:val="0"/>
              <w:spacing w:before="0" w:after="283"/>
              <w:jc w:val="left"/>
              <w:rPr>
                <w:sz w:val="4"/>
                <w:szCs w:val="4"/>
              </w:rPr>
            </w:pPr>
            <w:r>
              <w:rPr>
                <w:sz w:val="4"/>
                <w:szCs w:val="4"/>
              </w:rPr>
            </w:r>
          </w:p>
        </w:tc>
        <w:tc>
          <w:tcPr>
            <w:tcW w:w="7439" w:type="dxa"/>
            <w:gridSpan w:val="2"/>
            <w:tcBorders/>
            <w:vAlign w:val="center"/>
          </w:tcPr>
          <w:p>
            <w:pPr>
              <w:pStyle w:val="TableContents"/>
              <w:bidi w:val="0"/>
              <w:spacing w:before="0" w:after="283"/>
              <w:jc w:val="left"/>
              <w:rPr>
                <w:sz w:val="4"/>
                <w:szCs w:val="4"/>
              </w:rPr>
            </w:pPr>
            <w:r>
              <w:rPr>
                <w:sz w:val="4"/>
                <w:szCs w:val="4"/>
              </w:rPr>
            </w:r>
          </w:p>
        </w:tc>
      </w:tr>
      <w:tr>
        <w:trPr/>
        <w:tc>
          <w:tcPr>
            <w:tcW w:w="1949" w:type="dxa"/>
            <w:tcBorders/>
            <w:vAlign w:val="bottom"/>
          </w:tcPr>
          <w:p>
            <w:pPr>
              <w:pStyle w:val="TableContents"/>
              <w:bidi w:val="0"/>
              <w:spacing w:before="0" w:after="283"/>
              <w:jc w:val="left"/>
              <w:rPr>
                <w:b/>
                <w:sz w:val="22"/>
              </w:rPr>
            </w:pPr>
            <w:r>
              <w:rPr>
                <w:b/>
                <w:sz w:val="22"/>
              </w:rPr>
              <w:t>Date of redemption:</w:t>
            </w:r>
          </w:p>
        </w:tc>
        <w:tc>
          <w:tcPr>
            <w:tcW w:w="194" w:type="dxa"/>
            <w:tcBorders/>
            <w:vAlign w:val="bottom"/>
          </w:tcPr>
          <w:p>
            <w:pPr>
              <w:pStyle w:val="TableContents"/>
              <w:bidi w:val="0"/>
              <w:spacing w:before="0" w:after="283"/>
              <w:jc w:val="left"/>
              <w:rPr/>
            </w:pPr>
            <w:r>
              <w:rPr/>
              <w:t>  </w:t>
            </w:r>
          </w:p>
        </w:tc>
        <w:tc>
          <w:tcPr>
            <w:tcW w:w="7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July 18, 2026</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announcement is not an offer to purchase, subscribe for or sell any securities and shall not constitute an offer, solicitation or sale in any jurisdiction in which such offer, solicitation or sale is unlawful. </w:t>
      </w:r>
    </w:p>
    <w:p>
      <w:pPr>
        <w:pStyle w:val="TextBody"/>
        <w:bidi w:val="0"/>
        <w:spacing w:before="240" w:after="0"/>
        <w:jc w:val="left"/>
        <w:rPr>
          <w:rFonts w:ascii="Times New Roman" w:hAnsi="Times New Roman"/>
          <w:sz w:val="20"/>
        </w:rPr>
      </w:pPr>
      <w:r>
        <w:rPr>
          <w:rFonts w:ascii="Times New Roman" w:hAnsi="Times New Roman"/>
          <w:sz w:val="20"/>
        </w:rPr>
        <w:t xml:space="preserve">By: Studio City Finance Limited, as Issuer </w:t>
      </w:r>
    </w:p>
    <w:p>
      <w:pPr>
        <w:pStyle w:val="TextBody"/>
        <w:bidi w:val="0"/>
        <w:spacing w:before="240" w:after="0"/>
        <w:jc w:val="left"/>
        <w:rPr>
          <w:rFonts w:ascii="Times New Roman" w:hAnsi="Times New Roman"/>
          <w:sz w:val="20"/>
        </w:rPr>
      </w:pPr>
      <w:r>
        <w:rPr>
          <w:rFonts w:ascii="Times New Roman" w:hAnsi="Times New Roman"/>
          <w:sz w:val="20"/>
        </w:rPr>
        <w:t xml:space="preserve">Dated: July 21,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736</Words>
  <Characters>4106</Characters>
  <CharactersWithSpaces>4860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Studio City Finance Limited Announcement</dc:title>
</cp:coreProperties>
</file>